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18.xml" ContentType="application/vnd.openxmlformats-officedocument.wordprocessingml.header+xml"/>
  <Override PartName="/word/footer23.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1.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A1784" w14:textId="77777777" w:rsidR="00A47739" w:rsidRDefault="00A47739" w:rsidP="00A47739">
      <w:pPr>
        <w:pStyle w:val="PrecNameCover"/>
        <w:rPr>
          <w:sz w:val="72"/>
          <w:szCs w:val="72"/>
        </w:rPr>
      </w:pPr>
      <w:bookmarkStart w:id="0" w:name="_9kP1qJ9mv7CF"/>
      <w:bookmarkStart w:id="1" w:name="_Hlk74737605"/>
      <w:bookmarkStart w:id="2" w:name="_Hlk86351513"/>
      <w:bookmarkStart w:id="3" w:name="_Hlk101534848"/>
      <w:bookmarkStart w:id="4" w:name="_Hlk170374838"/>
      <w:bookmarkEnd w:id="0"/>
      <w:r>
        <w:rPr>
          <w:sz w:val="72"/>
          <w:szCs w:val="72"/>
        </w:rPr>
        <w:t>C</w:t>
      </w:r>
      <w:bookmarkStart w:id="5" w:name="_Ref205813687"/>
      <w:bookmarkEnd w:id="5"/>
      <w:r>
        <w:rPr>
          <w:sz w:val="72"/>
          <w:szCs w:val="72"/>
        </w:rPr>
        <w:t>apacity Investment Scheme Agreement</w:t>
      </w:r>
    </w:p>
    <w:p w14:paraId="7EF4FE5D" w14:textId="28927741" w:rsidR="00AC60FC" w:rsidRPr="000478A4" w:rsidRDefault="00F84EAF" w:rsidP="00A47739">
      <w:pPr>
        <w:ind w:left="114" w:hanging="57"/>
        <w:rPr>
          <w:rFonts w:ascii="Garamond" w:hAnsi="Garamond"/>
          <w:sz w:val="36"/>
          <w:szCs w:val="36"/>
        </w:rPr>
      </w:pPr>
      <w:r w:rsidRPr="00F84EAF">
        <w:rPr>
          <w:rFonts w:ascii="Garamond" w:hAnsi="Garamond"/>
          <w:sz w:val="36"/>
          <w:szCs w:val="36"/>
        </w:rPr>
        <w:t xml:space="preserve">Tender </w:t>
      </w:r>
      <w:r w:rsidR="00493A1C">
        <w:rPr>
          <w:rFonts w:ascii="Garamond" w:hAnsi="Garamond"/>
          <w:sz w:val="36"/>
          <w:szCs w:val="36"/>
        </w:rPr>
        <w:t>6</w:t>
      </w:r>
      <w:r w:rsidRPr="00F84EAF">
        <w:rPr>
          <w:rFonts w:ascii="Garamond" w:hAnsi="Garamond"/>
          <w:sz w:val="36"/>
          <w:szCs w:val="36"/>
        </w:rPr>
        <w:t>: Wholesale Electricity Market - Dispatchable Capacity</w:t>
      </w:r>
      <w:r w:rsidRPr="00F84EAF" w:rsidDel="00F84EAF">
        <w:rPr>
          <w:rFonts w:ascii="Garamond" w:hAnsi="Garamond"/>
          <w:sz w:val="36"/>
          <w:szCs w:val="36"/>
        </w:rPr>
        <w:t xml:space="preserve"> </w:t>
      </w:r>
    </w:p>
    <w:p w14:paraId="17CF26B4" w14:textId="5B8D6CB3" w:rsidR="00A47739" w:rsidRDefault="00A47739" w:rsidP="00A47739">
      <w:pPr>
        <w:ind w:left="114" w:hanging="57"/>
        <w:rPr>
          <w:rFonts w:ascii="Garamond" w:hAnsi="Garamond"/>
          <w:sz w:val="36"/>
          <w:szCs w:val="36"/>
        </w:rPr>
      </w:pPr>
      <w:bookmarkStart w:id="6" w:name="_Hlk103588372"/>
    </w:p>
    <w:p w14:paraId="010C970B" w14:textId="77777777" w:rsidR="00A47739" w:rsidRPr="00262925" w:rsidRDefault="00A47739" w:rsidP="00A47739">
      <w:pPr>
        <w:ind w:left="114" w:hanging="57"/>
        <w:rPr>
          <w:rFonts w:ascii="Garamond" w:hAnsi="Garamond"/>
          <w:sz w:val="36"/>
          <w:szCs w:val="36"/>
        </w:rPr>
      </w:pPr>
      <w:r w:rsidRPr="00262925">
        <w:rPr>
          <w:rFonts w:ascii="Garamond" w:hAnsi="Garamond"/>
          <w:sz w:val="36"/>
          <w:szCs w:val="36"/>
        </w:rPr>
        <w:t>[</w:t>
      </w:r>
      <w:r w:rsidRPr="00262925">
        <w:rPr>
          <w:rFonts w:ascii="Garamond" w:hAnsi="Garamond"/>
          <w:sz w:val="36"/>
          <w:szCs w:val="36"/>
          <w:highlight w:val="yellow"/>
        </w:rPr>
        <w:t>Project name</w:t>
      </w:r>
      <w:r w:rsidRPr="00262925">
        <w:rPr>
          <w:rFonts w:ascii="Garamond" w:hAnsi="Garamond"/>
          <w:sz w:val="36"/>
          <w:szCs w:val="36"/>
        </w:rPr>
        <w:t>]</w:t>
      </w:r>
    </w:p>
    <w:bookmarkEnd w:id="6"/>
    <w:p w14:paraId="5B0B37B1" w14:textId="77777777" w:rsidR="00A47739" w:rsidRPr="007217B9" w:rsidRDefault="00A47739" w:rsidP="00A47739">
      <w:pPr>
        <w:pStyle w:val="CoverText"/>
        <w:spacing w:before="560" w:after="567"/>
      </w:pPr>
      <w:r w:rsidRPr="007217B9">
        <w:t>Date</w:t>
      </w:r>
      <w:r w:rsidR="00763324">
        <w:t>d:</w:t>
      </w:r>
      <w:r>
        <w:t xml:space="preserve">                                  </w:t>
      </w:r>
    </w:p>
    <w:p w14:paraId="58647211" w14:textId="77777777" w:rsidR="00763324" w:rsidRDefault="00763324" w:rsidP="00A47739">
      <w:pPr>
        <w:pStyle w:val="CoverText"/>
        <w:spacing w:before="60" w:after="60"/>
        <w:rPr>
          <w:bCs/>
        </w:rPr>
      </w:pPr>
      <w:bookmarkStart w:id="7" w:name="CPFirstPartyName"/>
      <w:bookmarkStart w:id="8" w:name="_Hlk114577881"/>
      <w:bookmarkEnd w:id="7"/>
      <w:r>
        <w:rPr>
          <w:bCs/>
        </w:rPr>
        <w:t>Between:</w:t>
      </w:r>
    </w:p>
    <w:p w14:paraId="2078E9A4" w14:textId="387976E5" w:rsidR="00A47739" w:rsidRDefault="00263D11" w:rsidP="00763324">
      <w:pPr>
        <w:pStyle w:val="CoverText"/>
        <w:spacing w:before="240" w:after="60"/>
      </w:pPr>
      <w:r w:rsidRPr="00263D11">
        <w:rPr>
          <w:bCs/>
        </w:rPr>
        <w:t xml:space="preserve">The </w:t>
      </w:r>
      <w:r w:rsidR="00763324" w:rsidRPr="00763324">
        <w:rPr>
          <w:b/>
        </w:rPr>
        <w:t>COMMONWEALTH OF AUSTRALIA</w:t>
      </w:r>
      <w:r w:rsidR="00763324" w:rsidRPr="00263D11">
        <w:rPr>
          <w:bCs/>
        </w:rPr>
        <w:t xml:space="preserve"> </w:t>
      </w:r>
      <w:r w:rsidRPr="00263D11">
        <w:rPr>
          <w:bCs/>
        </w:rPr>
        <w:t xml:space="preserve">represented by the </w:t>
      </w:r>
      <w:r w:rsidR="00763324" w:rsidRPr="00763324">
        <w:rPr>
          <w:b/>
        </w:rPr>
        <w:t>DEPARTMENT OF CLIMATE CHANGE, ENERGY, THE ENVIRONMENT AND WATER</w:t>
      </w:r>
      <w:r w:rsidR="00763324" w:rsidRPr="00F84437" w:rsidDel="00D96EB5">
        <w:rPr>
          <w:b/>
        </w:rPr>
        <w:t xml:space="preserve"> </w:t>
      </w:r>
      <w:bookmarkEnd w:id="8"/>
      <w:r w:rsidR="008F5DC9">
        <w:rPr>
          <w:b/>
        </w:rPr>
        <w:t xml:space="preserve">ABN </w:t>
      </w:r>
      <w:r w:rsidR="008F5DC9" w:rsidRPr="005E1C34">
        <w:rPr>
          <w:b/>
        </w:rPr>
        <w:t xml:space="preserve">63 573 932 849 </w:t>
      </w:r>
      <w:r w:rsidR="00A47739">
        <w:t>(</w:t>
      </w:r>
      <w:r w:rsidR="00A47739" w:rsidRPr="00882D82">
        <w:rPr>
          <w:bCs/>
        </w:rPr>
        <w:t>“</w:t>
      </w:r>
      <w:r w:rsidR="00BE77D6" w:rsidRPr="00263D11">
        <w:rPr>
          <w:b/>
        </w:rPr>
        <w:t>Commonwealth</w:t>
      </w:r>
      <w:r w:rsidR="00A47739" w:rsidRPr="00882D82">
        <w:rPr>
          <w:bCs/>
        </w:rPr>
        <w:t>”</w:t>
      </w:r>
      <w:r w:rsidR="00A47739">
        <w:t>)</w:t>
      </w:r>
    </w:p>
    <w:p w14:paraId="59A80EE5" w14:textId="77777777" w:rsidR="00763324" w:rsidRDefault="00763324" w:rsidP="00763324">
      <w:pPr>
        <w:pStyle w:val="CoverText"/>
        <w:spacing w:before="240" w:after="60"/>
        <w:rPr>
          <w:bCs/>
        </w:rPr>
      </w:pPr>
      <w:r>
        <w:rPr>
          <w:bCs/>
        </w:rPr>
        <w:t>and</w:t>
      </w:r>
    </w:p>
    <w:p w14:paraId="1F504AA0" w14:textId="2BDE4435" w:rsidR="00A47739" w:rsidRDefault="00A47739" w:rsidP="00763324">
      <w:pPr>
        <w:pStyle w:val="CoverText"/>
        <w:spacing w:before="240" w:after="60"/>
      </w:pPr>
      <w:r w:rsidRPr="001A6660">
        <w:rPr>
          <w:bCs/>
        </w:rPr>
        <w:t>[</w:t>
      </w:r>
      <w:r w:rsidRPr="00E051C9">
        <w:rPr>
          <w:bCs/>
          <w:i/>
          <w:iCs/>
          <w:highlight w:val="yellow"/>
        </w:rPr>
        <w:t>insert</w:t>
      </w:r>
      <w:r w:rsidRPr="001A6660">
        <w:rPr>
          <w:bCs/>
        </w:rPr>
        <w:t>]</w:t>
      </w:r>
      <w:r w:rsidRPr="00F84437" w:rsidDel="00D96EB5">
        <w:rPr>
          <w:b/>
        </w:rPr>
        <w:t xml:space="preserve"> </w:t>
      </w:r>
      <w:r w:rsidR="008F5DC9">
        <w:rPr>
          <w:b/>
        </w:rPr>
        <w:t xml:space="preserve">ABN </w:t>
      </w:r>
      <w:r w:rsidR="008F5DC9" w:rsidRPr="001A6660">
        <w:rPr>
          <w:bCs/>
        </w:rPr>
        <w:t>[</w:t>
      </w:r>
      <w:r w:rsidR="008F5DC9" w:rsidRPr="00E051C9">
        <w:rPr>
          <w:bCs/>
          <w:i/>
          <w:iCs/>
          <w:highlight w:val="yellow"/>
        </w:rPr>
        <w:t>insert</w:t>
      </w:r>
      <w:r w:rsidR="008F5DC9" w:rsidRPr="001A6660">
        <w:rPr>
          <w:bCs/>
        </w:rPr>
        <w:t>]</w:t>
      </w:r>
      <w:r w:rsidR="008F5DC9" w:rsidRPr="00F84437" w:rsidDel="00D96EB5">
        <w:rPr>
          <w:b/>
        </w:rPr>
        <w:t xml:space="preserve"> </w:t>
      </w:r>
      <w:r>
        <w:t>(“</w:t>
      </w:r>
      <w:r w:rsidR="00E051C9">
        <w:rPr>
          <w:b/>
        </w:rPr>
        <w:t>Project Operator</w:t>
      </w:r>
      <w:r w:rsidRPr="00882D82">
        <w:rPr>
          <w:bCs/>
        </w:rPr>
        <w:t>”</w:t>
      </w:r>
      <w:r>
        <w:t>)</w:t>
      </w:r>
    </w:p>
    <w:p w14:paraId="664B9106" w14:textId="77777777" w:rsidR="00AC60FC" w:rsidRDefault="00AC60FC" w:rsidP="00153ED2">
      <w:pPr>
        <w:pStyle w:val="Indent2"/>
        <w:keepNext/>
        <w:ind w:left="57"/>
      </w:pPr>
    </w:p>
    <w:p w14:paraId="3209EF18" w14:textId="77777777" w:rsidR="00F40B8E" w:rsidRPr="00153ED2" w:rsidRDefault="00F40B8E" w:rsidP="00F40B8E">
      <w:pPr>
        <w:keepNext/>
        <w:rPr>
          <w:b/>
          <w:bCs/>
          <w:i/>
          <w:iCs/>
          <w:highlight w:val="lightGray"/>
        </w:rPr>
      </w:pPr>
      <w:r w:rsidRPr="00153ED2">
        <w:rPr>
          <w:b/>
          <w:bCs/>
          <w:i/>
          <w:iCs/>
        </w:rPr>
        <w:t>[</w:t>
      </w:r>
      <w:r w:rsidRPr="00153ED2">
        <w:rPr>
          <w:b/>
          <w:bCs/>
          <w:i/>
          <w:iCs/>
          <w:highlight w:val="lightGray"/>
        </w:rPr>
        <w:t xml:space="preserve">Important Notice </w:t>
      </w:r>
    </w:p>
    <w:p w14:paraId="42263AB2" w14:textId="7335489A" w:rsidR="00F40B8E" w:rsidRPr="00153ED2" w:rsidRDefault="00F40B8E" w:rsidP="00F40B8E">
      <w:pPr>
        <w:keepNext/>
        <w:spacing w:before="240"/>
        <w:rPr>
          <w:b/>
          <w:bCs/>
          <w:i/>
          <w:iCs/>
          <w:highlight w:val="lightGray"/>
        </w:rPr>
      </w:pPr>
      <w:r w:rsidRPr="00153ED2">
        <w:rPr>
          <w:b/>
          <w:bCs/>
          <w:i/>
          <w:iCs/>
          <w:highlight w:val="lightGray"/>
        </w:rPr>
        <w:t xml:space="preserve">This is the </w:t>
      </w:r>
      <w:r w:rsidR="00F714C8">
        <w:rPr>
          <w:b/>
          <w:bCs/>
          <w:i/>
          <w:iCs/>
          <w:highlight w:val="lightGray"/>
        </w:rPr>
        <w:t xml:space="preserve">draft </w:t>
      </w:r>
      <w:r w:rsidRPr="00153ED2">
        <w:rPr>
          <w:b/>
          <w:bCs/>
          <w:i/>
          <w:iCs/>
          <w:highlight w:val="lightGray"/>
        </w:rPr>
        <w:t xml:space="preserve">proforma Capacity Investment Scheme Agreement (CISA) provided in connection with the Capacity Investment Scheme </w:t>
      </w:r>
      <w:r>
        <w:rPr>
          <w:b/>
          <w:bCs/>
          <w:i/>
          <w:iCs/>
          <w:highlight w:val="lightGray"/>
        </w:rPr>
        <w:t>T</w:t>
      </w:r>
      <w:r w:rsidRPr="00153ED2">
        <w:rPr>
          <w:b/>
          <w:bCs/>
          <w:i/>
          <w:iCs/>
          <w:highlight w:val="lightGray"/>
        </w:rPr>
        <w:t xml:space="preserve">ender </w:t>
      </w:r>
      <w:r>
        <w:rPr>
          <w:b/>
          <w:bCs/>
          <w:i/>
          <w:iCs/>
          <w:highlight w:val="lightGray"/>
        </w:rPr>
        <w:t>P</w:t>
      </w:r>
      <w:r w:rsidRPr="00153ED2">
        <w:rPr>
          <w:b/>
          <w:bCs/>
          <w:i/>
          <w:iCs/>
          <w:highlight w:val="lightGray"/>
        </w:rPr>
        <w:t xml:space="preserve">rocess being conducted by the </w:t>
      </w:r>
      <w:r>
        <w:rPr>
          <w:b/>
          <w:bCs/>
          <w:i/>
          <w:iCs/>
          <w:highlight w:val="lightGray"/>
        </w:rPr>
        <w:t>Commonwealth</w:t>
      </w:r>
      <w:r w:rsidRPr="00153ED2">
        <w:rPr>
          <w:b/>
          <w:bCs/>
          <w:i/>
          <w:iCs/>
          <w:highlight w:val="lightGray"/>
        </w:rPr>
        <w:t xml:space="preserve"> pursuant to the </w:t>
      </w:r>
      <w:r>
        <w:rPr>
          <w:b/>
          <w:bCs/>
          <w:i/>
          <w:iCs/>
          <w:highlight w:val="lightGray"/>
        </w:rPr>
        <w:t xml:space="preserve">Tender Guidelines and associated documents </w:t>
      </w:r>
      <w:r w:rsidRPr="00153ED2">
        <w:rPr>
          <w:b/>
          <w:bCs/>
          <w:i/>
          <w:iCs/>
          <w:highlight w:val="lightGray"/>
        </w:rPr>
        <w:t xml:space="preserve">issued by </w:t>
      </w:r>
      <w:r>
        <w:rPr>
          <w:b/>
          <w:bCs/>
          <w:i/>
          <w:iCs/>
          <w:highlight w:val="lightGray"/>
        </w:rPr>
        <w:t xml:space="preserve">AEMO on behalf of </w:t>
      </w:r>
      <w:r w:rsidRPr="00153ED2">
        <w:rPr>
          <w:b/>
          <w:bCs/>
          <w:i/>
          <w:iCs/>
          <w:highlight w:val="lightGray"/>
        </w:rPr>
        <w:t xml:space="preserve">the </w:t>
      </w:r>
      <w:r>
        <w:rPr>
          <w:b/>
          <w:bCs/>
          <w:i/>
          <w:iCs/>
          <w:highlight w:val="lightGray"/>
        </w:rPr>
        <w:t xml:space="preserve">Commonwealth </w:t>
      </w:r>
      <w:r w:rsidRPr="00153ED2">
        <w:rPr>
          <w:b/>
          <w:bCs/>
          <w:i/>
          <w:iCs/>
          <w:highlight w:val="lightGray"/>
        </w:rPr>
        <w:t>on</w:t>
      </w:r>
      <w:r w:rsidR="004F5688">
        <w:rPr>
          <w:b/>
          <w:bCs/>
          <w:i/>
          <w:iCs/>
          <w:highlight w:val="lightGray"/>
        </w:rPr>
        <w:t xml:space="preserve"> </w:t>
      </w:r>
      <w:r w:rsidR="000C03CD">
        <w:rPr>
          <w:b/>
          <w:bCs/>
          <w:i/>
          <w:iCs/>
          <w:highlight w:val="lightGray"/>
        </w:rPr>
        <w:t>2</w:t>
      </w:r>
      <w:r w:rsidR="005372D4">
        <w:rPr>
          <w:b/>
          <w:bCs/>
          <w:i/>
          <w:iCs/>
          <w:highlight w:val="lightGray"/>
        </w:rPr>
        <w:t>9</w:t>
      </w:r>
      <w:r w:rsidR="000C03CD">
        <w:rPr>
          <w:b/>
          <w:bCs/>
          <w:i/>
          <w:iCs/>
          <w:highlight w:val="lightGray"/>
        </w:rPr>
        <w:t xml:space="preserve"> August 2025</w:t>
      </w:r>
      <w:r>
        <w:rPr>
          <w:b/>
          <w:bCs/>
          <w:i/>
          <w:iCs/>
          <w:highlight w:val="lightGray"/>
        </w:rPr>
        <w:t xml:space="preserve"> </w:t>
      </w:r>
      <w:r w:rsidRPr="00153ED2">
        <w:rPr>
          <w:b/>
          <w:bCs/>
          <w:i/>
          <w:iCs/>
          <w:highlight w:val="lightGray"/>
        </w:rPr>
        <w:t xml:space="preserve">(Tender Guidelines). Capitalised terms in this Important Notice have the meaning </w:t>
      </w:r>
      <w:r>
        <w:rPr>
          <w:b/>
          <w:bCs/>
          <w:i/>
          <w:iCs/>
          <w:highlight w:val="lightGray"/>
        </w:rPr>
        <w:t xml:space="preserve">given </w:t>
      </w:r>
      <w:r w:rsidRPr="00153ED2">
        <w:rPr>
          <w:b/>
          <w:bCs/>
          <w:i/>
          <w:iCs/>
          <w:highlight w:val="lightGray"/>
        </w:rPr>
        <w:t>in the Tender Guidelines</w:t>
      </w:r>
      <w:r>
        <w:rPr>
          <w:b/>
          <w:bCs/>
          <w:i/>
          <w:iCs/>
          <w:highlight w:val="lightGray"/>
        </w:rPr>
        <w:t xml:space="preserve"> or, if not defined there, the meaning given in this</w:t>
      </w:r>
      <w:r w:rsidR="00F714C8">
        <w:rPr>
          <w:b/>
          <w:bCs/>
          <w:i/>
          <w:iCs/>
          <w:highlight w:val="lightGray"/>
        </w:rPr>
        <w:t xml:space="preserve"> proforma</w:t>
      </w:r>
      <w:r>
        <w:rPr>
          <w:b/>
          <w:bCs/>
          <w:i/>
          <w:iCs/>
          <w:highlight w:val="lightGray"/>
        </w:rPr>
        <w:t xml:space="preserve"> CISA</w:t>
      </w:r>
      <w:r w:rsidRPr="00153ED2">
        <w:rPr>
          <w:b/>
          <w:bCs/>
          <w:i/>
          <w:iCs/>
          <w:highlight w:val="lightGray"/>
        </w:rPr>
        <w:t xml:space="preserve">. </w:t>
      </w:r>
    </w:p>
    <w:p w14:paraId="4FA6835F" w14:textId="61A3C1F2" w:rsidR="00F40B8E" w:rsidRPr="00153ED2" w:rsidRDefault="00F40B8E" w:rsidP="00F40B8E">
      <w:pPr>
        <w:keepNext/>
        <w:spacing w:before="240"/>
        <w:rPr>
          <w:b/>
          <w:bCs/>
          <w:i/>
          <w:iCs/>
          <w:highlight w:val="lightGray"/>
        </w:rPr>
      </w:pPr>
      <w:r w:rsidRPr="00153ED2">
        <w:rPr>
          <w:b/>
          <w:bCs/>
          <w:i/>
          <w:iCs/>
          <w:highlight w:val="lightGray"/>
        </w:rPr>
        <w:t xml:space="preserve">The </w:t>
      </w:r>
      <w:r>
        <w:rPr>
          <w:b/>
          <w:bCs/>
          <w:i/>
          <w:iCs/>
          <w:highlight w:val="lightGray"/>
        </w:rPr>
        <w:t>provision of th</w:t>
      </w:r>
      <w:r w:rsidR="008554C8">
        <w:rPr>
          <w:b/>
          <w:bCs/>
          <w:i/>
          <w:iCs/>
          <w:highlight w:val="lightGray"/>
        </w:rPr>
        <w:t xml:space="preserve">e </w:t>
      </w:r>
      <w:r w:rsidR="00485175">
        <w:rPr>
          <w:b/>
          <w:bCs/>
          <w:i/>
          <w:iCs/>
          <w:highlight w:val="lightGray"/>
        </w:rPr>
        <w:t xml:space="preserve">draft </w:t>
      </w:r>
      <w:r w:rsidRPr="00153ED2">
        <w:rPr>
          <w:b/>
          <w:bCs/>
          <w:i/>
          <w:iCs/>
          <w:highlight w:val="lightGray"/>
        </w:rPr>
        <w:t>Project Documents</w:t>
      </w:r>
      <w:r w:rsidR="008554C8">
        <w:rPr>
          <w:b/>
          <w:bCs/>
          <w:i/>
          <w:iCs/>
          <w:highlight w:val="lightGray"/>
        </w:rPr>
        <w:t xml:space="preserve"> </w:t>
      </w:r>
      <w:r>
        <w:rPr>
          <w:b/>
          <w:bCs/>
          <w:i/>
          <w:iCs/>
          <w:highlight w:val="lightGray"/>
        </w:rPr>
        <w:t>does</w:t>
      </w:r>
      <w:r w:rsidRPr="00153ED2">
        <w:rPr>
          <w:b/>
          <w:bCs/>
          <w:i/>
          <w:iCs/>
          <w:highlight w:val="lightGray"/>
        </w:rPr>
        <w:t xml:space="preserve"> not </w:t>
      </w:r>
      <w:r>
        <w:rPr>
          <w:b/>
          <w:bCs/>
          <w:i/>
          <w:iCs/>
          <w:highlight w:val="lightGray"/>
        </w:rPr>
        <w:t xml:space="preserve">constitute </w:t>
      </w:r>
      <w:r w:rsidRPr="00153ED2">
        <w:rPr>
          <w:b/>
          <w:bCs/>
          <w:i/>
          <w:iCs/>
          <w:highlight w:val="lightGray"/>
        </w:rPr>
        <w:t xml:space="preserve">an offer by the </w:t>
      </w:r>
      <w:r>
        <w:rPr>
          <w:b/>
          <w:bCs/>
          <w:i/>
          <w:iCs/>
          <w:highlight w:val="lightGray"/>
        </w:rPr>
        <w:t xml:space="preserve">Commonwealth </w:t>
      </w:r>
      <w:r w:rsidRPr="00153ED2">
        <w:rPr>
          <w:b/>
          <w:bCs/>
          <w:i/>
          <w:iCs/>
          <w:highlight w:val="lightGray"/>
        </w:rPr>
        <w:t xml:space="preserve">or AEMO to enter into those documents with any entity </w:t>
      </w:r>
      <w:r>
        <w:rPr>
          <w:b/>
          <w:bCs/>
          <w:i/>
          <w:iCs/>
          <w:highlight w:val="lightGray"/>
        </w:rPr>
        <w:t>that</w:t>
      </w:r>
      <w:r w:rsidRPr="00153ED2">
        <w:rPr>
          <w:b/>
          <w:bCs/>
          <w:i/>
          <w:iCs/>
          <w:highlight w:val="lightGray"/>
        </w:rPr>
        <w:t xml:space="preserve"> receives a copy of those documents</w:t>
      </w:r>
      <w:r>
        <w:rPr>
          <w:b/>
          <w:bCs/>
          <w:i/>
          <w:iCs/>
          <w:highlight w:val="lightGray"/>
        </w:rPr>
        <w:t>,</w:t>
      </w:r>
      <w:r w:rsidRPr="00153ED2">
        <w:rPr>
          <w:b/>
          <w:bCs/>
          <w:i/>
          <w:iCs/>
          <w:highlight w:val="lightGray"/>
        </w:rPr>
        <w:t xml:space="preserve"> and does not impose any legal commitment on the </w:t>
      </w:r>
      <w:r>
        <w:rPr>
          <w:b/>
          <w:bCs/>
          <w:i/>
          <w:iCs/>
          <w:highlight w:val="lightGray"/>
        </w:rPr>
        <w:t xml:space="preserve">Commonwealth </w:t>
      </w:r>
      <w:r w:rsidRPr="00153ED2">
        <w:rPr>
          <w:b/>
          <w:bCs/>
          <w:i/>
          <w:iCs/>
          <w:highlight w:val="lightGray"/>
        </w:rPr>
        <w:t>or AEMO</w:t>
      </w:r>
      <w:r>
        <w:rPr>
          <w:b/>
          <w:bCs/>
          <w:i/>
          <w:iCs/>
          <w:highlight w:val="lightGray"/>
        </w:rPr>
        <w:t xml:space="preserve"> in respect of those documents</w:t>
      </w:r>
      <w:r w:rsidRPr="00153ED2">
        <w:rPr>
          <w:b/>
          <w:bCs/>
          <w:i/>
          <w:iCs/>
          <w:highlight w:val="lightGray"/>
        </w:rPr>
        <w:t xml:space="preserve">. </w:t>
      </w:r>
    </w:p>
    <w:p w14:paraId="420AC301" w14:textId="7204B98C" w:rsidR="00F40B8E" w:rsidRDefault="00F40B8E" w:rsidP="00F40B8E">
      <w:pPr>
        <w:keepNext/>
        <w:spacing w:before="240"/>
        <w:rPr>
          <w:b/>
          <w:bCs/>
          <w:i/>
          <w:iCs/>
        </w:rPr>
      </w:pPr>
      <w:r w:rsidRPr="00153ED2">
        <w:rPr>
          <w:b/>
          <w:bCs/>
          <w:i/>
          <w:iCs/>
          <w:highlight w:val="lightGray"/>
        </w:rPr>
        <w:t xml:space="preserve">The provision of the draft Project Documents to Proponents is not intended to create legal rights for any party or to form a legally binding relationship, obligation or commitment by or involving the </w:t>
      </w:r>
      <w:r>
        <w:rPr>
          <w:b/>
          <w:bCs/>
          <w:i/>
          <w:iCs/>
          <w:highlight w:val="lightGray"/>
        </w:rPr>
        <w:t xml:space="preserve">Commonwealth </w:t>
      </w:r>
      <w:r w:rsidRPr="00153ED2">
        <w:rPr>
          <w:b/>
          <w:bCs/>
          <w:i/>
          <w:iCs/>
          <w:highlight w:val="lightGray"/>
        </w:rPr>
        <w:t xml:space="preserve">or AEMO. Recipients of the draft Project Documents should not rely on them or their contents as the sole basis for making any financial, investment or business decisions. The </w:t>
      </w:r>
      <w:r>
        <w:rPr>
          <w:b/>
          <w:bCs/>
          <w:i/>
          <w:iCs/>
          <w:highlight w:val="lightGray"/>
        </w:rPr>
        <w:t xml:space="preserve">Commonwealth </w:t>
      </w:r>
      <w:r w:rsidRPr="00153ED2">
        <w:rPr>
          <w:b/>
          <w:bCs/>
          <w:i/>
          <w:iCs/>
          <w:highlight w:val="lightGray"/>
        </w:rPr>
        <w:t>reserves the right to withdraw or amend the draft Project Documents at any time.</w:t>
      </w:r>
      <w:r w:rsidRPr="00153ED2">
        <w:rPr>
          <w:b/>
          <w:bCs/>
          <w:i/>
          <w:iCs/>
        </w:rPr>
        <w:t>]</w:t>
      </w:r>
    </w:p>
    <w:p w14:paraId="04096DE5" w14:textId="77777777" w:rsidR="00666B13" w:rsidRDefault="00666B13" w:rsidP="00F40B8E">
      <w:pPr>
        <w:keepNext/>
        <w:spacing w:before="240"/>
        <w:rPr>
          <w:b/>
          <w:bCs/>
          <w:i/>
          <w:iCs/>
        </w:rPr>
      </w:pPr>
    </w:p>
    <w:p w14:paraId="7C077628" w14:textId="60A40F83" w:rsidR="00D427C6" w:rsidRPr="008814B9" w:rsidRDefault="00D427C6" w:rsidP="00153ED2">
      <w:pPr>
        <w:pStyle w:val="Indent2"/>
        <w:keepNext/>
        <w:ind w:left="57"/>
      </w:pPr>
      <w:r w:rsidRPr="006D54FC">
        <w:t>[</w:t>
      </w:r>
      <w:r w:rsidRPr="004923DC">
        <w:rPr>
          <w:b/>
          <w:bCs/>
          <w:i/>
          <w:iCs/>
          <w:highlight w:val="lightGray"/>
        </w:rPr>
        <w:t>Note</w:t>
      </w:r>
      <w:r w:rsidR="00894FCF" w:rsidRPr="004923DC">
        <w:rPr>
          <w:b/>
          <w:bCs/>
          <w:i/>
          <w:iCs/>
          <w:highlight w:val="lightGray"/>
        </w:rPr>
        <w:t xml:space="preserve"> regarding Non-Storage Projects</w:t>
      </w:r>
      <w:r w:rsidRPr="004923DC">
        <w:rPr>
          <w:b/>
          <w:bCs/>
          <w:i/>
          <w:iCs/>
          <w:highlight w:val="lightGray"/>
        </w:rPr>
        <w:t>: this</w:t>
      </w:r>
      <w:r w:rsidR="00BC2BE9">
        <w:rPr>
          <w:b/>
          <w:bCs/>
          <w:i/>
          <w:iCs/>
          <w:highlight w:val="lightGray"/>
        </w:rPr>
        <w:t xml:space="preserve"> </w:t>
      </w:r>
      <w:r w:rsidR="003C5F55">
        <w:rPr>
          <w:b/>
          <w:bCs/>
          <w:i/>
          <w:iCs/>
          <w:highlight w:val="lightGray"/>
        </w:rPr>
        <w:t>proforma</w:t>
      </w:r>
      <w:r w:rsidR="003C5F55" w:rsidRPr="004923DC">
        <w:rPr>
          <w:b/>
          <w:bCs/>
          <w:i/>
          <w:iCs/>
          <w:highlight w:val="lightGray"/>
        </w:rPr>
        <w:t xml:space="preserve"> </w:t>
      </w:r>
      <w:r w:rsidR="001D2A3C">
        <w:rPr>
          <w:b/>
          <w:bCs/>
          <w:i/>
          <w:iCs/>
          <w:highlight w:val="lightGray"/>
        </w:rPr>
        <w:t xml:space="preserve">CISA </w:t>
      </w:r>
      <w:r w:rsidRPr="004923DC">
        <w:rPr>
          <w:b/>
          <w:bCs/>
          <w:i/>
          <w:iCs/>
          <w:highlight w:val="lightGray"/>
        </w:rPr>
        <w:t xml:space="preserve">assumes that the Project </w:t>
      </w:r>
      <w:r w:rsidR="008814B9" w:rsidRPr="004923DC">
        <w:rPr>
          <w:b/>
          <w:bCs/>
          <w:i/>
          <w:iCs/>
          <w:highlight w:val="lightGray"/>
        </w:rPr>
        <w:t>will include storage capacity. If a proposed Project comprises dispatchable</w:t>
      </w:r>
      <w:r w:rsidR="00AF0695" w:rsidRPr="004923DC">
        <w:rPr>
          <w:b/>
          <w:bCs/>
          <w:i/>
          <w:iCs/>
          <w:highlight w:val="lightGray"/>
        </w:rPr>
        <w:t>, non-storage</w:t>
      </w:r>
      <w:r w:rsidR="008814B9" w:rsidRPr="004923DC">
        <w:rPr>
          <w:b/>
          <w:bCs/>
          <w:i/>
          <w:iCs/>
          <w:highlight w:val="lightGray"/>
        </w:rPr>
        <w:t xml:space="preserve"> capacity only, then the storage-related provisions of this agreement will need to be removed. Drafting notes have been included in this</w:t>
      </w:r>
      <w:r w:rsidR="00BC2BE9">
        <w:rPr>
          <w:b/>
          <w:bCs/>
          <w:i/>
          <w:iCs/>
          <w:highlight w:val="lightGray"/>
        </w:rPr>
        <w:t xml:space="preserve"> </w:t>
      </w:r>
      <w:r w:rsidR="003C5F55">
        <w:rPr>
          <w:b/>
          <w:bCs/>
          <w:i/>
          <w:iCs/>
          <w:highlight w:val="lightGray"/>
        </w:rPr>
        <w:t>proforma</w:t>
      </w:r>
      <w:r w:rsidR="003C5F55" w:rsidRPr="004923DC">
        <w:rPr>
          <w:b/>
          <w:bCs/>
          <w:i/>
          <w:iCs/>
          <w:highlight w:val="lightGray"/>
        </w:rPr>
        <w:t xml:space="preserve"> </w:t>
      </w:r>
      <w:r w:rsidR="001D2A3C">
        <w:rPr>
          <w:b/>
          <w:bCs/>
          <w:i/>
          <w:iCs/>
          <w:highlight w:val="lightGray"/>
        </w:rPr>
        <w:t xml:space="preserve">CISA </w:t>
      </w:r>
      <w:r w:rsidR="008814B9" w:rsidRPr="004923DC">
        <w:rPr>
          <w:b/>
          <w:bCs/>
          <w:i/>
          <w:iCs/>
          <w:highlight w:val="lightGray"/>
        </w:rPr>
        <w:t>to identify the key storage provisions that will not apply to a Project comprising dispatchable</w:t>
      </w:r>
      <w:r w:rsidR="00043F79">
        <w:rPr>
          <w:b/>
          <w:bCs/>
          <w:i/>
          <w:iCs/>
          <w:highlight w:val="lightGray"/>
        </w:rPr>
        <w:t xml:space="preserve"> </w:t>
      </w:r>
      <w:r w:rsidR="008814B9" w:rsidRPr="004923DC">
        <w:rPr>
          <w:b/>
          <w:bCs/>
          <w:i/>
          <w:iCs/>
          <w:highlight w:val="lightGray"/>
        </w:rPr>
        <w:t>capacity only.</w:t>
      </w:r>
      <w:r w:rsidR="00992899" w:rsidRPr="004923DC">
        <w:rPr>
          <w:b/>
          <w:bCs/>
          <w:i/>
          <w:iCs/>
          <w:highlight w:val="lightGray"/>
        </w:rPr>
        <w:t xml:space="preserve"> For those Projects, alternative performance test(s) may be included in this agreement </w:t>
      </w:r>
      <w:r w:rsidR="00FD572B">
        <w:rPr>
          <w:b/>
          <w:bCs/>
          <w:i/>
          <w:iCs/>
          <w:highlight w:val="lightGray"/>
        </w:rPr>
        <w:t>before execution of Project Documents</w:t>
      </w:r>
      <w:r w:rsidR="00992899" w:rsidRPr="004923DC">
        <w:rPr>
          <w:b/>
          <w:bCs/>
          <w:i/>
          <w:iCs/>
          <w:highlight w:val="lightGray"/>
        </w:rPr>
        <w:t xml:space="preserve"> to replace the Storage Capacity testing and reporting regime. The Proponent may propose a replacement regime for the Commonwealth to consider</w:t>
      </w:r>
      <w:r w:rsidR="004923DC">
        <w:rPr>
          <w:b/>
          <w:bCs/>
          <w:i/>
          <w:iCs/>
          <w:highlight w:val="lightGray"/>
        </w:rPr>
        <w:t>.</w:t>
      </w:r>
      <w:r w:rsidR="008814B9" w:rsidRPr="006D54FC">
        <w:t>]</w:t>
      </w:r>
    </w:p>
    <w:p w14:paraId="20CA263E" w14:textId="39D9E0C4" w:rsidR="008554C8" w:rsidRPr="00D315FD" w:rsidRDefault="00E46366" w:rsidP="00D315FD">
      <w:pPr>
        <w:pStyle w:val="Indent2"/>
        <w:ind w:left="0"/>
        <w:rPr>
          <w:b/>
          <w:bCs/>
          <w:i/>
          <w:iCs/>
        </w:rPr>
      </w:pPr>
      <w:r w:rsidRPr="00292088">
        <w:t>[</w:t>
      </w:r>
      <w:r w:rsidRPr="004D3942">
        <w:rPr>
          <w:b/>
          <w:bCs/>
          <w:i/>
          <w:iCs/>
          <w:highlight w:val="lightGray"/>
        </w:rPr>
        <w:t xml:space="preserve">Note regarding </w:t>
      </w:r>
      <w:r w:rsidR="00FE5193">
        <w:rPr>
          <w:b/>
          <w:bCs/>
          <w:i/>
          <w:iCs/>
          <w:highlight w:val="lightGray"/>
        </w:rPr>
        <w:t>H</w:t>
      </w:r>
      <w:r w:rsidRPr="004D3942">
        <w:rPr>
          <w:b/>
          <w:bCs/>
          <w:i/>
          <w:iCs/>
          <w:highlight w:val="lightGray"/>
        </w:rPr>
        <w:t xml:space="preserve">ybrid </w:t>
      </w:r>
      <w:r w:rsidR="00FE5193">
        <w:rPr>
          <w:b/>
          <w:bCs/>
          <w:i/>
          <w:iCs/>
          <w:highlight w:val="lightGray"/>
        </w:rPr>
        <w:t>P</w:t>
      </w:r>
      <w:r w:rsidRPr="004D3942">
        <w:rPr>
          <w:b/>
          <w:bCs/>
          <w:i/>
          <w:iCs/>
          <w:highlight w:val="lightGray"/>
        </w:rPr>
        <w:t xml:space="preserve">rojects: This </w:t>
      </w:r>
      <w:r w:rsidR="003C5F55">
        <w:rPr>
          <w:b/>
          <w:bCs/>
          <w:i/>
          <w:iCs/>
          <w:highlight w:val="lightGray"/>
        </w:rPr>
        <w:t>proforma</w:t>
      </w:r>
      <w:r w:rsidR="003C5F55" w:rsidRPr="004D3942">
        <w:rPr>
          <w:b/>
          <w:bCs/>
          <w:i/>
          <w:iCs/>
          <w:highlight w:val="lightGray"/>
        </w:rPr>
        <w:t xml:space="preserve"> </w:t>
      </w:r>
      <w:r w:rsidR="001D2A3C">
        <w:rPr>
          <w:b/>
          <w:bCs/>
          <w:i/>
          <w:iCs/>
          <w:highlight w:val="lightGray"/>
        </w:rPr>
        <w:t xml:space="preserve">CISA </w:t>
      </w:r>
      <w:r w:rsidRPr="004D3942">
        <w:rPr>
          <w:b/>
          <w:bCs/>
          <w:i/>
          <w:iCs/>
          <w:highlight w:val="lightGray"/>
        </w:rPr>
        <w:t xml:space="preserve">identifies a number of </w:t>
      </w:r>
      <w:r w:rsidR="001D2A3C">
        <w:rPr>
          <w:b/>
          <w:bCs/>
          <w:i/>
          <w:iCs/>
          <w:highlight w:val="lightGray"/>
        </w:rPr>
        <w:t xml:space="preserve">square </w:t>
      </w:r>
      <w:r w:rsidRPr="004D3942">
        <w:rPr>
          <w:b/>
          <w:bCs/>
          <w:i/>
          <w:iCs/>
          <w:highlight w:val="lightGray"/>
        </w:rPr>
        <w:t>bracketed changes that will be adopted for all Hybrid Project</w:t>
      </w:r>
      <w:r w:rsidR="001D2A3C">
        <w:rPr>
          <w:b/>
          <w:bCs/>
          <w:i/>
          <w:iCs/>
          <w:highlight w:val="lightGray"/>
        </w:rPr>
        <w:t>s</w:t>
      </w:r>
      <w:r w:rsidR="0000302F">
        <w:rPr>
          <w:b/>
          <w:bCs/>
          <w:i/>
          <w:iCs/>
          <w:highlight w:val="lightGray"/>
        </w:rPr>
        <w:t>, as appropriate</w:t>
      </w:r>
      <w:r w:rsidRPr="004D3942">
        <w:rPr>
          <w:b/>
          <w:bCs/>
          <w:i/>
          <w:iCs/>
          <w:highlight w:val="lightGray"/>
        </w:rPr>
        <w:t xml:space="preserve">. This </w:t>
      </w:r>
      <w:r w:rsidR="00F714C8">
        <w:rPr>
          <w:b/>
          <w:bCs/>
          <w:i/>
          <w:iCs/>
          <w:highlight w:val="lightGray"/>
        </w:rPr>
        <w:t xml:space="preserve">draft </w:t>
      </w:r>
      <w:r w:rsidR="003C5F55">
        <w:rPr>
          <w:b/>
          <w:bCs/>
          <w:i/>
          <w:iCs/>
          <w:highlight w:val="lightGray"/>
        </w:rPr>
        <w:t>proforma</w:t>
      </w:r>
      <w:r w:rsidR="003C5F55" w:rsidRPr="004D3942">
        <w:rPr>
          <w:b/>
          <w:bCs/>
          <w:i/>
          <w:iCs/>
          <w:highlight w:val="lightGray"/>
        </w:rPr>
        <w:t xml:space="preserve"> </w:t>
      </w:r>
      <w:r w:rsidR="001D2A3C">
        <w:rPr>
          <w:b/>
          <w:bCs/>
          <w:i/>
          <w:iCs/>
          <w:highlight w:val="lightGray"/>
        </w:rPr>
        <w:t xml:space="preserve">CISA </w:t>
      </w:r>
      <w:r w:rsidRPr="004D3942">
        <w:rPr>
          <w:b/>
          <w:bCs/>
          <w:i/>
          <w:iCs/>
          <w:highlight w:val="lightGray"/>
        </w:rPr>
        <w:t>assumes that a ‘</w:t>
      </w:r>
      <w:r w:rsidR="007B7808">
        <w:rPr>
          <w:b/>
          <w:bCs/>
          <w:i/>
          <w:iCs/>
          <w:highlight w:val="lightGray"/>
        </w:rPr>
        <w:t>H</w:t>
      </w:r>
      <w:r w:rsidRPr="004D3942">
        <w:rPr>
          <w:b/>
          <w:bCs/>
          <w:i/>
          <w:iCs/>
          <w:highlight w:val="lightGray"/>
        </w:rPr>
        <w:t xml:space="preserve">ybrid </w:t>
      </w:r>
      <w:r w:rsidR="007B7808">
        <w:rPr>
          <w:b/>
          <w:bCs/>
          <w:i/>
          <w:iCs/>
          <w:highlight w:val="lightGray"/>
        </w:rPr>
        <w:t>P</w:t>
      </w:r>
      <w:r w:rsidRPr="004D3942">
        <w:rPr>
          <w:b/>
          <w:bCs/>
          <w:i/>
          <w:iCs/>
          <w:highlight w:val="lightGray"/>
        </w:rPr>
        <w:t>roject’ involves a single</w:t>
      </w:r>
      <w:r w:rsidR="00485175">
        <w:rPr>
          <w:b/>
          <w:bCs/>
          <w:i/>
          <w:iCs/>
          <w:highlight w:val="lightGray"/>
        </w:rPr>
        <w:t>,</w:t>
      </w:r>
      <w:r w:rsidRPr="004D3942">
        <w:rPr>
          <w:b/>
          <w:bCs/>
          <w:i/>
          <w:iCs/>
          <w:highlight w:val="lightGray"/>
        </w:rPr>
        <w:t xml:space="preserve"> identifiable </w:t>
      </w:r>
      <w:r w:rsidR="00157A80">
        <w:rPr>
          <w:b/>
          <w:bCs/>
          <w:i/>
          <w:iCs/>
          <w:highlight w:val="lightGray"/>
        </w:rPr>
        <w:t>clean dispatchable</w:t>
      </w:r>
      <w:r w:rsidR="00157A80" w:rsidRPr="004D3942">
        <w:rPr>
          <w:b/>
          <w:bCs/>
          <w:i/>
          <w:iCs/>
          <w:highlight w:val="lightGray"/>
        </w:rPr>
        <w:t xml:space="preserve"> </w:t>
      </w:r>
      <w:r w:rsidRPr="004D3942">
        <w:rPr>
          <w:b/>
          <w:bCs/>
          <w:i/>
          <w:iCs/>
          <w:highlight w:val="lightGray"/>
        </w:rPr>
        <w:t>project and another single, separately identifiable Associated Project. More complex hybrid structures will require specific assessment to determine whether additional changes are required</w:t>
      </w:r>
      <w:r w:rsidR="00F714C8">
        <w:rPr>
          <w:b/>
          <w:bCs/>
          <w:i/>
          <w:iCs/>
          <w:highlight w:val="lightGray"/>
        </w:rPr>
        <w:t xml:space="preserve"> and whether they can be accommodated as part of the CIS</w:t>
      </w:r>
      <w:r w:rsidRPr="004D3942">
        <w:rPr>
          <w:b/>
          <w:bCs/>
          <w:i/>
          <w:iCs/>
          <w:highlight w:val="lightGray"/>
        </w:rPr>
        <w:t xml:space="preserve">. Further changes may be required to this agreement to accommodate the specifics of the </w:t>
      </w:r>
      <w:r w:rsidR="007B7808">
        <w:rPr>
          <w:b/>
          <w:bCs/>
          <w:i/>
          <w:iCs/>
          <w:highlight w:val="lightGray"/>
        </w:rPr>
        <w:t>H</w:t>
      </w:r>
      <w:r w:rsidRPr="004D3942">
        <w:rPr>
          <w:b/>
          <w:bCs/>
          <w:i/>
          <w:iCs/>
          <w:highlight w:val="lightGray"/>
        </w:rPr>
        <w:t xml:space="preserve">ybrid </w:t>
      </w:r>
      <w:r w:rsidR="007B7808">
        <w:rPr>
          <w:b/>
          <w:bCs/>
          <w:i/>
          <w:iCs/>
          <w:highlight w:val="lightGray"/>
        </w:rPr>
        <w:t>P</w:t>
      </w:r>
      <w:r w:rsidRPr="004D3942">
        <w:rPr>
          <w:b/>
          <w:bCs/>
          <w:i/>
          <w:iCs/>
          <w:highlight w:val="lightGray"/>
        </w:rPr>
        <w:t>roject configuration put forward by the Proponent</w:t>
      </w:r>
      <w:r w:rsidR="002E4D99">
        <w:rPr>
          <w:b/>
          <w:bCs/>
          <w:i/>
          <w:iCs/>
          <w:highlight w:val="lightGray"/>
        </w:rPr>
        <w:t>, if it is accepted</w:t>
      </w:r>
      <w:r w:rsidRPr="004D3942">
        <w:rPr>
          <w:b/>
          <w:bCs/>
          <w:i/>
          <w:iCs/>
          <w:highlight w:val="lightGray"/>
        </w:rPr>
        <w:t>.</w:t>
      </w:r>
      <w:r w:rsidR="006D54FC" w:rsidRPr="006D54FC">
        <w:t>]</w:t>
      </w:r>
      <w:bookmarkStart w:id="9" w:name="CPCentre"/>
      <w:bookmarkEnd w:id="9"/>
    </w:p>
    <w:p w14:paraId="1928B64A" w14:textId="77777777" w:rsidR="002E4D99" w:rsidRDefault="00503574" w:rsidP="004578AA">
      <w:pPr>
        <w:keepNext/>
        <w:spacing w:before="240"/>
        <w:rPr>
          <w:b/>
          <w:bCs/>
          <w:i/>
          <w:iCs/>
          <w:highlight w:val="lightGray"/>
        </w:rPr>
      </w:pPr>
      <w:r>
        <w:rPr>
          <w:b/>
          <w:bCs/>
          <w:i/>
          <w:iCs/>
          <w:highlight w:val="lightGray"/>
        </w:rPr>
        <w:t xml:space="preserve">Note regarding Staged Projects: </w:t>
      </w:r>
    </w:p>
    <w:p w14:paraId="29ADA08F" w14:textId="714EA262" w:rsidR="002E4D99" w:rsidRDefault="002E4D99" w:rsidP="008F660B">
      <w:pPr>
        <w:pStyle w:val="ListParagraph"/>
        <w:keepNext/>
        <w:numPr>
          <w:ilvl w:val="0"/>
          <w:numId w:val="112"/>
        </w:numPr>
        <w:spacing w:before="240"/>
        <w:rPr>
          <w:b/>
          <w:bCs/>
          <w:i/>
          <w:iCs/>
          <w:highlight w:val="lightGray"/>
        </w:rPr>
      </w:pPr>
      <w:r w:rsidRPr="008F660B">
        <w:rPr>
          <w:b/>
          <w:bCs/>
          <w:i/>
          <w:iCs/>
          <w:highlight w:val="lightGray"/>
        </w:rPr>
        <w:t>T</w:t>
      </w:r>
      <w:r w:rsidR="00BA663D" w:rsidRPr="008F660B">
        <w:rPr>
          <w:b/>
          <w:bCs/>
          <w:i/>
          <w:iCs/>
          <w:highlight w:val="lightGray"/>
        </w:rPr>
        <w:t xml:space="preserve">his proforma CISA </w:t>
      </w:r>
      <w:r w:rsidRPr="008F660B">
        <w:rPr>
          <w:b/>
          <w:bCs/>
          <w:i/>
          <w:iCs/>
          <w:highlight w:val="lightGray"/>
        </w:rPr>
        <w:t xml:space="preserve">includes drafting to accommodate </w:t>
      </w:r>
      <w:r w:rsidR="00BA663D" w:rsidRPr="008F660B">
        <w:rPr>
          <w:b/>
          <w:bCs/>
          <w:i/>
          <w:iCs/>
          <w:highlight w:val="lightGray"/>
        </w:rPr>
        <w:t xml:space="preserve">Staged Projects </w:t>
      </w:r>
      <w:r w:rsidR="00503574" w:rsidRPr="008F660B">
        <w:rPr>
          <w:b/>
          <w:bCs/>
          <w:i/>
          <w:iCs/>
          <w:highlight w:val="lightGray"/>
        </w:rPr>
        <w:t xml:space="preserve">(where a second energy storage project (the “Existing Project”) will </w:t>
      </w:r>
      <w:r w:rsidR="00B8117B">
        <w:rPr>
          <w:b/>
          <w:bCs/>
          <w:i/>
          <w:iCs/>
          <w:highlight w:val="lightGray"/>
        </w:rPr>
        <w:t xml:space="preserve">be </w:t>
      </w:r>
      <w:r w:rsidR="00503574" w:rsidRPr="008F660B">
        <w:rPr>
          <w:b/>
          <w:bCs/>
          <w:i/>
          <w:iCs/>
          <w:highlight w:val="lightGray"/>
        </w:rPr>
        <w:t xml:space="preserve">co-located with the Project). </w:t>
      </w:r>
      <w:r w:rsidRPr="008F660B">
        <w:rPr>
          <w:b/>
          <w:bCs/>
          <w:i/>
          <w:iCs/>
          <w:highlight w:val="lightGray"/>
        </w:rPr>
        <w:t>All references to “Existing Project” throughout this proforma CISA are in reference to Staged Projects.</w:t>
      </w:r>
      <w:r w:rsidR="00503574" w:rsidRPr="008F660B">
        <w:rPr>
          <w:b/>
          <w:bCs/>
          <w:i/>
          <w:iCs/>
          <w:highlight w:val="lightGray"/>
        </w:rPr>
        <w:t xml:space="preserve"> </w:t>
      </w:r>
    </w:p>
    <w:p w14:paraId="71083DB9" w14:textId="3AFFD008" w:rsidR="002E4D99" w:rsidRDefault="00503574" w:rsidP="008F660B">
      <w:pPr>
        <w:pStyle w:val="ListParagraph"/>
        <w:keepNext/>
        <w:numPr>
          <w:ilvl w:val="0"/>
          <w:numId w:val="112"/>
        </w:numPr>
        <w:spacing w:before="240"/>
        <w:rPr>
          <w:b/>
          <w:bCs/>
          <w:i/>
          <w:iCs/>
          <w:highlight w:val="lightGray"/>
        </w:rPr>
      </w:pPr>
      <w:r w:rsidRPr="008F660B">
        <w:rPr>
          <w:b/>
          <w:bCs/>
          <w:i/>
          <w:iCs/>
          <w:highlight w:val="lightGray"/>
        </w:rPr>
        <w:t xml:space="preserve">The Existing Project may have reached </w:t>
      </w:r>
      <w:r w:rsidR="002E4D99">
        <w:rPr>
          <w:b/>
          <w:bCs/>
          <w:i/>
          <w:iCs/>
          <w:highlight w:val="lightGray"/>
        </w:rPr>
        <w:t xml:space="preserve">its </w:t>
      </w:r>
      <w:r w:rsidRPr="008F660B">
        <w:rPr>
          <w:b/>
          <w:bCs/>
          <w:i/>
          <w:iCs/>
          <w:highlight w:val="lightGray"/>
        </w:rPr>
        <w:t xml:space="preserve">commercial operation before the Signing Date of the CISA or may be developed after the Signing Date, provided that in all cases, the Project must not reach </w:t>
      </w:r>
      <w:r w:rsidR="002E4D99">
        <w:rPr>
          <w:b/>
          <w:bCs/>
          <w:i/>
          <w:iCs/>
          <w:highlight w:val="lightGray"/>
        </w:rPr>
        <w:t>its C</w:t>
      </w:r>
      <w:r w:rsidRPr="008F660B">
        <w:rPr>
          <w:b/>
          <w:bCs/>
          <w:i/>
          <w:iCs/>
          <w:highlight w:val="lightGray"/>
        </w:rPr>
        <w:t xml:space="preserve">ommercial </w:t>
      </w:r>
      <w:r w:rsidR="002E4D99">
        <w:rPr>
          <w:b/>
          <w:bCs/>
          <w:i/>
          <w:iCs/>
          <w:highlight w:val="lightGray"/>
        </w:rPr>
        <w:t>O</w:t>
      </w:r>
      <w:r w:rsidRPr="008F660B">
        <w:rPr>
          <w:b/>
          <w:bCs/>
          <w:i/>
          <w:iCs/>
          <w:highlight w:val="lightGray"/>
        </w:rPr>
        <w:t>peration</w:t>
      </w:r>
      <w:r w:rsidR="002E4D99">
        <w:rPr>
          <w:b/>
          <w:bCs/>
          <w:i/>
          <w:iCs/>
          <w:highlight w:val="lightGray"/>
        </w:rPr>
        <w:t>s Date</w:t>
      </w:r>
      <w:r w:rsidRPr="008F660B">
        <w:rPr>
          <w:b/>
          <w:bCs/>
          <w:i/>
          <w:iCs/>
          <w:highlight w:val="lightGray"/>
        </w:rPr>
        <w:t xml:space="preserve"> before the Existing Project.</w:t>
      </w:r>
      <w:r w:rsidR="00BC2BE9">
        <w:rPr>
          <w:b/>
          <w:bCs/>
          <w:i/>
          <w:iCs/>
          <w:highlight w:val="lightGray"/>
        </w:rPr>
        <w:t xml:space="preserve"> </w:t>
      </w:r>
    </w:p>
    <w:p w14:paraId="300932A4" w14:textId="43E180BF" w:rsidR="00C70870" w:rsidRDefault="00503574" w:rsidP="008F660B">
      <w:pPr>
        <w:pStyle w:val="ListParagraph"/>
        <w:keepNext/>
        <w:numPr>
          <w:ilvl w:val="0"/>
          <w:numId w:val="112"/>
        </w:numPr>
        <w:spacing w:before="240"/>
        <w:rPr>
          <w:b/>
          <w:bCs/>
          <w:i/>
          <w:iCs/>
          <w:highlight w:val="lightGray"/>
        </w:rPr>
      </w:pPr>
      <w:r w:rsidRPr="008F660B">
        <w:rPr>
          <w:b/>
          <w:bCs/>
          <w:i/>
          <w:iCs/>
          <w:highlight w:val="lightGray"/>
        </w:rPr>
        <w:t>A Staged Project with a single Connection Point must be registered as a single Facility in the WEM.</w:t>
      </w:r>
      <w:r w:rsidR="00BC2BE9">
        <w:rPr>
          <w:b/>
          <w:bCs/>
          <w:i/>
          <w:iCs/>
          <w:highlight w:val="lightGray"/>
        </w:rPr>
        <w:t xml:space="preserve"> </w:t>
      </w:r>
      <w:r w:rsidRPr="008F660B">
        <w:rPr>
          <w:b/>
          <w:bCs/>
          <w:i/>
          <w:iCs/>
          <w:highlight w:val="lightGray"/>
        </w:rPr>
        <w:t xml:space="preserve">If there are two Connection Points for a Staged Project, then the facilities </w:t>
      </w:r>
      <w:r w:rsidR="002E4D99">
        <w:rPr>
          <w:b/>
          <w:bCs/>
          <w:i/>
          <w:iCs/>
          <w:highlight w:val="lightGray"/>
        </w:rPr>
        <w:t xml:space="preserve">which comprise the Staged Project </w:t>
      </w:r>
      <w:r w:rsidRPr="008F660B">
        <w:rPr>
          <w:b/>
          <w:bCs/>
          <w:i/>
          <w:iCs/>
          <w:highlight w:val="lightGray"/>
        </w:rPr>
        <w:t xml:space="preserve">must be electrically connected and registered as a single Facility in the WEM. </w:t>
      </w:r>
    </w:p>
    <w:p w14:paraId="2C4326A0" w14:textId="68804AD5" w:rsidR="004578AA" w:rsidRPr="008F660B" w:rsidRDefault="00503574" w:rsidP="008F660B">
      <w:pPr>
        <w:pStyle w:val="ListParagraph"/>
        <w:keepNext/>
        <w:numPr>
          <w:ilvl w:val="0"/>
          <w:numId w:val="112"/>
        </w:numPr>
        <w:spacing w:before="240"/>
        <w:rPr>
          <w:b/>
          <w:bCs/>
          <w:i/>
          <w:iCs/>
          <w:highlight w:val="lightGray"/>
        </w:rPr>
      </w:pPr>
      <w:r w:rsidRPr="008F660B">
        <w:rPr>
          <w:b/>
          <w:bCs/>
          <w:i/>
          <w:iCs/>
          <w:highlight w:val="lightGray"/>
        </w:rPr>
        <w:t xml:space="preserve">An alternative apportionment methodology may be required in circumstances </w:t>
      </w:r>
      <w:r w:rsidR="00C70870">
        <w:rPr>
          <w:b/>
          <w:bCs/>
          <w:i/>
          <w:iCs/>
          <w:highlight w:val="lightGray"/>
        </w:rPr>
        <w:t>in which</w:t>
      </w:r>
      <w:r w:rsidRPr="008F660B">
        <w:rPr>
          <w:b/>
          <w:bCs/>
          <w:i/>
          <w:iCs/>
          <w:highlight w:val="lightGray"/>
        </w:rPr>
        <w:t xml:space="preserve"> the two energy storage assets comprising the Staged Project are not directly comparable on a MW/h basis. This may include scenarios </w:t>
      </w:r>
      <w:r w:rsidR="00C70870">
        <w:rPr>
          <w:b/>
          <w:bCs/>
          <w:i/>
          <w:iCs/>
          <w:highlight w:val="lightGray"/>
        </w:rPr>
        <w:t>in which</w:t>
      </w:r>
      <w:r w:rsidRPr="008F660B">
        <w:rPr>
          <w:b/>
          <w:bCs/>
          <w:i/>
          <w:iCs/>
          <w:highlight w:val="lightGray"/>
        </w:rPr>
        <w:t xml:space="preserve"> the two energy storage assets have:</w:t>
      </w:r>
    </w:p>
    <w:p w14:paraId="2BED4297" w14:textId="77777777" w:rsidR="00C70870" w:rsidRPr="00C70870" w:rsidRDefault="00503574" w:rsidP="008F660B">
      <w:pPr>
        <w:pStyle w:val="ListParagraph"/>
        <w:numPr>
          <w:ilvl w:val="1"/>
          <w:numId w:val="112"/>
        </w:numPr>
        <w:rPr>
          <w:b/>
          <w:bCs/>
          <w:i/>
          <w:iCs/>
          <w:highlight w:val="lightGray"/>
        </w:rPr>
      </w:pPr>
      <w:r w:rsidRPr="008F660B">
        <w:rPr>
          <w:b/>
          <w:bCs/>
          <w:i/>
          <w:iCs/>
          <w:highlight w:val="lightGray"/>
        </w:rPr>
        <w:t>significantly different capacity factors; and/o</w:t>
      </w:r>
      <w:r w:rsidR="004578AA" w:rsidRPr="008F660B">
        <w:rPr>
          <w:b/>
          <w:bCs/>
          <w:i/>
          <w:iCs/>
          <w:highlight w:val="lightGray"/>
        </w:rPr>
        <w:t>r</w:t>
      </w:r>
    </w:p>
    <w:p w14:paraId="717CD63E" w14:textId="4299A168" w:rsidR="00C70870" w:rsidRDefault="00C70870" w:rsidP="008F660B">
      <w:pPr>
        <w:pStyle w:val="ListParagraph"/>
        <w:numPr>
          <w:ilvl w:val="1"/>
          <w:numId w:val="112"/>
        </w:numPr>
        <w:rPr>
          <w:b/>
          <w:bCs/>
          <w:i/>
          <w:iCs/>
          <w:highlight w:val="lightGray"/>
        </w:rPr>
      </w:pPr>
      <w:r w:rsidRPr="00C70870">
        <w:rPr>
          <w:b/>
          <w:bCs/>
          <w:i/>
          <w:iCs/>
          <w:highlight w:val="lightGray"/>
        </w:rPr>
        <w:t>different operational control constraints and objectives.</w:t>
      </w:r>
      <w:r w:rsidRPr="00C70870">
        <w:rPr>
          <w:b/>
          <w:bCs/>
          <w:i/>
          <w:iCs/>
        </w:rPr>
        <w:t>]</w:t>
      </w:r>
    </w:p>
    <w:p w14:paraId="576E0B40" w14:textId="77777777" w:rsidR="00503574" w:rsidRPr="008F660B" w:rsidRDefault="00503574" w:rsidP="008F660B">
      <w:pPr>
        <w:rPr>
          <w:highlight w:val="lightGray"/>
        </w:rPr>
      </w:pPr>
    </w:p>
    <w:p w14:paraId="2A7B739B" w14:textId="24234D6B" w:rsidR="00F6149E" w:rsidRDefault="00C70870" w:rsidP="00503574">
      <w:pPr>
        <w:keepNext/>
        <w:spacing w:before="240"/>
        <w:rPr>
          <w:b/>
          <w:bCs/>
          <w:i/>
          <w:iCs/>
          <w:highlight w:val="lightGray"/>
        </w:rPr>
      </w:pPr>
      <w:r w:rsidRPr="00C70870" w:rsidDel="00C70870">
        <w:rPr>
          <w:b/>
          <w:highlight w:val="lightGray"/>
        </w:rPr>
        <w:t xml:space="preserve"> </w:t>
      </w:r>
      <w:r w:rsidR="00503574" w:rsidRPr="00272B1D">
        <w:rPr>
          <w:b/>
          <w:bCs/>
          <w:highlight w:val="lightGray"/>
        </w:rPr>
        <w:t>[</w:t>
      </w:r>
      <w:r w:rsidR="00503574" w:rsidRPr="00272B1D">
        <w:rPr>
          <w:b/>
          <w:bCs/>
          <w:i/>
          <w:iCs/>
          <w:highlight w:val="lightGray"/>
        </w:rPr>
        <w:t xml:space="preserve">Note regarding Reference Details: for the purposes of </w:t>
      </w:r>
      <w:r w:rsidR="00BF2F1F" w:rsidRPr="00272B1D">
        <w:rPr>
          <w:b/>
          <w:bCs/>
          <w:i/>
          <w:iCs/>
          <w:highlight w:val="lightGray"/>
        </w:rPr>
        <w:t>populating</w:t>
      </w:r>
      <w:r w:rsidR="00503574" w:rsidRPr="00272B1D">
        <w:rPr>
          <w:b/>
          <w:bCs/>
          <w:i/>
          <w:iCs/>
          <w:highlight w:val="lightGray"/>
        </w:rPr>
        <w:t xml:space="preserve"> this </w:t>
      </w:r>
      <w:r w:rsidR="00BF2F1F" w:rsidRPr="00272B1D">
        <w:rPr>
          <w:b/>
          <w:bCs/>
          <w:i/>
          <w:iCs/>
          <w:highlight w:val="lightGray"/>
        </w:rPr>
        <w:t xml:space="preserve">proforma </w:t>
      </w:r>
      <w:r w:rsidR="00503574" w:rsidRPr="00272B1D">
        <w:rPr>
          <w:b/>
          <w:bCs/>
          <w:i/>
          <w:iCs/>
          <w:highlight w:val="lightGray"/>
        </w:rPr>
        <w:t xml:space="preserve">CISA as part of the </w:t>
      </w:r>
      <w:r w:rsidR="00503574">
        <w:rPr>
          <w:b/>
          <w:bCs/>
          <w:i/>
          <w:iCs/>
          <w:highlight w:val="lightGray"/>
        </w:rPr>
        <w:t xml:space="preserve">Tender Process, Proponents are </w:t>
      </w:r>
      <w:r w:rsidR="00BF2F1F">
        <w:rPr>
          <w:b/>
          <w:bCs/>
          <w:i/>
          <w:iCs/>
          <w:highlight w:val="lightGray"/>
        </w:rPr>
        <w:t xml:space="preserve">instructed </w:t>
      </w:r>
      <w:r w:rsidR="00503574">
        <w:rPr>
          <w:b/>
          <w:bCs/>
          <w:i/>
          <w:iCs/>
          <w:highlight w:val="lightGray"/>
        </w:rPr>
        <w:t xml:space="preserve">NOT to populate the following items of the ‘Reference Details’: </w:t>
      </w:r>
    </w:p>
    <w:p w14:paraId="39E0CE6E" w14:textId="1AAE14B3" w:rsidR="00F6149E" w:rsidRPr="008F660B" w:rsidRDefault="00503574" w:rsidP="008F660B">
      <w:pPr>
        <w:pStyle w:val="ListParagraph"/>
        <w:keepNext/>
        <w:numPr>
          <w:ilvl w:val="0"/>
          <w:numId w:val="98"/>
        </w:numPr>
        <w:spacing w:before="240"/>
        <w:rPr>
          <w:b/>
          <w:bCs/>
          <w:i/>
          <w:iCs/>
          <w:highlight w:val="lightGray"/>
        </w:rPr>
      </w:pPr>
      <w:r w:rsidRPr="008F660B">
        <w:rPr>
          <w:b/>
          <w:bCs/>
          <w:i/>
          <w:iCs/>
          <w:highlight w:val="lightGray"/>
        </w:rPr>
        <w:t>item 1 (Project)</w:t>
      </w:r>
      <w:r w:rsidR="00B04F79">
        <w:rPr>
          <w:b/>
          <w:bCs/>
          <w:i/>
          <w:iCs/>
          <w:highlight w:val="lightGray"/>
        </w:rPr>
        <w:t>;</w:t>
      </w:r>
    </w:p>
    <w:p w14:paraId="04CE1250" w14:textId="37548CF3" w:rsidR="00F6149E" w:rsidRPr="008F660B" w:rsidRDefault="00F6149E" w:rsidP="008F660B">
      <w:pPr>
        <w:pStyle w:val="ListParagraph"/>
        <w:keepNext/>
        <w:numPr>
          <w:ilvl w:val="0"/>
          <w:numId w:val="98"/>
        </w:numPr>
        <w:spacing w:before="240"/>
        <w:rPr>
          <w:b/>
          <w:bCs/>
          <w:i/>
          <w:iCs/>
          <w:highlight w:val="lightGray"/>
        </w:rPr>
      </w:pPr>
      <w:r w:rsidRPr="008F660B">
        <w:rPr>
          <w:b/>
          <w:bCs/>
          <w:i/>
          <w:iCs/>
          <w:highlight w:val="lightGray"/>
        </w:rPr>
        <w:t xml:space="preserve">item </w:t>
      </w:r>
      <w:r w:rsidR="00503574" w:rsidRPr="008F660B">
        <w:rPr>
          <w:b/>
          <w:bCs/>
          <w:i/>
          <w:iCs/>
          <w:highlight w:val="lightGray"/>
        </w:rPr>
        <w:t>2 (Import Capacity)</w:t>
      </w:r>
      <w:r w:rsidR="00B04F79">
        <w:rPr>
          <w:b/>
          <w:bCs/>
          <w:i/>
          <w:iCs/>
          <w:highlight w:val="lightGray"/>
        </w:rPr>
        <w:t>;</w:t>
      </w:r>
    </w:p>
    <w:p w14:paraId="30A924CA" w14:textId="53064321" w:rsidR="00F6149E" w:rsidRPr="008F660B" w:rsidRDefault="00F6149E" w:rsidP="008F660B">
      <w:pPr>
        <w:pStyle w:val="ListParagraph"/>
        <w:keepNext/>
        <w:numPr>
          <w:ilvl w:val="0"/>
          <w:numId w:val="98"/>
        </w:numPr>
        <w:spacing w:before="240"/>
        <w:rPr>
          <w:b/>
          <w:bCs/>
          <w:i/>
          <w:iCs/>
          <w:highlight w:val="lightGray"/>
        </w:rPr>
      </w:pPr>
      <w:r w:rsidRPr="008F660B">
        <w:rPr>
          <w:b/>
          <w:bCs/>
          <w:i/>
          <w:iCs/>
          <w:highlight w:val="lightGray"/>
        </w:rPr>
        <w:t xml:space="preserve">item </w:t>
      </w:r>
      <w:r w:rsidR="00503574" w:rsidRPr="008F660B">
        <w:rPr>
          <w:b/>
          <w:bCs/>
          <w:i/>
          <w:iCs/>
          <w:highlight w:val="lightGray"/>
        </w:rPr>
        <w:t>3 (Export Capacity)</w:t>
      </w:r>
      <w:r w:rsidR="00B04F79">
        <w:rPr>
          <w:b/>
          <w:bCs/>
          <w:i/>
          <w:iCs/>
          <w:highlight w:val="lightGray"/>
        </w:rPr>
        <w:t>;</w:t>
      </w:r>
    </w:p>
    <w:p w14:paraId="4C7451D5" w14:textId="70F84F0D" w:rsidR="00F6149E" w:rsidRPr="008F660B" w:rsidRDefault="00F6149E" w:rsidP="008F660B">
      <w:pPr>
        <w:pStyle w:val="ListParagraph"/>
        <w:keepNext/>
        <w:numPr>
          <w:ilvl w:val="0"/>
          <w:numId w:val="98"/>
        </w:numPr>
        <w:spacing w:before="240"/>
        <w:rPr>
          <w:b/>
          <w:bCs/>
          <w:i/>
          <w:iCs/>
          <w:highlight w:val="lightGray"/>
        </w:rPr>
      </w:pPr>
      <w:bookmarkStart w:id="10" w:name="_Ref205554607"/>
      <w:r w:rsidRPr="008F660B">
        <w:rPr>
          <w:b/>
          <w:bCs/>
          <w:i/>
          <w:iCs/>
          <w:highlight w:val="lightGray"/>
        </w:rPr>
        <w:t xml:space="preserve">item </w:t>
      </w:r>
      <w:r w:rsidR="00503574" w:rsidRPr="008F660B">
        <w:rPr>
          <w:b/>
          <w:bCs/>
          <w:i/>
          <w:iCs/>
          <w:highlight w:val="lightGray"/>
        </w:rPr>
        <w:t>4 (Storage Capacity)</w:t>
      </w:r>
      <w:r w:rsidR="00B04F79">
        <w:rPr>
          <w:b/>
          <w:bCs/>
          <w:i/>
          <w:iCs/>
          <w:highlight w:val="lightGray"/>
        </w:rPr>
        <w:t>;</w:t>
      </w:r>
      <w:bookmarkEnd w:id="10"/>
    </w:p>
    <w:p w14:paraId="4E535C91" w14:textId="72FDD6C2" w:rsidR="00F6149E" w:rsidRPr="008F660B" w:rsidRDefault="00F6149E" w:rsidP="008F660B">
      <w:pPr>
        <w:pStyle w:val="ListParagraph"/>
        <w:keepNext/>
        <w:numPr>
          <w:ilvl w:val="0"/>
          <w:numId w:val="98"/>
        </w:numPr>
        <w:spacing w:before="240"/>
        <w:rPr>
          <w:b/>
          <w:bCs/>
          <w:i/>
          <w:iCs/>
          <w:highlight w:val="lightGray"/>
        </w:rPr>
      </w:pPr>
      <w:r w:rsidRPr="008F660B">
        <w:rPr>
          <w:b/>
          <w:bCs/>
          <w:i/>
          <w:iCs/>
          <w:highlight w:val="lightGray"/>
        </w:rPr>
        <w:t xml:space="preserve">item </w:t>
      </w:r>
      <w:r w:rsidR="00824106">
        <w:rPr>
          <w:b/>
          <w:bCs/>
          <w:i/>
          <w:iCs/>
          <w:highlight w:val="lightGray"/>
        </w:rPr>
        <w:t>9</w:t>
      </w:r>
      <w:r w:rsidR="00503574" w:rsidRPr="008F660B">
        <w:rPr>
          <w:b/>
          <w:bCs/>
          <w:i/>
          <w:iCs/>
          <w:highlight w:val="lightGray"/>
        </w:rPr>
        <w:t xml:space="preserve"> (AP Maximum Capacity)</w:t>
      </w:r>
      <w:r w:rsidR="00B04F79">
        <w:rPr>
          <w:b/>
          <w:bCs/>
          <w:i/>
          <w:iCs/>
          <w:highlight w:val="lightGray"/>
        </w:rPr>
        <w:t>;</w:t>
      </w:r>
    </w:p>
    <w:p w14:paraId="0311883D" w14:textId="513AEA86" w:rsidR="00F6149E" w:rsidRPr="008F660B" w:rsidRDefault="00F6149E" w:rsidP="008F660B">
      <w:pPr>
        <w:pStyle w:val="ListParagraph"/>
        <w:keepNext/>
        <w:numPr>
          <w:ilvl w:val="0"/>
          <w:numId w:val="98"/>
        </w:numPr>
        <w:spacing w:before="240"/>
        <w:rPr>
          <w:b/>
          <w:bCs/>
          <w:i/>
          <w:iCs/>
          <w:highlight w:val="lightGray"/>
        </w:rPr>
      </w:pPr>
      <w:r w:rsidRPr="008F660B">
        <w:rPr>
          <w:b/>
          <w:bCs/>
          <w:i/>
          <w:iCs/>
          <w:highlight w:val="lightGray"/>
        </w:rPr>
        <w:t xml:space="preserve">item </w:t>
      </w:r>
      <w:r w:rsidR="00824106">
        <w:rPr>
          <w:b/>
          <w:bCs/>
          <w:i/>
          <w:iCs/>
          <w:highlight w:val="lightGray"/>
        </w:rPr>
        <w:t>11</w:t>
      </w:r>
      <w:r w:rsidR="00503574" w:rsidRPr="008F660B">
        <w:rPr>
          <w:b/>
          <w:bCs/>
          <w:i/>
          <w:iCs/>
          <w:highlight w:val="lightGray"/>
        </w:rPr>
        <w:t xml:space="preserve"> (Connection Point Limit)</w:t>
      </w:r>
      <w:r w:rsidR="00B04F79">
        <w:rPr>
          <w:b/>
          <w:bCs/>
          <w:i/>
          <w:iCs/>
          <w:highlight w:val="lightGray"/>
        </w:rPr>
        <w:t>;</w:t>
      </w:r>
    </w:p>
    <w:p w14:paraId="24DC368F" w14:textId="27D3734C" w:rsidR="00F6149E" w:rsidRPr="008F660B" w:rsidRDefault="00F6149E" w:rsidP="008F660B">
      <w:pPr>
        <w:pStyle w:val="ListParagraph"/>
        <w:keepNext/>
        <w:numPr>
          <w:ilvl w:val="0"/>
          <w:numId w:val="98"/>
        </w:numPr>
        <w:spacing w:before="240"/>
        <w:rPr>
          <w:b/>
          <w:bCs/>
          <w:i/>
          <w:iCs/>
          <w:highlight w:val="lightGray"/>
        </w:rPr>
      </w:pPr>
      <w:r w:rsidRPr="008F660B">
        <w:rPr>
          <w:b/>
          <w:bCs/>
          <w:i/>
          <w:iCs/>
          <w:highlight w:val="lightGray"/>
        </w:rPr>
        <w:t xml:space="preserve">item </w:t>
      </w:r>
      <w:r w:rsidR="00824106">
        <w:rPr>
          <w:b/>
          <w:bCs/>
          <w:i/>
          <w:iCs/>
          <w:highlight w:val="lightGray"/>
        </w:rPr>
        <w:t>19</w:t>
      </w:r>
      <w:r w:rsidR="00503574" w:rsidRPr="008F660B">
        <w:rPr>
          <w:b/>
          <w:bCs/>
          <w:i/>
          <w:iCs/>
          <w:highlight w:val="lightGray"/>
        </w:rPr>
        <w:t xml:space="preserve"> (Final Support End Date)</w:t>
      </w:r>
      <w:r w:rsidR="00B04F79">
        <w:rPr>
          <w:b/>
          <w:bCs/>
          <w:i/>
          <w:iCs/>
          <w:highlight w:val="lightGray"/>
        </w:rPr>
        <w:t>;</w:t>
      </w:r>
    </w:p>
    <w:p w14:paraId="0A897AE9" w14:textId="01E17567" w:rsidR="00F6149E" w:rsidRPr="008F660B" w:rsidRDefault="00F6149E" w:rsidP="008F660B">
      <w:pPr>
        <w:pStyle w:val="ListParagraph"/>
        <w:keepNext/>
        <w:numPr>
          <w:ilvl w:val="0"/>
          <w:numId w:val="98"/>
        </w:numPr>
        <w:spacing w:before="240"/>
        <w:rPr>
          <w:b/>
          <w:bCs/>
          <w:i/>
          <w:iCs/>
          <w:highlight w:val="lightGray"/>
        </w:rPr>
      </w:pPr>
      <w:r w:rsidRPr="008F660B">
        <w:rPr>
          <w:b/>
          <w:bCs/>
          <w:i/>
          <w:iCs/>
          <w:highlight w:val="lightGray"/>
        </w:rPr>
        <w:t xml:space="preserve">item </w:t>
      </w:r>
      <w:r w:rsidR="00824106">
        <w:rPr>
          <w:b/>
          <w:bCs/>
          <w:i/>
          <w:iCs/>
          <w:highlight w:val="lightGray"/>
        </w:rPr>
        <w:t>22</w:t>
      </w:r>
      <w:r w:rsidR="00503574" w:rsidRPr="008F660B">
        <w:rPr>
          <w:b/>
          <w:bCs/>
          <w:i/>
          <w:iCs/>
          <w:highlight w:val="lightGray"/>
        </w:rPr>
        <w:t xml:space="preserve"> (COD Target Date)</w:t>
      </w:r>
      <w:r w:rsidR="00B04F79">
        <w:rPr>
          <w:b/>
          <w:bCs/>
          <w:i/>
          <w:iCs/>
          <w:highlight w:val="lightGray"/>
        </w:rPr>
        <w:t>;</w:t>
      </w:r>
    </w:p>
    <w:p w14:paraId="5563C491" w14:textId="56418068" w:rsidR="00F6149E" w:rsidRPr="008F660B" w:rsidRDefault="00F6149E" w:rsidP="008F660B">
      <w:pPr>
        <w:pStyle w:val="ListParagraph"/>
        <w:keepNext/>
        <w:numPr>
          <w:ilvl w:val="0"/>
          <w:numId w:val="98"/>
        </w:numPr>
        <w:spacing w:before="240"/>
        <w:rPr>
          <w:b/>
          <w:bCs/>
          <w:i/>
          <w:iCs/>
          <w:highlight w:val="lightGray"/>
        </w:rPr>
      </w:pPr>
      <w:r w:rsidRPr="008F660B">
        <w:rPr>
          <w:b/>
          <w:bCs/>
          <w:i/>
          <w:iCs/>
          <w:highlight w:val="lightGray"/>
        </w:rPr>
        <w:t xml:space="preserve">item </w:t>
      </w:r>
      <w:r w:rsidR="00824106">
        <w:rPr>
          <w:b/>
          <w:bCs/>
          <w:i/>
          <w:iCs/>
          <w:highlight w:val="lightGray"/>
        </w:rPr>
        <w:t>24</w:t>
      </w:r>
      <w:r w:rsidR="00503574" w:rsidRPr="008F660B">
        <w:rPr>
          <w:b/>
          <w:bCs/>
          <w:i/>
          <w:iCs/>
          <w:highlight w:val="lightGray"/>
        </w:rPr>
        <w:t xml:space="preserve"> (Annual Floor)</w:t>
      </w:r>
      <w:r w:rsidR="00B04F79">
        <w:rPr>
          <w:b/>
          <w:bCs/>
          <w:i/>
          <w:iCs/>
          <w:highlight w:val="lightGray"/>
        </w:rPr>
        <w:t>;</w:t>
      </w:r>
    </w:p>
    <w:p w14:paraId="50188CDC" w14:textId="14B676CB" w:rsidR="00F6149E" w:rsidRPr="008F660B" w:rsidRDefault="00F6149E" w:rsidP="008F660B">
      <w:pPr>
        <w:pStyle w:val="ListParagraph"/>
        <w:keepNext/>
        <w:numPr>
          <w:ilvl w:val="0"/>
          <w:numId w:val="98"/>
        </w:numPr>
        <w:spacing w:before="240"/>
        <w:rPr>
          <w:b/>
          <w:bCs/>
          <w:i/>
          <w:iCs/>
          <w:highlight w:val="lightGray"/>
        </w:rPr>
      </w:pPr>
      <w:r w:rsidRPr="008F660B">
        <w:rPr>
          <w:b/>
          <w:bCs/>
          <w:i/>
          <w:iCs/>
          <w:highlight w:val="lightGray"/>
        </w:rPr>
        <w:t xml:space="preserve">item </w:t>
      </w:r>
      <w:r w:rsidR="00824106">
        <w:rPr>
          <w:b/>
          <w:bCs/>
          <w:i/>
          <w:iCs/>
          <w:highlight w:val="lightGray"/>
        </w:rPr>
        <w:t>25</w:t>
      </w:r>
      <w:r w:rsidR="00503574" w:rsidRPr="008F660B">
        <w:rPr>
          <w:b/>
          <w:bCs/>
          <w:i/>
          <w:iCs/>
          <w:highlight w:val="lightGray"/>
        </w:rPr>
        <w:t xml:space="preserve"> (Annual Ceiling)</w:t>
      </w:r>
      <w:r w:rsidR="00B04F79">
        <w:rPr>
          <w:b/>
          <w:bCs/>
          <w:i/>
          <w:iCs/>
          <w:highlight w:val="lightGray"/>
        </w:rPr>
        <w:t>;</w:t>
      </w:r>
      <w:r w:rsidR="00503574" w:rsidRPr="008F660B">
        <w:rPr>
          <w:b/>
          <w:bCs/>
          <w:i/>
          <w:iCs/>
          <w:highlight w:val="lightGray"/>
        </w:rPr>
        <w:t xml:space="preserve"> and </w:t>
      </w:r>
    </w:p>
    <w:p w14:paraId="21225415" w14:textId="3FEBF9A2" w:rsidR="00F6149E" w:rsidRPr="008F660B" w:rsidRDefault="00F6149E" w:rsidP="008F660B">
      <w:pPr>
        <w:pStyle w:val="ListParagraph"/>
        <w:keepNext/>
        <w:numPr>
          <w:ilvl w:val="0"/>
          <w:numId w:val="98"/>
        </w:numPr>
        <w:spacing w:before="240"/>
        <w:rPr>
          <w:b/>
          <w:bCs/>
          <w:i/>
          <w:iCs/>
          <w:highlight w:val="lightGray"/>
        </w:rPr>
      </w:pPr>
      <w:r w:rsidRPr="008F660B">
        <w:rPr>
          <w:b/>
          <w:bCs/>
          <w:i/>
          <w:iCs/>
          <w:highlight w:val="lightGray"/>
        </w:rPr>
        <w:t xml:space="preserve">item </w:t>
      </w:r>
      <w:r w:rsidR="00824106">
        <w:rPr>
          <w:b/>
          <w:bCs/>
          <w:i/>
          <w:iCs/>
          <w:highlight w:val="lightGray"/>
        </w:rPr>
        <w:t>26</w:t>
      </w:r>
      <w:r w:rsidR="00503574" w:rsidRPr="008F660B">
        <w:rPr>
          <w:b/>
          <w:bCs/>
          <w:i/>
          <w:iCs/>
          <w:highlight w:val="lightGray"/>
        </w:rPr>
        <w:t xml:space="preserve"> (Annual Payment Cap).</w:t>
      </w:r>
      <w:r w:rsidR="00BC2BE9">
        <w:rPr>
          <w:b/>
          <w:bCs/>
          <w:i/>
          <w:iCs/>
          <w:highlight w:val="lightGray"/>
        </w:rPr>
        <w:t xml:space="preserve"> </w:t>
      </w:r>
      <w:r w:rsidR="00503574" w:rsidRPr="008F660B">
        <w:rPr>
          <w:b/>
          <w:bCs/>
          <w:i/>
          <w:iCs/>
          <w:highlight w:val="lightGray"/>
        </w:rPr>
        <w:t xml:space="preserve"> </w:t>
      </w:r>
    </w:p>
    <w:p w14:paraId="4D2FFA1E" w14:textId="1848CAD7" w:rsidR="00503574" w:rsidRPr="000A609F" w:rsidRDefault="00503574" w:rsidP="2741D21C">
      <w:pPr>
        <w:keepNext/>
        <w:spacing w:before="240"/>
        <w:rPr>
          <w:b/>
          <w:bCs/>
          <w:i/>
          <w:iCs/>
        </w:rPr>
        <w:sectPr w:rsidR="00503574" w:rsidRPr="000A609F" w:rsidSect="00E5595F">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1417" w:left="4195" w:header="425" w:footer="567" w:gutter="0"/>
          <w:pgNumType w:start="1"/>
          <w:cols w:space="720"/>
          <w:titlePg/>
          <w:docGrid w:linePitch="313"/>
        </w:sectPr>
      </w:pPr>
      <w:r>
        <w:rPr>
          <w:b/>
          <w:bCs/>
          <w:i/>
          <w:iCs/>
          <w:highlight w:val="lightGray"/>
        </w:rPr>
        <w:t>The information in respect of these items is</w:t>
      </w:r>
      <w:r w:rsidR="00F6149E">
        <w:rPr>
          <w:b/>
          <w:bCs/>
          <w:i/>
          <w:iCs/>
          <w:highlight w:val="lightGray"/>
        </w:rPr>
        <w:t xml:space="preserve"> instead</w:t>
      </w:r>
      <w:r>
        <w:rPr>
          <w:b/>
          <w:bCs/>
          <w:i/>
          <w:iCs/>
          <w:highlight w:val="lightGray"/>
        </w:rPr>
        <w:t xml:space="preserve"> required to be set out </w:t>
      </w:r>
      <w:r w:rsidR="00F6149E">
        <w:rPr>
          <w:b/>
          <w:bCs/>
          <w:i/>
          <w:iCs/>
          <w:highlight w:val="lightGray"/>
        </w:rPr>
        <w:t xml:space="preserve">by Proponents </w:t>
      </w:r>
      <w:r>
        <w:rPr>
          <w:b/>
          <w:bCs/>
          <w:i/>
          <w:iCs/>
          <w:highlight w:val="lightGray"/>
        </w:rPr>
        <w:t>in the Returnable Schedules.</w:t>
      </w:r>
      <w:r w:rsidR="00F6149E">
        <w:rPr>
          <w:b/>
          <w:bCs/>
          <w:i/>
          <w:iCs/>
          <w:highlight w:val="lightGray"/>
        </w:rPr>
        <w:t xml:space="preserve"> If the Proponent is invited to enter into the Project Documents in respect of the Project, the above Reference Details will then be populated by the Commonwealth in finalisation of the Project Documents.</w:t>
      </w:r>
      <w:r>
        <w:rPr>
          <w:b/>
          <w:bCs/>
          <w:i/>
          <w:iCs/>
          <w:highlight w:val="lightGray"/>
        </w:rPr>
        <w:t>]</w:t>
      </w:r>
      <w:r>
        <w:rPr>
          <w:b/>
          <w:bCs/>
          <w:i/>
          <w:iCs/>
        </w:rPr>
        <w:t xml:space="preserve"> </w:t>
      </w:r>
    </w:p>
    <w:p w14:paraId="449B2BA3" w14:textId="77777777" w:rsidR="003B3F37" w:rsidRPr="007217B9" w:rsidRDefault="003B3F37">
      <w:pPr>
        <w:rPr>
          <w:vanish/>
          <w:color w:val="808080"/>
        </w:rPr>
      </w:pPr>
    </w:p>
    <w:bookmarkStart w:id="11" w:name="Contents"/>
    <w:bookmarkEnd w:id="11"/>
    <w:p w14:paraId="5CB895B7" w14:textId="7D735DB3" w:rsidR="00537D9A" w:rsidRDefault="00F65EEA">
      <w:pPr>
        <w:pStyle w:val="TOC3"/>
        <w:rPr>
          <w:rFonts w:asciiTheme="minorHAnsi" w:eastAsiaTheme="minorEastAsia" w:hAnsiTheme="minorHAnsi" w:cstheme="minorBidi"/>
          <w:b w:val="0"/>
          <w:noProof/>
          <w:kern w:val="2"/>
          <w:sz w:val="24"/>
          <w:szCs w:val="24"/>
          <w:lang w:eastAsia="en-AU"/>
          <w14:ligatures w14:val="standardContextual"/>
        </w:rPr>
      </w:pPr>
      <w:r>
        <w:fldChar w:fldCharType="begin"/>
      </w:r>
      <w:r>
        <w:instrText xml:space="preserve"> TOC \o "1-2" \t "Header sub,3,Part Heading,1,Annexure Page Heading,3,Schedule Page Heading,3" </w:instrText>
      </w:r>
      <w:r>
        <w:fldChar w:fldCharType="separate"/>
      </w:r>
      <w:r w:rsidR="00537D9A">
        <w:rPr>
          <w:noProof/>
        </w:rPr>
        <w:t>Details</w:t>
      </w:r>
      <w:r w:rsidR="00537D9A">
        <w:rPr>
          <w:noProof/>
        </w:rPr>
        <w:tab/>
      </w:r>
      <w:r w:rsidR="00537D9A">
        <w:rPr>
          <w:noProof/>
        </w:rPr>
        <w:fldChar w:fldCharType="begin"/>
      </w:r>
      <w:r w:rsidR="00537D9A">
        <w:rPr>
          <w:noProof/>
        </w:rPr>
        <w:instrText xml:space="preserve"> PAGEREF _Toc207309544 \h </w:instrText>
      </w:r>
      <w:r w:rsidR="00537D9A">
        <w:rPr>
          <w:noProof/>
        </w:rPr>
      </w:r>
      <w:r w:rsidR="00537D9A">
        <w:rPr>
          <w:noProof/>
        </w:rPr>
        <w:fldChar w:fldCharType="separate"/>
      </w:r>
      <w:r w:rsidR="00537D9A">
        <w:rPr>
          <w:noProof/>
        </w:rPr>
        <w:t>1</w:t>
      </w:r>
      <w:r w:rsidR="00537D9A">
        <w:rPr>
          <w:noProof/>
        </w:rPr>
        <w:fldChar w:fldCharType="end"/>
      </w:r>
    </w:p>
    <w:p w14:paraId="305463CD" w14:textId="6F086D22" w:rsidR="00537D9A" w:rsidRDefault="00537D9A">
      <w:pPr>
        <w:pStyle w:val="TOC3"/>
        <w:rPr>
          <w:rFonts w:asciiTheme="minorHAnsi" w:eastAsiaTheme="minorEastAsia" w:hAnsiTheme="minorHAnsi" w:cstheme="minorBidi"/>
          <w:b w:val="0"/>
          <w:noProof/>
          <w:kern w:val="2"/>
          <w:sz w:val="24"/>
          <w:szCs w:val="24"/>
          <w:lang w:eastAsia="en-AU"/>
          <w14:ligatures w14:val="standardContextual"/>
        </w:rPr>
      </w:pPr>
      <w:r>
        <w:rPr>
          <w:noProof/>
        </w:rPr>
        <w:t>Reference Details</w:t>
      </w:r>
      <w:r>
        <w:rPr>
          <w:noProof/>
        </w:rPr>
        <w:tab/>
      </w:r>
      <w:r>
        <w:rPr>
          <w:noProof/>
        </w:rPr>
        <w:fldChar w:fldCharType="begin"/>
      </w:r>
      <w:r>
        <w:rPr>
          <w:noProof/>
        </w:rPr>
        <w:instrText xml:space="preserve"> PAGEREF _Toc207309545 \h </w:instrText>
      </w:r>
      <w:r>
        <w:rPr>
          <w:noProof/>
        </w:rPr>
      </w:r>
      <w:r>
        <w:rPr>
          <w:noProof/>
        </w:rPr>
        <w:fldChar w:fldCharType="separate"/>
      </w:r>
      <w:r>
        <w:rPr>
          <w:noProof/>
        </w:rPr>
        <w:t>2</w:t>
      </w:r>
      <w:r>
        <w:rPr>
          <w:noProof/>
        </w:rPr>
        <w:fldChar w:fldCharType="end"/>
      </w:r>
    </w:p>
    <w:p w14:paraId="30856C8A" w14:textId="56396A57" w:rsidR="00537D9A" w:rsidRDefault="00537D9A">
      <w:pPr>
        <w:pStyle w:val="TOC3"/>
        <w:rPr>
          <w:rFonts w:asciiTheme="minorHAnsi" w:eastAsiaTheme="minorEastAsia" w:hAnsiTheme="minorHAnsi" w:cstheme="minorBidi"/>
          <w:b w:val="0"/>
          <w:noProof/>
          <w:kern w:val="2"/>
          <w:sz w:val="24"/>
          <w:szCs w:val="24"/>
          <w:lang w:eastAsia="en-AU"/>
          <w14:ligatures w14:val="standardContextual"/>
        </w:rPr>
      </w:pPr>
      <w:r>
        <w:rPr>
          <w:noProof/>
        </w:rPr>
        <w:t>General terms</w:t>
      </w:r>
      <w:r>
        <w:rPr>
          <w:noProof/>
        </w:rPr>
        <w:tab/>
      </w:r>
      <w:r>
        <w:rPr>
          <w:noProof/>
        </w:rPr>
        <w:fldChar w:fldCharType="begin"/>
      </w:r>
      <w:r>
        <w:rPr>
          <w:noProof/>
        </w:rPr>
        <w:instrText xml:space="preserve"> PAGEREF _Toc207309546 \h </w:instrText>
      </w:r>
      <w:r>
        <w:rPr>
          <w:noProof/>
        </w:rPr>
      </w:r>
      <w:r>
        <w:rPr>
          <w:noProof/>
        </w:rPr>
        <w:fldChar w:fldCharType="separate"/>
      </w:r>
      <w:r>
        <w:rPr>
          <w:noProof/>
        </w:rPr>
        <w:t>15</w:t>
      </w:r>
      <w:r>
        <w:rPr>
          <w:noProof/>
        </w:rPr>
        <w:fldChar w:fldCharType="end"/>
      </w:r>
    </w:p>
    <w:p w14:paraId="09A1C566" w14:textId="77513ACC" w:rsidR="00537D9A" w:rsidRDefault="00537D9A">
      <w:pPr>
        <w:pStyle w:val="TOC1"/>
        <w:rPr>
          <w:rFonts w:asciiTheme="minorHAnsi" w:eastAsiaTheme="minorEastAsia" w:hAnsiTheme="minorHAnsi" w:cstheme="minorBidi"/>
          <w:b w:val="0"/>
          <w:noProof/>
          <w:kern w:val="2"/>
          <w:sz w:val="24"/>
          <w:szCs w:val="24"/>
          <w:lang w:eastAsia="en-AU"/>
          <w14:ligatures w14:val="standardContextual"/>
        </w:rPr>
      </w:pPr>
      <w:r>
        <w:rPr>
          <w:noProof/>
        </w:rPr>
        <w:t>1</w:t>
      </w:r>
      <w:r>
        <w:rPr>
          <w:rFonts w:asciiTheme="minorHAnsi" w:eastAsiaTheme="minorEastAsia" w:hAnsiTheme="minorHAnsi" w:cstheme="minorBidi"/>
          <w:b w:val="0"/>
          <w:noProof/>
          <w:kern w:val="2"/>
          <w:sz w:val="24"/>
          <w:szCs w:val="24"/>
          <w:lang w:eastAsia="en-AU"/>
          <w14:ligatures w14:val="standardContextual"/>
        </w:rPr>
        <w:tab/>
      </w:r>
      <w:r>
        <w:rPr>
          <w:noProof/>
        </w:rPr>
        <w:t>Definitions and interpretation</w:t>
      </w:r>
      <w:r>
        <w:rPr>
          <w:noProof/>
        </w:rPr>
        <w:tab/>
      </w:r>
      <w:r>
        <w:rPr>
          <w:noProof/>
        </w:rPr>
        <w:fldChar w:fldCharType="begin"/>
      </w:r>
      <w:r>
        <w:rPr>
          <w:noProof/>
        </w:rPr>
        <w:instrText xml:space="preserve"> PAGEREF _Toc207309547 \h </w:instrText>
      </w:r>
      <w:r>
        <w:rPr>
          <w:noProof/>
        </w:rPr>
      </w:r>
      <w:r>
        <w:rPr>
          <w:noProof/>
        </w:rPr>
        <w:fldChar w:fldCharType="separate"/>
      </w:r>
      <w:r>
        <w:rPr>
          <w:noProof/>
        </w:rPr>
        <w:t>15</w:t>
      </w:r>
      <w:r>
        <w:rPr>
          <w:noProof/>
        </w:rPr>
        <w:fldChar w:fldCharType="end"/>
      </w:r>
    </w:p>
    <w:p w14:paraId="1E1E96AD" w14:textId="5F9B9283"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1.1</w:t>
      </w:r>
      <w:r>
        <w:rPr>
          <w:rFonts w:asciiTheme="minorHAnsi" w:eastAsiaTheme="minorEastAsia" w:hAnsiTheme="minorHAnsi" w:cstheme="minorBidi"/>
          <w:noProof/>
          <w:kern w:val="2"/>
          <w:sz w:val="24"/>
          <w:szCs w:val="24"/>
          <w:lang w:eastAsia="en-AU"/>
          <w14:ligatures w14:val="standardContextual"/>
        </w:rPr>
        <w:tab/>
      </w:r>
      <w:r>
        <w:rPr>
          <w:noProof/>
        </w:rPr>
        <w:t>Defined terms</w:t>
      </w:r>
      <w:r>
        <w:rPr>
          <w:noProof/>
        </w:rPr>
        <w:tab/>
      </w:r>
      <w:r>
        <w:rPr>
          <w:noProof/>
        </w:rPr>
        <w:fldChar w:fldCharType="begin"/>
      </w:r>
      <w:r>
        <w:rPr>
          <w:noProof/>
        </w:rPr>
        <w:instrText xml:space="preserve"> PAGEREF _Toc207309548 \h </w:instrText>
      </w:r>
      <w:r>
        <w:rPr>
          <w:noProof/>
        </w:rPr>
      </w:r>
      <w:r>
        <w:rPr>
          <w:noProof/>
        </w:rPr>
        <w:fldChar w:fldCharType="separate"/>
      </w:r>
      <w:r>
        <w:rPr>
          <w:noProof/>
        </w:rPr>
        <w:t>15</w:t>
      </w:r>
      <w:r>
        <w:rPr>
          <w:noProof/>
        </w:rPr>
        <w:fldChar w:fldCharType="end"/>
      </w:r>
    </w:p>
    <w:p w14:paraId="16871C4E" w14:textId="25C1EB9B"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1.2</w:t>
      </w:r>
      <w:r>
        <w:rPr>
          <w:rFonts w:asciiTheme="minorHAnsi" w:eastAsiaTheme="minorEastAsia" w:hAnsiTheme="minorHAnsi" w:cstheme="minorBidi"/>
          <w:noProof/>
          <w:kern w:val="2"/>
          <w:sz w:val="24"/>
          <w:szCs w:val="24"/>
          <w:lang w:eastAsia="en-AU"/>
          <w14:ligatures w14:val="standardContextual"/>
        </w:rPr>
        <w:tab/>
      </w:r>
      <w:r>
        <w:rPr>
          <w:noProof/>
        </w:rPr>
        <w:t>Interpretation provisions</w:t>
      </w:r>
      <w:r>
        <w:rPr>
          <w:noProof/>
        </w:rPr>
        <w:tab/>
      </w:r>
      <w:r>
        <w:rPr>
          <w:noProof/>
        </w:rPr>
        <w:fldChar w:fldCharType="begin"/>
      </w:r>
      <w:r>
        <w:rPr>
          <w:noProof/>
        </w:rPr>
        <w:instrText xml:space="preserve"> PAGEREF _Toc207309549 \h </w:instrText>
      </w:r>
      <w:r>
        <w:rPr>
          <w:noProof/>
        </w:rPr>
      </w:r>
      <w:r>
        <w:rPr>
          <w:noProof/>
        </w:rPr>
        <w:fldChar w:fldCharType="separate"/>
      </w:r>
      <w:r>
        <w:rPr>
          <w:noProof/>
        </w:rPr>
        <w:t>43</w:t>
      </w:r>
      <w:r>
        <w:rPr>
          <w:noProof/>
        </w:rPr>
        <w:fldChar w:fldCharType="end"/>
      </w:r>
    </w:p>
    <w:p w14:paraId="58558B51" w14:textId="760054D2"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1.3</w:t>
      </w:r>
      <w:r>
        <w:rPr>
          <w:rFonts w:asciiTheme="minorHAnsi" w:eastAsiaTheme="minorEastAsia" w:hAnsiTheme="minorHAnsi" w:cstheme="minorBidi"/>
          <w:noProof/>
          <w:kern w:val="2"/>
          <w:sz w:val="24"/>
          <w:szCs w:val="24"/>
          <w:lang w:eastAsia="en-AU"/>
          <w14:ligatures w14:val="standardContextual"/>
        </w:rPr>
        <w:tab/>
      </w:r>
      <w:r>
        <w:rPr>
          <w:noProof/>
        </w:rPr>
        <w:t>Legislation definition change</w:t>
      </w:r>
      <w:r>
        <w:rPr>
          <w:noProof/>
        </w:rPr>
        <w:tab/>
      </w:r>
      <w:r>
        <w:rPr>
          <w:noProof/>
        </w:rPr>
        <w:fldChar w:fldCharType="begin"/>
      </w:r>
      <w:r>
        <w:rPr>
          <w:noProof/>
        </w:rPr>
        <w:instrText xml:space="preserve"> PAGEREF _Toc207309550 \h </w:instrText>
      </w:r>
      <w:r>
        <w:rPr>
          <w:noProof/>
        </w:rPr>
      </w:r>
      <w:r>
        <w:rPr>
          <w:noProof/>
        </w:rPr>
        <w:fldChar w:fldCharType="separate"/>
      </w:r>
      <w:r>
        <w:rPr>
          <w:noProof/>
        </w:rPr>
        <w:t>44</w:t>
      </w:r>
      <w:r>
        <w:rPr>
          <w:noProof/>
        </w:rPr>
        <w:fldChar w:fldCharType="end"/>
      </w:r>
    </w:p>
    <w:p w14:paraId="64CE77FE" w14:textId="21F61B33"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1.4</w:t>
      </w:r>
      <w:r>
        <w:rPr>
          <w:rFonts w:asciiTheme="minorHAnsi" w:eastAsiaTheme="minorEastAsia" w:hAnsiTheme="minorHAnsi" w:cstheme="minorBidi"/>
          <w:noProof/>
          <w:kern w:val="2"/>
          <w:sz w:val="24"/>
          <w:szCs w:val="24"/>
          <w:lang w:eastAsia="en-AU"/>
          <w14:ligatures w14:val="standardContextual"/>
        </w:rPr>
        <w:tab/>
      </w:r>
      <w:r>
        <w:rPr>
          <w:noProof/>
        </w:rPr>
        <w:t>Appointment of agent</w:t>
      </w:r>
      <w:r>
        <w:rPr>
          <w:noProof/>
        </w:rPr>
        <w:tab/>
      </w:r>
      <w:r>
        <w:rPr>
          <w:noProof/>
        </w:rPr>
        <w:fldChar w:fldCharType="begin"/>
      </w:r>
      <w:r>
        <w:rPr>
          <w:noProof/>
        </w:rPr>
        <w:instrText xml:space="preserve"> PAGEREF _Toc207309551 \h </w:instrText>
      </w:r>
      <w:r>
        <w:rPr>
          <w:noProof/>
        </w:rPr>
      </w:r>
      <w:r>
        <w:rPr>
          <w:noProof/>
        </w:rPr>
        <w:fldChar w:fldCharType="separate"/>
      </w:r>
      <w:r>
        <w:rPr>
          <w:noProof/>
        </w:rPr>
        <w:t>45</w:t>
      </w:r>
      <w:r>
        <w:rPr>
          <w:noProof/>
        </w:rPr>
        <w:fldChar w:fldCharType="end"/>
      </w:r>
    </w:p>
    <w:p w14:paraId="5FDE35BF" w14:textId="7893F88E"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1.5</w:t>
      </w:r>
      <w:r>
        <w:rPr>
          <w:rFonts w:asciiTheme="minorHAnsi" w:eastAsiaTheme="minorEastAsia" w:hAnsiTheme="minorHAnsi" w:cstheme="minorBidi"/>
          <w:noProof/>
          <w:kern w:val="2"/>
          <w:sz w:val="24"/>
          <w:szCs w:val="24"/>
          <w:lang w:eastAsia="en-AU"/>
          <w14:ligatures w14:val="standardContextual"/>
        </w:rPr>
        <w:tab/>
      </w:r>
      <w:r>
        <w:rPr>
          <w:noProof/>
        </w:rPr>
        <w:t>Adjustment for indexation</w:t>
      </w:r>
      <w:r>
        <w:rPr>
          <w:noProof/>
        </w:rPr>
        <w:tab/>
      </w:r>
      <w:r>
        <w:rPr>
          <w:noProof/>
        </w:rPr>
        <w:fldChar w:fldCharType="begin"/>
      </w:r>
      <w:r>
        <w:rPr>
          <w:noProof/>
        </w:rPr>
        <w:instrText xml:space="preserve"> PAGEREF _Toc207309552 \h </w:instrText>
      </w:r>
      <w:r>
        <w:rPr>
          <w:noProof/>
        </w:rPr>
      </w:r>
      <w:r>
        <w:rPr>
          <w:noProof/>
        </w:rPr>
        <w:fldChar w:fldCharType="separate"/>
      </w:r>
      <w:r>
        <w:rPr>
          <w:noProof/>
        </w:rPr>
        <w:t>45</w:t>
      </w:r>
      <w:r>
        <w:rPr>
          <w:noProof/>
        </w:rPr>
        <w:fldChar w:fldCharType="end"/>
      </w:r>
    </w:p>
    <w:p w14:paraId="6AC0BE7F" w14:textId="011806FE"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1.6</w:t>
      </w:r>
      <w:r>
        <w:rPr>
          <w:rFonts w:asciiTheme="minorHAnsi" w:eastAsiaTheme="minorEastAsia" w:hAnsiTheme="minorHAnsi" w:cstheme="minorBidi"/>
          <w:noProof/>
          <w:kern w:val="2"/>
          <w:sz w:val="24"/>
          <w:szCs w:val="24"/>
          <w:lang w:eastAsia="en-AU"/>
          <w14:ligatures w14:val="standardContextual"/>
        </w:rPr>
        <w:tab/>
      </w:r>
      <w:r>
        <w:rPr>
          <w:noProof/>
        </w:rPr>
        <w:t>Adjustment for partial periods</w:t>
      </w:r>
      <w:r>
        <w:rPr>
          <w:noProof/>
        </w:rPr>
        <w:tab/>
      </w:r>
      <w:r>
        <w:rPr>
          <w:noProof/>
        </w:rPr>
        <w:fldChar w:fldCharType="begin"/>
      </w:r>
      <w:r>
        <w:rPr>
          <w:noProof/>
        </w:rPr>
        <w:instrText xml:space="preserve"> PAGEREF _Toc207309553 \h </w:instrText>
      </w:r>
      <w:r>
        <w:rPr>
          <w:noProof/>
        </w:rPr>
      </w:r>
      <w:r>
        <w:rPr>
          <w:noProof/>
        </w:rPr>
        <w:fldChar w:fldCharType="separate"/>
      </w:r>
      <w:r>
        <w:rPr>
          <w:noProof/>
        </w:rPr>
        <w:t>45</w:t>
      </w:r>
      <w:r>
        <w:rPr>
          <w:noProof/>
        </w:rPr>
        <w:fldChar w:fldCharType="end"/>
      </w:r>
    </w:p>
    <w:p w14:paraId="7F58ED5E" w14:textId="1966B273"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1.7</w:t>
      </w:r>
      <w:r>
        <w:rPr>
          <w:rFonts w:asciiTheme="minorHAnsi" w:eastAsiaTheme="minorEastAsia" w:hAnsiTheme="minorHAnsi" w:cstheme="minorBidi"/>
          <w:noProof/>
          <w:kern w:val="2"/>
          <w:sz w:val="24"/>
          <w:szCs w:val="24"/>
          <w:lang w:eastAsia="en-AU"/>
          <w14:ligatures w14:val="standardContextual"/>
        </w:rPr>
        <w:tab/>
      </w:r>
      <w:r>
        <w:rPr>
          <w:noProof/>
        </w:rPr>
        <w:t>Commonwealth’s rights, duties and functions</w:t>
      </w:r>
      <w:r>
        <w:rPr>
          <w:noProof/>
        </w:rPr>
        <w:tab/>
      </w:r>
      <w:r>
        <w:rPr>
          <w:noProof/>
        </w:rPr>
        <w:fldChar w:fldCharType="begin"/>
      </w:r>
      <w:r>
        <w:rPr>
          <w:noProof/>
        </w:rPr>
        <w:instrText xml:space="preserve"> PAGEREF _Toc207309554 \h </w:instrText>
      </w:r>
      <w:r>
        <w:rPr>
          <w:noProof/>
        </w:rPr>
      </w:r>
      <w:r>
        <w:rPr>
          <w:noProof/>
        </w:rPr>
        <w:fldChar w:fldCharType="separate"/>
      </w:r>
      <w:r>
        <w:rPr>
          <w:noProof/>
        </w:rPr>
        <w:t>46</w:t>
      </w:r>
      <w:r>
        <w:rPr>
          <w:noProof/>
        </w:rPr>
        <w:fldChar w:fldCharType="end"/>
      </w:r>
    </w:p>
    <w:p w14:paraId="11972A2F" w14:textId="7988BCAE"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1.8</w:t>
      </w:r>
      <w:r>
        <w:rPr>
          <w:rFonts w:asciiTheme="minorHAnsi" w:eastAsiaTheme="minorEastAsia" w:hAnsiTheme="minorHAnsi" w:cstheme="minorBidi"/>
          <w:noProof/>
          <w:kern w:val="2"/>
          <w:sz w:val="24"/>
          <w:szCs w:val="24"/>
          <w:lang w:eastAsia="en-AU"/>
          <w14:ligatures w14:val="standardContextual"/>
        </w:rPr>
        <w:tab/>
      </w:r>
      <w:r>
        <w:rPr>
          <w:noProof/>
        </w:rPr>
        <w:t>Reasonable endeavours of the Commonwealth</w:t>
      </w:r>
      <w:r>
        <w:rPr>
          <w:noProof/>
        </w:rPr>
        <w:tab/>
      </w:r>
      <w:r>
        <w:rPr>
          <w:noProof/>
        </w:rPr>
        <w:fldChar w:fldCharType="begin"/>
      </w:r>
      <w:r>
        <w:rPr>
          <w:noProof/>
        </w:rPr>
        <w:instrText xml:space="preserve"> PAGEREF _Toc207309555 \h </w:instrText>
      </w:r>
      <w:r>
        <w:rPr>
          <w:noProof/>
        </w:rPr>
      </w:r>
      <w:r>
        <w:rPr>
          <w:noProof/>
        </w:rPr>
        <w:fldChar w:fldCharType="separate"/>
      </w:r>
      <w:r>
        <w:rPr>
          <w:noProof/>
        </w:rPr>
        <w:t>46</w:t>
      </w:r>
      <w:r>
        <w:rPr>
          <w:noProof/>
        </w:rPr>
        <w:fldChar w:fldCharType="end"/>
      </w:r>
    </w:p>
    <w:p w14:paraId="6F3A0A70" w14:textId="679D2EE9"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1.9</w:t>
      </w:r>
      <w:r>
        <w:rPr>
          <w:rFonts w:asciiTheme="minorHAnsi" w:eastAsiaTheme="minorEastAsia" w:hAnsiTheme="minorHAnsi" w:cstheme="minorBidi"/>
          <w:noProof/>
          <w:kern w:val="2"/>
          <w:sz w:val="24"/>
          <w:szCs w:val="24"/>
          <w:lang w:eastAsia="en-AU"/>
          <w14:ligatures w14:val="standardContextual"/>
        </w:rPr>
        <w:tab/>
      </w:r>
      <w:r>
        <w:rPr>
          <w:noProof/>
        </w:rPr>
        <w:t>No Commonwealth liability for review and approval</w:t>
      </w:r>
      <w:r>
        <w:rPr>
          <w:noProof/>
        </w:rPr>
        <w:tab/>
      </w:r>
      <w:r>
        <w:rPr>
          <w:noProof/>
        </w:rPr>
        <w:fldChar w:fldCharType="begin"/>
      </w:r>
      <w:r>
        <w:rPr>
          <w:noProof/>
        </w:rPr>
        <w:instrText xml:space="preserve"> PAGEREF _Toc207309556 \h </w:instrText>
      </w:r>
      <w:r>
        <w:rPr>
          <w:noProof/>
        </w:rPr>
      </w:r>
      <w:r>
        <w:rPr>
          <w:noProof/>
        </w:rPr>
        <w:fldChar w:fldCharType="separate"/>
      </w:r>
      <w:r>
        <w:rPr>
          <w:noProof/>
        </w:rPr>
        <w:t>47</w:t>
      </w:r>
      <w:r>
        <w:rPr>
          <w:noProof/>
        </w:rPr>
        <w:fldChar w:fldCharType="end"/>
      </w:r>
    </w:p>
    <w:p w14:paraId="20AF61D3" w14:textId="4CA5798D"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1.10</w:t>
      </w:r>
      <w:r>
        <w:rPr>
          <w:rFonts w:asciiTheme="minorHAnsi" w:eastAsiaTheme="minorEastAsia" w:hAnsiTheme="minorHAnsi" w:cstheme="minorBidi"/>
          <w:noProof/>
          <w:kern w:val="2"/>
          <w:sz w:val="24"/>
          <w:szCs w:val="24"/>
          <w:lang w:eastAsia="en-AU"/>
          <w14:ligatures w14:val="standardContextual"/>
        </w:rPr>
        <w:tab/>
      </w:r>
      <w:r>
        <w:rPr>
          <w:noProof/>
        </w:rPr>
        <w:t>Prior approval or consent</w:t>
      </w:r>
      <w:r>
        <w:rPr>
          <w:noProof/>
        </w:rPr>
        <w:tab/>
      </w:r>
      <w:r>
        <w:rPr>
          <w:noProof/>
        </w:rPr>
        <w:fldChar w:fldCharType="begin"/>
      </w:r>
      <w:r>
        <w:rPr>
          <w:noProof/>
        </w:rPr>
        <w:instrText xml:space="preserve"> PAGEREF _Toc207309557 \h </w:instrText>
      </w:r>
      <w:r>
        <w:rPr>
          <w:noProof/>
        </w:rPr>
      </w:r>
      <w:r>
        <w:rPr>
          <w:noProof/>
        </w:rPr>
        <w:fldChar w:fldCharType="separate"/>
      </w:r>
      <w:r>
        <w:rPr>
          <w:noProof/>
        </w:rPr>
        <w:t>47</w:t>
      </w:r>
      <w:r>
        <w:rPr>
          <w:noProof/>
        </w:rPr>
        <w:fldChar w:fldCharType="end"/>
      </w:r>
    </w:p>
    <w:p w14:paraId="0348AE4D" w14:textId="217D00E4"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1.11</w:t>
      </w:r>
      <w:r>
        <w:rPr>
          <w:rFonts w:asciiTheme="minorHAnsi" w:eastAsiaTheme="minorEastAsia" w:hAnsiTheme="minorHAnsi" w:cstheme="minorBidi"/>
          <w:noProof/>
          <w:kern w:val="2"/>
          <w:sz w:val="24"/>
          <w:szCs w:val="24"/>
          <w:lang w:eastAsia="en-AU"/>
          <w14:ligatures w14:val="standardContextual"/>
        </w:rPr>
        <w:tab/>
      </w:r>
      <w:r>
        <w:rPr>
          <w:noProof/>
        </w:rPr>
        <w:t>Action without delay</w:t>
      </w:r>
      <w:r>
        <w:rPr>
          <w:noProof/>
        </w:rPr>
        <w:tab/>
      </w:r>
      <w:r>
        <w:rPr>
          <w:noProof/>
        </w:rPr>
        <w:fldChar w:fldCharType="begin"/>
      </w:r>
      <w:r>
        <w:rPr>
          <w:noProof/>
        </w:rPr>
        <w:instrText xml:space="preserve"> PAGEREF _Toc207309558 \h </w:instrText>
      </w:r>
      <w:r>
        <w:rPr>
          <w:noProof/>
        </w:rPr>
      </w:r>
      <w:r>
        <w:rPr>
          <w:noProof/>
        </w:rPr>
        <w:fldChar w:fldCharType="separate"/>
      </w:r>
      <w:r>
        <w:rPr>
          <w:noProof/>
        </w:rPr>
        <w:t>47</w:t>
      </w:r>
      <w:r>
        <w:rPr>
          <w:noProof/>
        </w:rPr>
        <w:fldChar w:fldCharType="end"/>
      </w:r>
    </w:p>
    <w:p w14:paraId="165380DD" w14:textId="07267D43"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1.12</w:t>
      </w:r>
      <w:r>
        <w:rPr>
          <w:rFonts w:asciiTheme="minorHAnsi" w:eastAsiaTheme="minorEastAsia" w:hAnsiTheme="minorHAnsi" w:cstheme="minorBidi"/>
          <w:noProof/>
          <w:kern w:val="2"/>
          <w:sz w:val="24"/>
          <w:szCs w:val="24"/>
          <w:lang w:eastAsia="en-AU"/>
          <w14:ligatures w14:val="standardContextual"/>
        </w:rPr>
        <w:tab/>
      </w:r>
      <w:r>
        <w:rPr>
          <w:noProof/>
        </w:rPr>
        <w:t>Provisions limiting or excluding liability, rights or obligations</w:t>
      </w:r>
      <w:r>
        <w:rPr>
          <w:noProof/>
        </w:rPr>
        <w:tab/>
      </w:r>
      <w:r>
        <w:rPr>
          <w:noProof/>
        </w:rPr>
        <w:fldChar w:fldCharType="begin"/>
      </w:r>
      <w:r>
        <w:rPr>
          <w:noProof/>
        </w:rPr>
        <w:instrText xml:space="preserve"> PAGEREF _Toc207309559 \h </w:instrText>
      </w:r>
      <w:r>
        <w:rPr>
          <w:noProof/>
        </w:rPr>
      </w:r>
      <w:r>
        <w:rPr>
          <w:noProof/>
        </w:rPr>
        <w:fldChar w:fldCharType="separate"/>
      </w:r>
      <w:r>
        <w:rPr>
          <w:noProof/>
        </w:rPr>
        <w:t>47</w:t>
      </w:r>
      <w:r>
        <w:rPr>
          <w:noProof/>
        </w:rPr>
        <w:fldChar w:fldCharType="end"/>
      </w:r>
    </w:p>
    <w:p w14:paraId="1C835D4E" w14:textId="1B5A447B"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1.13</w:t>
      </w:r>
      <w:r>
        <w:rPr>
          <w:rFonts w:asciiTheme="minorHAnsi" w:eastAsiaTheme="minorEastAsia" w:hAnsiTheme="minorHAnsi" w:cstheme="minorBidi"/>
          <w:noProof/>
          <w:kern w:val="2"/>
          <w:sz w:val="24"/>
          <w:szCs w:val="24"/>
          <w:lang w:eastAsia="en-AU"/>
          <w14:ligatures w14:val="standardContextual"/>
        </w:rPr>
        <w:tab/>
      </w:r>
      <w:r>
        <w:rPr>
          <w:noProof/>
        </w:rPr>
        <w:t>Relationship of the parties</w:t>
      </w:r>
      <w:r>
        <w:rPr>
          <w:noProof/>
        </w:rPr>
        <w:tab/>
      </w:r>
      <w:r>
        <w:rPr>
          <w:noProof/>
        </w:rPr>
        <w:fldChar w:fldCharType="begin"/>
      </w:r>
      <w:r>
        <w:rPr>
          <w:noProof/>
        </w:rPr>
        <w:instrText xml:space="preserve"> PAGEREF _Toc207309560 \h </w:instrText>
      </w:r>
      <w:r>
        <w:rPr>
          <w:noProof/>
        </w:rPr>
      </w:r>
      <w:r>
        <w:rPr>
          <w:noProof/>
        </w:rPr>
        <w:fldChar w:fldCharType="separate"/>
      </w:r>
      <w:r>
        <w:rPr>
          <w:noProof/>
        </w:rPr>
        <w:t>48</w:t>
      </w:r>
      <w:r>
        <w:rPr>
          <w:noProof/>
        </w:rPr>
        <w:fldChar w:fldCharType="end"/>
      </w:r>
    </w:p>
    <w:p w14:paraId="769F3A98" w14:textId="725E8813"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1.14</w:t>
      </w:r>
      <w:r>
        <w:rPr>
          <w:rFonts w:asciiTheme="minorHAnsi" w:eastAsiaTheme="minorEastAsia" w:hAnsiTheme="minorHAnsi" w:cstheme="minorBidi"/>
          <w:noProof/>
          <w:kern w:val="2"/>
          <w:sz w:val="24"/>
          <w:szCs w:val="24"/>
          <w:lang w:eastAsia="en-AU"/>
          <w14:ligatures w14:val="standardContextual"/>
        </w:rPr>
        <w:tab/>
      </w:r>
      <w:r>
        <w:rPr>
          <w:noProof/>
        </w:rPr>
        <w:t>Early commencement of the First Support Year</w:t>
      </w:r>
      <w:r>
        <w:rPr>
          <w:noProof/>
        </w:rPr>
        <w:tab/>
      </w:r>
      <w:r>
        <w:rPr>
          <w:noProof/>
        </w:rPr>
        <w:fldChar w:fldCharType="begin"/>
      </w:r>
      <w:r>
        <w:rPr>
          <w:noProof/>
        </w:rPr>
        <w:instrText xml:space="preserve"> PAGEREF _Toc207309561 \h </w:instrText>
      </w:r>
      <w:r>
        <w:rPr>
          <w:noProof/>
        </w:rPr>
      </w:r>
      <w:r>
        <w:rPr>
          <w:noProof/>
        </w:rPr>
        <w:fldChar w:fldCharType="separate"/>
      </w:r>
      <w:r>
        <w:rPr>
          <w:noProof/>
        </w:rPr>
        <w:t>48</w:t>
      </w:r>
      <w:r>
        <w:rPr>
          <w:noProof/>
        </w:rPr>
        <w:fldChar w:fldCharType="end"/>
      </w:r>
    </w:p>
    <w:p w14:paraId="5597E170" w14:textId="58E2F7F8" w:rsidR="00537D9A" w:rsidRDefault="00537D9A">
      <w:pPr>
        <w:pStyle w:val="TOC1"/>
        <w:rPr>
          <w:rFonts w:asciiTheme="minorHAnsi" w:eastAsiaTheme="minorEastAsia" w:hAnsiTheme="minorHAnsi" w:cstheme="minorBidi"/>
          <w:b w:val="0"/>
          <w:noProof/>
          <w:kern w:val="2"/>
          <w:sz w:val="24"/>
          <w:szCs w:val="24"/>
          <w:lang w:eastAsia="en-AU"/>
          <w14:ligatures w14:val="standardContextual"/>
        </w:rPr>
      </w:pPr>
      <w:r>
        <w:rPr>
          <w:noProof/>
        </w:rPr>
        <w:t>2</w:t>
      </w:r>
      <w:r>
        <w:rPr>
          <w:rFonts w:asciiTheme="minorHAnsi" w:eastAsiaTheme="minorEastAsia" w:hAnsiTheme="minorHAnsi" w:cstheme="minorBidi"/>
          <w:b w:val="0"/>
          <w:noProof/>
          <w:kern w:val="2"/>
          <w:sz w:val="24"/>
          <w:szCs w:val="24"/>
          <w:lang w:eastAsia="en-AU"/>
          <w14:ligatures w14:val="standardContextual"/>
        </w:rPr>
        <w:tab/>
      </w:r>
      <w:r>
        <w:rPr>
          <w:noProof/>
        </w:rPr>
        <w:t>Term</w:t>
      </w:r>
      <w:r>
        <w:rPr>
          <w:noProof/>
        </w:rPr>
        <w:tab/>
      </w:r>
      <w:r>
        <w:rPr>
          <w:noProof/>
        </w:rPr>
        <w:fldChar w:fldCharType="begin"/>
      </w:r>
      <w:r>
        <w:rPr>
          <w:noProof/>
        </w:rPr>
        <w:instrText xml:space="preserve"> PAGEREF _Toc207309562 \h </w:instrText>
      </w:r>
      <w:r>
        <w:rPr>
          <w:noProof/>
        </w:rPr>
      </w:r>
      <w:r>
        <w:rPr>
          <w:noProof/>
        </w:rPr>
        <w:fldChar w:fldCharType="separate"/>
      </w:r>
      <w:r>
        <w:rPr>
          <w:noProof/>
        </w:rPr>
        <w:t>49</w:t>
      </w:r>
      <w:r>
        <w:rPr>
          <w:noProof/>
        </w:rPr>
        <w:fldChar w:fldCharType="end"/>
      </w:r>
    </w:p>
    <w:p w14:paraId="3EB06838" w14:textId="0C7C4714"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2.1</w:t>
      </w:r>
      <w:r>
        <w:rPr>
          <w:rFonts w:asciiTheme="minorHAnsi" w:eastAsiaTheme="minorEastAsia" w:hAnsiTheme="minorHAnsi" w:cstheme="minorBidi"/>
          <w:noProof/>
          <w:kern w:val="2"/>
          <w:sz w:val="24"/>
          <w:szCs w:val="24"/>
          <w:lang w:eastAsia="en-AU"/>
          <w14:ligatures w14:val="standardContextual"/>
        </w:rPr>
        <w:tab/>
      </w:r>
      <w:r>
        <w:rPr>
          <w:noProof/>
        </w:rPr>
        <w:t>Term</w:t>
      </w:r>
      <w:r>
        <w:rPr>
          <w:noProof/>
        </w:rPr>
        <w:tab/>
      </w:r>
      <w:r>
        <w:rPr>
          <w:noProof/>
        </w:rPr>
        <w:fldChar w:fldCharType="begin"/>
      </w:r>
      <w:r>
        <w:rPr>
          <w:noProof/>
        </w:rPr>
        <w:instrText xml:space="preserve"> PAGEREF _Toc207309563 \h </w:instrText>
      </w:r>
      <w:r>
        <w:rPr>
          <w:noProof/>
        </w:rPr>
      </w:r>
      <w:r>
        <w:rPr>
          <w:noProof/>
        </w:rPr>
        <w:fldChar w:fldCharType="separate"/>
      </w:r>
      <w:r>
        <w:rPr>
          <w:noProof/>
        </w:rPr>
        <w:t>49</w:t>
      </w:r>
      <w:r>
        <w:rPr>
          <w:noProof/>
        </w:rPr>
        <w:fldChar w:fldCharType="end"/>
      </w:r>
    </w:p>
    <w:p w14:paraId="109B00B7" w14:textId="4A2B2080"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2.2</w:t>
      </w:r>
      <w:r>
        <w:rPr>
          <w:rFonts w:asciiTheme="minorHAnsi" w:eastAsiaTheme="minorEastAsia" w:hAnsiTheme="minorHAnsi" w:cstheme="minorBidi"/>
          <w:noProof/>
          <w:kern w:val="2"/>
          <w:sz w:val="24"/>
          <w:szCs w:val="24"/>
          <w:lang w:eastAsia="en-AU"/>
          <w14:ligatures w14:val="standardContextual"/>
        </w:rPr>
        <w:tab/>
      </w:r>
      <w:r>
        <w:rPr>
          <w:noProof/>
        </w:rPr>
        <w:t>Legal Opinion</w:t>
      </w:r>
      <w:r>
        <w:rPr>
          <w:noProof/>
        </w:rPr>
        <w:tab/>
      </w:r>
      <w:r>
        <w:rPr>
          <w:noProof/>
        </w:rPr>
        <w:fldChar w:fldCharType="begin"/>
      </w:r>
      <w:r>
        <w:rPr>
          <w:noProof/>
        </w:rPr>
        <w:instrText xml:space="preserve"> PAGEREF _Toc207309564 \h </w:instrText>
      </w:r>
      <w:r>
        <w:rPr>
          <w:noProof/>
        </w:rPr>
      </w:r>
      <w:r>
        <w:rPr>
          <w:noProof/>
        </w:rPr>
        <w:fldChar w:fldCharType="separate"/>
      </w:r>
      <w:r>
        <w:rPr>
          <w:noProof/>
        </w:rPr>
        <w:t>49</w:t>
      </w:r>
      <w:r>
        <w:rPr>
          <w:noProof/>
        </w:rPr>
        <w:fldChar w:fldCharType="end"/>
      </w:r>
    </w:p>
    <w:p w14:paraId="25773430" w14:textId="273E1C3D" w:rsidR="00537D9A" w:rsidRDefault="00537D9A">
      <w:pPr>
        <w:pStyle w:val="TOC1"/>
        <w:rPr>
          <w:rFonts w:asciiTheme="minorHAnsi" w:eastAsiaTheme="minorEastAsia" w:hAnsiTheme="minorHAnsi" w:cstheme="minorBidi"/>
          <w:b w:val="0"/>
          <w:noProof/>
          <w:kern w:val="2"/>
          <w:sz w:val="24"/>
          <w:szCs w:val="24"/>
          <w:lang w:eastAsia="en-AU"/>
          <w14:ligatures w14:val="standardContextual"/>
        </w:rPr>
      </w:pPr>
      <w:r>
        <w:rPr>
          <w:noProof/>
        </w:rPr>
        <w:t>3</w:t>
      </w:r>
      <w:r>
        <w:rPr>
          <w:rFonts w:asciiTheme="minorHAnsi" w:eastAsiaTheme="minorEastAsia" w:hAnsiTheme="minorHAnsi" w:cstheme="minorBidi"/>
          <w:b w:val="0"/>
          <w:noProof/>
          <w:kern w:val="2"/>
          <w:sz w:val="24"/>
          <w:szCs w:val="24"/>
          <w:lang w:eastAsia="en-AU"/>
          <w14:ligatures w14:val="standardContextual"/>
        </w:rPr>
        <w:tab/>
      </w:r>
      <w:r>
        <w:rPr>
          <w:noProof/>
        </w:rPr>
        <w:t>Performance Security</w:t>
      </w:r>
      <w:r>
        <w:rPr>
          <w:noProof/>
        </w:rPr>
        <w:tab/>
      </w:r>
      <w:r>
        <w:rPr>
          <w:noProof/>
        </w:rPr>
        <w:fldChar w:fldCharType="begin"/>
      </w:r>
      <w:r>
        <w:rPr>
          <w:noProof/>
        </w:rPr>
        <w:instrText xml:space="preserve"> PAGEREF _Toc207309565 \h </w:instrText>
      </w:r>
      <w:r>
        <w:rPr>
          <w:noProof/>
        </w:rPr>
      </w:r>
      <w:r>
        <w:rPr>
          <w:noProof/>
        </w:rPr>
        <w:fldChar w:fldCharType="separate"/>
      </w:r>
      <w:r>
        <w:rPr>
          <w:noProof/>
        </w:rPr>
        <w:t>49</w:t>
      </w:r>
      <w:r>
        <w:rPr>
          <w:noProof/>
        </w:rPr>
        <w:fldChar w:fldCharType="end"/>
      </w:r>
    </w:p>
    <w:p w14:paraId="6919E8C1" w14:textId="4295E609"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3.1</w:t>
      </w:r>
      <w:r>
        <w:rPr>
          <w:rFonts w:asciiTheme="minorHAnsi" w:eastAsiaTheme="minorEastAsia" w:hAnsiTheme="minorHAnsi" w:cstheme="minorBidi"/>
          <w:noProof/>
          <w:kern w:val="2"/>
          <w:sz w:val="24"/>
          <w:szCs w:val="24"/>
          <w:lang w:eastAsia="en-AU"/>
          <w14:ligatures w14:val="standardContextual"/>
        </w:rPr>
        <w:tab/>
      </w:r>
      <w:r>
        <w:rPr>
          <w:noProof/>
        </w:rPr>
        <w:t>Provision of Performance Security</w:t>
      </w:r>
      <w:r>
        <w:rPr>
          <w:noProof/>
        </w:rPr>
        <w:tab/>
      </w:r>
      <w:r>
        <w:rPr>
          <w:noProof/>
        </w:rPr>
        <w:fldChar w:fldCharType="begin"/>
      </w:r>
      <w:r>
        <w:rPr>
          <w:noProof/>
        </w:rPr>
        <w:instrText xml:space="preserve"> PAGEREF _Toc207309566 \h </w:instrText>
      </w:r>
      <w:r>
        <w:rPr>
          <w:noProof/>
        </w:rPr>
      </w:r>
      <w:r>
        <w:rPr>
          <w:noProof/>
        </w:rPr>
        <w:fldChar w:fldCharType="separate"/>
      </w:r>
      <w:r>
        <w:rPr>
          <w:noProof/>
        </w:rPr>
        <w:t>49</w:t>
      </w:r>
      <w:r>
        <w:rPr>
          <w:noProof/>
        </w:rPr>
        <w:fldChar w:fldCharType="end"/>
      </w:r>
    </w:p>
    <w:p w14:paraId="220333B8" w14:textId="18AF90CF"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3.2</w:t>
      </w:r>
      <w:r>
        <w:rPr>
          <w:rFonts w:asciiTheme="minorHAnsi" w:eastAsiaTheme="minorEastAsia" w:hAnsiTheme="minorHAnsi" w:cstheme="minorBidi"/>
          <w:noProof/>
          <w:kern w:val="2"/>
          <w:sz w:val="24"/>
          <w:szCs w:val="24"/>
          <w:lang w:eastAsia="en-AU"/>
          <w14:ligatures w14:val="standardContextual"/>
        </w:rPr>
        <w:tab/>
      </w:r>
      <w:r>
        <w:rPr>
          <w:noProof/>
        </w:rPr>
        <w:t>Replacement of Performance Security</w:t>
      </w:r>
      <w:r>
        <w:rPr>
          <w:noProof/>
        </w:rPr>
        <w:tab/>
      </w:r>
      <w:r>
        <w:rPr>
          <w:noProof/>
        </w:rPr>
        <w:fldChar w:fldCharType="begin"/>
      </w:r>
      <w:r>
        <w:rPr>
          <w:noProof/>
        </w:rPr>
        <w:instrText xml:space="preserve"> PAGEREF _Toc207309567 \h </w:instrText>
      </w:r>
      <w:r>
        <w:rPr>
          <w:noProof/>
        </w:rPr>
      </w:r>
      <w:r>
        <w:rPr>
          <w:noProof/>
        </w:rPr>
        <w:fldChar w:fldCharType="separate"/>
      </w:r>
      <w:r>
        <w:rPr>
          <w:noProof/>
        </w:rPr>
        <w:t>49</w:t>
      </w:r>
      <w:r>
        <w:rPr>
          <w:noProof/>
        </w:rPr>
        <w:fldChar w:fldCharType="end"/>
      </w:r>
    </w:p>
    <w:p w14:paraId="6FE3DA21" w14:textId="6A57BA4A"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3.3</w:t>
      </w:r>
      <w:r>
        <w:rPr>
          <w:rFonts w:asciiTheme="minorHAnsi" w:eastAsiaTheme="minorEastAsia" w:hAnsiTheme="minorHAnsi" w:cstheme="minorBidi"/>
          <w:noProof/>
          <w:kern w:val="2"/>
          <w:sz w:val="24"/>
          <w:szCs w:val="24"/>
          <w:lang w:eastAsia="en-AU"/>
          <w14:ligatures w14:val="standardContextual"/>
        </w:rPr>
        <w:tab/>
      </w:r>
      <w:r>
        <w:rPr>
          <w:noProof/>
        </w:rPr>
        <w:t>Recourse to Performance Security</w:t>
      </w:r>
      <w:r>
        <w:rPr>
          <w:noProof/>
        </w:rPr>
        <w:tab/>
      </w:r>
      <w:r>
        <w:rPr>
          <w:noProof/>
        </w:rPr>
        <w:fldChar w:fldCharType="begin"/>
      </w:r>
      <w:r>
        <w:rPr>
          <w:noProof/>
        </w:rPr>
        <w:instrText xml:space="preserve"> PAGEREF _Toc207309568 \h </w:instrText>
      </w:r>
      <w:r>
        <w:rPr>
          <w:noProof/>
        </w:rPr>
      </w:r>
      <w:r>
        <w:rPr>
          <w:noProof/>
        </w:rPr>
        <w:fldChar w:fldCharType="separate"/>
      </w:r>
      <w:r>
        <w:rPr>
          <w:noProof/>
        </w:rPr>
        <w:t>50</w:t>
      </w:r>
      <w:r>
        <w:rPr>
          <w:noProof/>
        </w:rPr>
        <w:fldChar w:fldCharType="end"/>
      </w:r>
    </w:p>
    <w:p w14:paraId="13341E59" w14:textId="0B1DB454"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3.4</w:t>
      </w:r>
      <w:r>
        <w:rPr>
          <w:rFonts w:asciiTheme="minorHAnsi" w:eastAsiaTheme="minorEastAsia" w:hAnsiTheme="minorHAnsi" w:cstheme="minorBidi"/>
          <w:noProof/>
          <w:kern w:val="2"/>
          <w:sz w:val="24"/>
          <w:szCs w:val="24"/>
          <w:lang w:eastAsia="en-AU"/>
          <w14:ligatures w14:val="standardContextual"/>
        </w:rPr>
        <w:tab/>
      </w:r>
      <w:r>
        <w:rPr>
          <w:noProof/>
        </w:rPr>
        <w:t>Return of Performance Security</w:t>
      </w:r>
      <w:r>
        <w:rPr>
          <w:noProof/>
        </w:rPr>
        <w:tab/>
      </w:r>
      <w:r>
        <w:rPr>
          <w:noProof/>
        </w:rPr>
        <w:fldChar w:fldCharType="begin"/>
      </w:r>
      <w:r>
        <w:rPr>
          <w:noProof/>
        </w:rPr>
        <w:instrText xml:space="preserve"> PAGEREF _Toc207309569 \h </w:instrText>
      </w:r>
      <w:r>
        <w:rPr>
          <w:noProof/>
        </w:rPr>
      </w:r>
      <w:r>
        <w:rPr>
          <w:noProof/>
        </w:rPr>
        <w:fldChar w:fldCharType="separate"/>
      </w:r>
      <w:r>
        <w:rPr>
          <w:noProof/>
        </w:rPr>
        <w:t>50</w:t>
      </w:r>
      <w:r>
        <w:rPr>
          <w:noProof/>
        </w:rPr>
        <w:fldChar w:fldCharType="end"/>
      </w:r>
    </w:p>
    <w:p w14:paraId="517D07A2" w14:textId="29CD6B2B" w:rsidR="00537D9A" w:rsidRDefault="00537D9A">
      <w:pPr>
        <w:pStyle w:val="TOC1"/>
        <w:rPr>
          <w:rFonts w:asciiTheme="minorHAnsi" w:eastAsiaTheme="minorEastAsia" w:hAnsiTheme="minorHAnsi" w:cstheme="minorBidi"/>
          <w:b w:val="0"/>
          <w:noProof/>
          <w:kern w:val="2"/>
          <w:sz w:val="24"/>
          <w:szCs w:val="24"/>
          <w:lang w:eastAsia="en-AU"/>
          <w14:ligatures w14:val="standardContextual"/>
        </w:rPr>
      </w:pPr>
      <w:r>
        <w:rPr>
          <w:noProof/>
        </w:rPr>
        <w:t>4</w:t>
      </w:r>
      <w:r>
        <w:rPr>
          <w:rFonts w:asciiTheme="minorHAnsi" w:eastAsiaTheme="minorEastAsia" w:hAnsiTheme="minorHAnsi" w:cstheme="minorBidi"/>
          <w:b w:val="0"/>
          <w:noProof/>
          <w:kern w:val="2"/>
          <w:sz w:val="24"/>
          <w:szCs w:val="24"/>
          <w:lang w:eastAsia="en-AU"/>
          <w14:ligatures w14:val="standardContextual"/>
        </w:rPr>
        <w:tab/>
      </w:r>
      <w:r>
        <w:rPr>
          <w:noProof/>
        </w:rPr>
        <w:t>Development of Project [and [Associated/Existing] Project]</w:t>
      </w:r>
      <w:r>
        <w:rPr>
          <w:noProof/>
        </w:rPr>
        <w:tab/>
      </w:r>
      <w:r>
        <w:rPr>
          <w:noProof/>
        </w:rPr>
        <w:fldChar w:fldCharType="begin"/>
      </w:r>
      <w:r>
        <w:rPr>
          <w:noProof/>
        </w:rPr>
        <w:instrText xml:space="preserve"> PAGEREF _Toc207309570 \h </w:instrText>
      </w:r>
      <w:r>
        <w:rPr>
          <w:noProof/>
        </w:rPr>
      </w:r>
      <w:r>
        <w:rPr>
          <w:noProof/>
        </w:rPr>
        <w:fldChar w:fldCharType="separate"/>
      </w:r>
      <w:r>
        <w:rPr>
          <w:noProof/>
        </w:rPr>
        <w:t>51</w:t>
      </w:r>
      <w:r>
        <w:rPr>
          <w:noProof/>
        </w:rPr>
        <w:fldChar w:fldCharType="end"/>
      </w:r>
    </w:p>
    <w:p w14:paraId="449AC0BF" w14:textId="1CDE4A4D"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4.1</w:t>
      </w:r>
      <w:r>
        <w:rPr>
          <w:rFonts w:asciiTheme="minorHAnsi" w:eastAsiaTheme="minorEastAsia" w:hAnsiTheme="minorHAnsi" w:cstheme="minorBidi"/>
          <w:noProof/>
          <w:kern w:val="2"/>
          <w:sz w:val="24"/>
          <w:szCs w:val="24"/>
          <w:lang w:eastAsia="en-AU"/>
          <w14:ligatures w14:val="standardContextual"/>
        </w:rPr>
        <w:tab/>
      </w:r>
      <w:r>
        <w:rPr>
          <w:noProof/>
        </w:rPr>
        <w:t>Development</w:t>
      </w:r>
      <w:r>
        <w:rPr>
          <w:noProof/>
        </w:rPr>
        <w:tab/>
      </w:r>
      <w:r>
        <w:rPr>
          <w:noProof/>
        </w:rPr>
        <w:fldChar w:fldCharType="begin"/>
      </w:r>
      <w:r>
        <w:rPr>
          <w:noProof/>
        </w:rPr>
        <w:instrText xml:space="preserve"> PAGEREF _Toc207309571 \h </w:instrText>
      </w:r>
      <w:r>
        <w:rPr>
          <w:noProof/>
        </w:rPr>
      </w:r>
      <w:r>
        <w:rPr>
          <w:noProof/>
        </w:rPr>
        <w:fldChar w:fldCharType="separate"/>
      </w:r>
      <w:r>
        <w:rPr>
          <w:noProof/>
        </w:rPr>
        <w:t>51</w:t>
      </w:r>
      <w:r>
        <w:rPr>
          <w:noProof/>
        </w:rPr>
        <w:fldChar w:fldCharType="end"/>
      </w:r>
    </w:p>
    <w:p w14:paraId="7FE132A1" w14:textId="0BA273BE"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4.2</w:t>
      </w:r>
      <w:r>
        <w:rPr>
          <w:rFonts w:asciiTheme="minorHAnsi" w:eastAsiaTheme="minorEastAsia" w:hAnsiTheme="minorHAnsi" w:cstheme="minorBidi"/>
          <w:noProof/>
          <w:kern w:val="2"/>
          <w:sz w:val="24"/>
          <w:szCs w:val="24"/>
          <w:lang w:eastAsia="en-AU"/>
          <w14:ligatures w14:val="standardContextual"/>
        </w:rPr>
        <w:tab/>
      </w:r>
      <w:r>
        <w:rPr>
          <w:noProof/>
        </w:rPr>
        <w:t>[Hybrid Project metering</w:t>
      </w:r>
      <w:r>
        <w:rPr>
          <w:noProof/>
        </w:rPr>
        <w:tab/>
      </w:r>
      <w:r>
        <w:rPr>
          <w:noProof/>
        </w:rPr>
        <w:fldChar w:fldCharType="begin"/>
      </w:r>
      <w:r>
        <w:rPr>
          <w:noProof/>
        </w:rPr>
        <w:instrText xml:space="preserve"> PAGEREF _Toc207309572 \h </w:instrText>
      </w:r>
      <w:r>
        <w:rPr>
          <w:noProof/>
        </w:rPr>
      </w:r>
      <w:r>
        <w:rPr>
          <w:noProof/>
        </w:rPr>
        <w:fldChar w:fldCharType="separate"/>
      </w:r>
      <w:r>
        <w:rPr>
          <w:noProof/>
        </w:rPr>
        <w:t>52</w:t>
      </w:r>
      <w:r>
        <w:rPr>
          <w:noProof/>
        </w:rPr>
        <w:fldChar w:fldCharType="end"/>
      </w:r>
    </w:p>
    <w:p w14:paraId="7D60431F" w14:textId="74DF3DDC"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[Staged Project metering</w:t>
      </w:r>
      <w:r>
        <w:rPr>
          <w:noProof/>
        </w:rPr>
        <w:tab/>
      </w:r>
      <w:r>
        <w:rPr>
          <w:noProof/>
        </w:rPr>
        <w:fldChar w:fldCharType="begin"/>
      </w:r>
      <w:r>
        <w:rPr>
          <w:noProof/>
        </w:rPr>
        <w:instrText xml:space="preserve"> PAGEREF _Toc207309573 \h </w:instrText>
      </w:r>
      <w:r>
        <w:rPr>
          <w:noProof/>
        </w:rPr>
      </w:r>
      <w:r>
        <w:rPr>
          <w:noProof/>
        </w:rPr>
        <w:fldChar w:fldCharType="separate"/>
      </w:r>
      <w:r>
        <w:rPr>
          <w:noProof/>
        </w:rPr>
        <w:t>52</w:t>
      </w:r>
      <w:r>
        <w:rPr>
          <w:noProof/>
        </w:rPr>
        <w:fldChar w:fldCharType="end"/>
      </w:r>
    </w:p>
    <w:p w14:paraId="70FBE72F" w14:textId="5FA04B84" w:rsidR="00537D9A" w:rsidRDefault="00537D9A">
      <w:pPr>
        <w:pStyle w:val="TOC1"/>
        <w:rPr>
          <w:rFonts w:asciiTheme="minorHAnsi" w:eastAsiaTheme="minorEastAsia" w:hAnsiTheme="minorHAnsi" w:cstheme="minorBidi"/>
          <w:b w:val="0"/>
          <w:noProof/>
          <w:kern w:val="2"/>
          <w:sz w:val="24"/>
          <w:szCs w:val="24"/>
          <w:lang w:eastAsia="en-AU"/>
          <w14:ligatures w14:val="standardContextual"/>
        </w:rPr>
      </w:pPr>
      <w:r>
        <w:rPr>
          <w:noProof/>
        </w:rPr>
        <w:t>5</w:t>
      </w:r>
      <w:r>
        <w:rPr>
          <w:rFonts w:asciiTheme="minorHAnsi" w:eastAsiaTheme="minorEastAsia" w:hAnsiTheme="minorHAnsi" w:cstheme="minorBidi"/>
          <w:b w:val="0"/>
          <w:noProof/>
          <w:kern w:val="2"/>
          <w:sz w:val="24"/>
          <w:szCs w:val="24"/>
          <w:lang w:eastAsia="en-AU"/>
          <w14:ligatures w14:val="standardContextual"/>
        </w:rPr>
        <w:tab/>
      </w:r>
      <w:r>
        <w:rPr>
          <w:noProof/>
        </w:rPr>
        <w:t>Achievement of Milestones</w:t>
      </w:r>
      <w:r>
        <w:rPr>
          <w:noProof/>
        </w:rPr>
        <w:tab/>
      </w:r>
      <w:r>
        <w:rPr>
          <w:noProof/>
        </w:rPr>
        <w:fldChar w:fldCharType="begin"/>
      </w:r>
      <w:r>
        <w:rPr>
          <w:noProof/>
        </w:rPr>
        <w:instrText xml:space="preserve"> PAGEREF _Toc207309574 \h </w:instrText>
      </w:r>
      <w:r>
        <w:rPr>
          <w:noProof/>
        </w:rPr>
      </w:r>
      <w:r>
        <w:rPr>
          <w:noProof/>
        </w:rPr>
        <w:fldChar w:fldCharType="separate"/>
      </w:r>
      <w:r>
        <w:rPr>
          <w:noProof/>
        </w:rPr>
        <w:t>52</w:t>
      </w:r>
      <w:r>
        <w:rPr>
          <w:noProof/>
        </w:rPr>
        <w:fldChar w:fldCharType="end"/>
      </w:r>
    </w:p>
    <w:p w14:paraId="0AE0D7B6" w14:textId="2F173E11"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5.1</w:t>
      </w:r>
      <w:r>
        <w:rPr>
          <w:rFonts w:asciiTheme="minorHAnsi" w:eastAsiaTheme="minorEastAsia" w:hAnsiTheme="minorHAnsi" w:cstheme="minorBidi"/>
          <w:noProof/>
          <w:kern w:val="2"/>
          <w:sz w:val="24"/>
          <w:szCs w:val="24"/>
          <w:lang w:eastAsia="en-AU"/>
          <w14:ligatures w14:val="standardContextual"/>
        </w:rPr>
        <w:tab/>
      </w:r>
      <w:r>
        <w:rPr>
          <w:noProof/>
        </w:rPr>
        <w:t>Notification of satisfaction of Milestones</w:t>
      </w:r>
      <w:r>
        <w:rPr>
          <w:noProof/>
        </w:rPr>
        <w:tab/>
      </w:r>
      <w:r>
        <w:rPr>
          <w:noProof/>
        </w:rPr>
        <w:fldChar w:fldCharType="begin"/>
      </w:r>
      <w:r>
        <w:rPr>
          <w:noProof/>
        </w:rPr>
        <w:instrText xml:space="preserve"> PAGEREF _Toc207309575 \h </w:instrText>
      </w:r>
      <w:r>
        <w:rPr>
          <w:noProof/>
        </w:rPr>
      </w:r>
      <w:r>
        <w:rPr>
          <w:noProof/>
        </w:rPr>
        <w:fldChar w:fldCharType="separate"/>
      </w:r>
      <w:r>
        <w:rPr>
          <w:noProof/>
        </w:rPr>
        <w:t>52</w:t>
      </w:r>
      <w:r>
        <w:rPr>
          <w:noProof/>
        </w:rPr>
        <w:fldChar w:fldCharType="end"/>
      </w:r>
    </w:p>
    <w:p w14:paraId="6EC0084D" w14:textId="1A14A68E"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5.2</w:t>
      </w:r>
      <w:r>
        <w:rPr>
          <w:rFonts w:asciiTheme="minorHAnsi" w:eastAsiaTheme="minorEastAsia" w:hAnsiTheme="minorHAnsi" w:cstheme="minorBidi"/>
          <w:noProof/>
          <w:kern w:val="2"/>
          <w:sz w:val="24"/>
          <w:szCs w:val="24"/>
          <w:lang w:eastAsia="en-AU"/>
          <w14:ligatures w14:val="standardContextual"/>
        </w:rPr>
        <w:tab/>
      </w:r>
      <w:r>
        <w:rPr>
          <w:noProof/>
        </w:rPr>
        <w:t>Extension for Force Majeure Events prior to Financial Close</w:t>
      </w:r>
      <w:r>
        <w:rPr>
          <w:noProof/>
        </w:rPr>
        <w:tab/>
      </w:r>
      <w:r>
        <w:rPr>
          <w:noProof/>
        </w:rPr>
        <w:fldChar w:fldCharType="begin"/>
      </w:r>
      <w:r>
        <w:rPr>
          <w:noProof/>
        </w:rPr>
        <w:instrText xml:space="preserve"> PAGEREF _Toc207309576 \h </w:instrText>
      </w:r>
      <w:r>
        <w:rPr>
          <w:noProof/>
        </w:rPr>
      </w:r>
      <w:r>
        <w:rPr>
          <w:noProof/>
        </w:rPr>
        <w:fldChar w:fldCharType="separate"/>
      </w:r>
      <w:r>
        <w:rPr>
          <w:noProof/>
        </w:rPr>
        <w:t>53</w:t>
      </w:r>
      <w:r>
        <w:rPr>
          <w:noProof/>
        </w:rPr>
        <w:fldChar w:fldCharType="end"/>
      </w:r>
    </w:p>
    <w:p w14:paraId="580B7219" w14:textId="14F4D669"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5.3</w:t>
      </w:r>
      <w:r>
        <w:rPr>
          <w:rFonts w:asciiTheme="minorHAnsi" w:eastAsiaTheme="minorEastAsia" w:hAnsiTheme="minorHAnsi" w:cstheme="minorBidi"/>
          <w:noProof/>
          <w:kern w:val="2"/>
          <w:sz w:val="24"/>
          <w:szCs w:val="24"/>
          <w:lang w:eastAsia="en-AU"/>
          <w14:ligatures w14:val="standardContextual"/>
        </w:rPr>
        <w:tab/>
      </w:r>
      <w:r>
        <w:rPr>
          <w:noProof/>
        </w:rPr>
        <w:t>Milestone Cure Plan other than for Force Majeure Event</w:t>
      </w:r>
      <w:r>
        <w:rPr>
          <w:noProof/>
        </w:rPr>
        <w:tab/>
      </w:r>
      <w:r>
        <w:rPr>
          <w:noProof/>
        </w:rPr>
        <w:fldChar w:fldCharType="begin"/>
      </w:r>
      <w:r>
        <w:rPr>
          <w:noProof/>
        </w:rPr>
        <w:instrText xml:space="preserve"> PAGEREF _Toc207309577 \h </w:instrText>
      </w:r>
      <w:r>
        <w:rPr>
          <w:noProof/>
        </w:rPr>
      </w:r>
      <w:r>
        <w:rPr>
          <w:noProof/>
        </w:rPr>
        <w:fldChar w:fldCharType="separate"/>
      </w:r>
      <w:r>
        <w:rPr>
          <w:noProof/>
        </w:rPr>
        <w:t>54</w:t>
      </w:r>
      <w:r>
        <w:rPr>
          <w:noProof/>
        </w:rPr>
        <w:fldChar w:fldCharType="end"/>
      </w:r>
    </w:p>
    <w:p w14:paraId="4A251A4C" w14:textId="0CD3E272"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5.4</w:t>
      </w:r>
      <w:r>
        <w:rPr>
          <w:rFonts w:asciiTheme="minorHAnsi" w:eastAsiaTheme="minorEastAsia" w:hAnsiTheme="minorHAnsi" w:cstheme="minorBidi"/>
          <w:noProof/>
          <w:kern w:val="2"/>
          <w:sz w:val="24"/>
          <w:szCs w:val="24"/>
          <w:lang w:eastAsia="en-AU"/>
          <w14:ligatures w14:val="standardContextual"/>
        </w:rPr>
        <w:tab/>
      </w:r>
      <w:r>
        <w:rPr>
          <w:noProof/>
        </w:rPr>
        <w:t>Failure to achieve a Milestone</w:t>
      </w:r>
      <w:r>
        <w:rPr>
          <w:noProof/>
        </w:rPr>
        <w:tab/>
      </w:r>
      <w:r>
        <w:rPr>
          <w:noProof/>
        </w:rPr>
        <w:fldChar w:fldCharType="begin"/>
      </w:r>
      <w:r>
        <w:rPr>
          <w:noProof/>
        </w:rPr>
        <w:instrText xml:space="preserve"> PAGEREF _Toc207309578 \h </w:instrText>
      </w:r>
      <w:r>
        <w:rPr>
          <w:noProof/>
        </w:rPr>
      </w:r>
      <w:r>
        <w:rPr>
          <w:noProof/>
        </w:rPr>
        <w:fldChar w:fldCharType="separate"/>
      </w:r>
      <w:r>
        <w:rPr>
          <w:noProof/>
        </w:rPr>
        <w:t>55</w:t>
      </w:r>
      <w:r>
        <w:rPr>
          <w:noProof/>
        </w:rPr>
        <w:fldChar w:fldCharType="end"/>
      </w:r>
    </w:p>
    <w:p w14:paraId="0C6EC10F" w14:textId="00BBA16D" w:rsidR="00537D9A" w:rsidRDefault="00537D9A">
      <w:pPr>
        <w:pStyle w:val="TOC1"/>
        <w:rPr>
          <w:rFonts w:asciiTheme="minorHAnsi" w:eastAsiaTheme="minorEastAsia" w:hAnsiTheme="minorHAnsi" w:cstheme="minorBidi"/>
          <w:b w:val="0"/>
          <w:noProof/>
          <w:kern w:val="2"/>
          <w:sz w:val="24"/>
          <w:szCs w:val="24"/>
          <w:lang w:eastAsia="en-AU"/>
          <w14:ligatures w14:val="standardContextual"/>
        </w:rPr>
      </w:pPr>
      <w:r>
        <w:rPr>
          <w:noProof/>
        </w:rPr>
        <w:t>6</w:t>
      </w:r>
      <w:r>
        <w:rPr>
          <w:rFonts w:asciiTheme="minorHAnsi" w:eastAsiaTheme="minorEastAsia" w:hAnsiTheme="minorHAnsi" w:cstheme="minorBidi"/>
          <w:b w:val="0"/>
          <w:noProof/>
          <w:kern w:val="2"/>
          <w:sz w:val="24"/>
          <w:szCs w:val="24"/>
          <w:lang w:eastAsia="en-AU"/>
          <w14:ligatures w14:val="standardContextual"/>
        </w:rPr>
        <w:tab/>
      </w:r>
      <w:r>
        <w:rPr>
          <w:noProof/>
        </w:rPr>
        <w:t>Construction of Project [and the [Associated/Existing] Project]</w:t>
      </w:r>
      <w:r>
        <w:rPr>
          <w:noProof/>
        </w:rPr>
        <w:tab/>
      </w:r>
      <w:r>
        <w:rPr>
          <w:noProof/>
        </w:rPr>
        <w:fldChar w:fldCharType="begin"/>
      </w:r>
      <w:r>
        <w:rPr>
          <w:noProof/>
        </w:rPr>
        <w:instrText xml:space="preserve"> PAGEREF _Toc207309579 \h </w:instrText>
      </w:r>
      <w:r>
        <w:rPr>
          <w:noProof/>
        </w:rPr>
      </w:r>
      <w:r>
        <w:rPr>
          <w:noProof/>
        </w:rPr>
        <w:fldChar w:fldCharType="separate"/>
      </w:r>
      <w:r>
        <w:rPr>
          <w:noProof/>
        </w:rPr>
        <w:t>56</w:t>
      </w:r>
      <w:r>
        <w:rPr>
          <w:noProof/>
        </w:rPr>
        <w:fldChar w:fldCharType="end"/>
      </w:r>
    </w:p>
    <w:p w14:paraId="0FF12210" w14:textId="7920DB1A"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6.1</w:t>
      </w:r>
      <w:r>
        <w:rPr>
          <w:rFonts w:asciiTheme="minorHAnsi" w:eastAsiaTheme="minorEastAsia" w:hAnsiTheme="minorHAnsi" w:cstheme="minorBidi"/>
          <w:noProof/>
          <w:kern w:val="2"/>
          <w:sz w:val="24"/>
          <w:szCs w:val="24"/>
          <w:lang w:eastAsia="en-AU"/>
          <w14:ligatures w14:val="standardContextual"/>
        </w:rPr>
        <w:tab/>
      </w:r>
      <w:r>
        <w:rPr>
          <w:noProof/>
        </w:rPr>
        <w:t>Construction of the Project [and the Associated/Existing] Project]</w:t>
      </w:r>
      <w:r>
        <w:rPr>
          <w:noProof/>
        </w:rPr>
        <w:tab/>
      </w:r>
      <w:r>
        <w:rPr>
          <w:noProof/>
        </w:rPr>
        <w:fldChar w:fldCharType="begin"/>
      </w:r>
      <w:r>
        <w:rPr>
          <w:noProof/>
        </w:rPr>
        <w:instrText xml:space="preserve"> PAGEREF _Toc207309580 \h </w:instrText>
      </w:r>
      <w:r>
        <w:rPr>
          <w:noProof/>
        </w:rPr>
      </w:r>
      <w:r>
        <w:rPr>
          <w:noProof/>
        </w:rPr>
        <w:fldChar w:fldCharType="separate"/>
      </w:r>
      <w:r>
        <w:rPr>
          <w:noProof/>
        </w:rPr>
        <w:t>56</w:t>
      </w:r>
      <w:r>
        <w:rPr>
          <w:noProof/>
        </w:rPr>
        <w:fldChar w:fldCharType="end"/>
      </w:r>
    </w:p>
    <w:p w14:paraId="30B46979" w14:textId="3393D81F"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6.2</w:t>
      </w:r>
      <w:r>
        <w:rPr>
          <w:rFonts w:asciiTheme="minorHAnsi" w:eastAsiaTheme="minorEastAsia" w:hAnsiTheme="minorHAnsi" w:cstheme="minorBidi"/>
          <w:noProof/>
          <w:kern w:val="2"/>
          <w:sz w:val="24"/>
          <w:szCs w:val="24"/>
          <w:lang w:eastAsia="en-AU"/>
          <w14:ligatures w14:val="standardContextual"/>
        </w:rPr>
        <w:tab/>
      </w:r>
      <w:r>
        <w:rPr>
          <w:noProof/>
        </w:rPr>
        <w:t>Construction of the Existing Project</w:t>
      </w:r>
      <w:r>
        <w:rPr>
          <w:noProof/>
        </w:rPr>
        <w:tab/>
      </w:r>
      <w:r>
        <w:rPr>
          <w:noProof/>
        </w:rPr>
        <w:fldChar w:fldCharType="begin"/>
      </w:r>
      <w:r>
        <w:rPr>
          <w:noProof/>
        </w:rPr>
        <w:instrText xml:space="preserve"> PAGEREF _Toc207309581 \h </w:instrText>
      </w:r>
      <w:r>
        <w:rPr>
          <w:noProof/>
        </w:rPr>
      </w:r>
      <w:r>
        <w:rPr>
          <w:noProof/>
        </w:rPr>
        <w:fldChar w:fldCharType="separate"/>
      </w:r>
      <w:r>
        <w:rPr>
          <w:noProof/>
        </w:rPr>
        <w:t>57</w:t>
      </w:r>
      <w:r>
        <w:rPr>
          <w:noProof/>
        </w:rPr>
        <w:fldChar w:fldCharType="end"/>
      </w:r>
    </w:p>
    <w:p w14:paraId="143F2080" w14:textId="5631795C" w:rsidR="00537D9A" w:rsidRDefault="00537D9A">
      <w:pPr>
        <w:pStyle w:val="TOC1"/>
        <w:rPr>
          <w:rFonts w:asciiTheme="minorHAnsi" w:eastAsiaTheme="minorEastAsia" w:hAnsiTheme="minorHAnsi" w:cstheme="minorBidi"/>
          <w:b w:val="0"/>
          <w:noProof/>
          <w:kern w:val="2"/>
          <w:sz w:val="24"/>
          <w:szCs w:val="24"/>
          <w:lang w:eastAsia="en-AU"/>
          <w14:ligatures w14:val="standardContextual"/>
        </w:rPr>
      </w:pPr>
      <w:r>
        <w:rPr>
          <w:noProof/>
        </w:rPr>
        <w:t>7</w:t>
      </w:r>
      <w:r>
        <w:rPr>
          <w:rFonts w:asciiTheme="minorHAnsi" w:eastAsiaTheme="minorEastAsia" w:hAnsiTheme="minorHAnsi" w:cstheme="minorBidi"/>
          <w:b w:val="0"/>
          <w:noProof/>
          <w:kern w:val="2"/>
          <w:sz w:val="24"/>
          <w:szCs w:val="24"/>
          <w:lang w:eastAsia="en-AU"/>
          <w14:ligatures w14:val="standardContextual"/>
        </w:rPr>
        <w:tab/>
      </w:r>
      <w:r>
        <w:rPr>
          <w:noProof/>
        </w:rPr>
        <w:t>COD Conditions</w:t>
      </w:r>
      <w:r>
        <w:rPr>
          <w:noProof/>
        </w:rPr>
        <w:tab/>
      </w:r>
      <w:r>
        <w:rPr>
          <w:noProof/>
        </w:rPr>
        <w:fldChar w:fldCharType="begin"/>
      </w:r>
      <w:r>
        <w:rPr>
          <w:noProof/>
        </w:rPr>
        <w:instrText xml:space="preserve"> PAGEREF _Toc207309582 \h </w:instrText>
      </w:r>
      <w:r>
        <w:rPr>
          <w:noProof/>
        </w:rPr>
      </w:r>
      <w:r>
        <w:rPr>
          <w:noProof/>
        </w:rPr>
        <w:fldChar w:fldCharType="separate"/>
      </w:r>
      <w:r>
        <w:rPr>
          <w:noProof/>
        </w:rPr>
        <w:t>57</w:t>
      </w:r>
      <w:r>
        <w:rPr>
          <w:noProof/>
        </w:rPr>
        <w:fldChar w:fldCharType="end"/>
      </w:r>
    </w:p>
    <w:p w14:paraId="54CE844C" w14:textId="6228D3C0"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7.1</w:t>
      </w:r>
      <w:r>
        <w:rPr>
          <w:rFonts w:asciiTheme="minorHAnsi" w:eastAsiaTheme="minorEastAsia" w:hAnsiTheme="minorHAnsi" w:cstheme="minorBidi"/>
          <w:noProof/>
          <w:kern w:val="2"/>
          <w:sz w:val="24"/>
          <w:szCs w:val="24"/>
          <w:lang w:eastAsia="en-AU"/>
          <w14:ligatures w14:val="standardContextual"/>
        </w:rPr>
        <w:tab/>
      </w:r>
      <w:r>
        <w:rPr>
          <w:noProof/>
        </w:rPr>
        <w:t>COD Conditions</w:t>
      </w:r>
      <w:r>
        <w:rPr>
          <w:noProof/>
        </w:rPr>
        <w:tab/>
      </w:r>
      <w:r>
        <w:rPr>
          <w:noProof/>
        </w:rPr>
        <w:fldChar w:fldCharType="begin"/>
      </w:r>
      <w:r>
        <w:rPr>
          <w:noProof/>
        </w:rPr>
        <w:instrText xml:space="preserve"> PAGEREF _Toc207309583 \h </w:instrText>
      </w:r>
      <w:r>
        <w:rPr>
          <w:noProof/>
        </w:rPr>
      </w:r>
      <w:r>
        <w:rPr>
          <w:noProof/>
        </w:rPr>
        <w:fldChar w:fldCharType="separate"/>
      </w:r>
      <w:r>
        <w:rPr>
          <w:noProof/>
        </w:rPr>
        <w:t>57</w:t>
      </w:r>
      <w:r>
        <w:rPr>
          <w:noProof/>
        </w:rPr>
        <w:fldChar w:fldCharType="end"/>
      </w:r>
    </w:p>
    <w:p w14:paraId="11B6417C" w14:textId="4E232D50"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7.2</w:t>
      </w:r>
      <w:r>
        <w:rPr>
          <w:rFonts w:asciiTheme="minorHAnsi" w:eastAsiaTheme="minorEastAsia" w:hAnsiTheme="minorHAnsi" w:cstheme="minorBidi"/>
          <w:noProof/>
          <w:kern w:val="2"/>
          <w:sz w:val="24"/>
          <w:szCs w:val="24"/>
          <w:lang w:eastAsia="en-AU"/>
          <w14:ligatures w14:val="standardContextual"/>
        </w:rPr>
        <w:tab/>
      </w:r>
      <w:r>
        <w:rPr>
          <w:noProof/>
        </w:rPr>
        <w:t>Notification of satisfaction</w:t>
      </w:r>
      <w:r>
        <w:rPr>
          <w:noProof/>
        </w:rPr>
        <w:tab/>
      </w:r>
      <w:r>
        <w:rPr>
          <w:noProof/>
        </w:rPr>
        <w:fldChar w:fldCharType="begin"/>
      </w:r>
      <w:r>
        <w:rPr>
          <w:noProof/>
        </w:rPr>
        <w:instrText xml:space="preserve"> PAGEREF _Toc207309584 \h </w:instrText>
      </w:r>
      <w:r>
        <w:rPr>
          <w:noProof/>
        </w:rPr>
      </w:r>
      <w:r>
        <w:rPr>
          <w:noProof/>
        </w:rPr>
        <w:fldChar w:fldCharType="separate"/>
      </w:r>
      <w:r>
        <w:rPr>
          <w:noProof/>
        </w:rPr>
        <w:t>59</w:t>
      </w:r>
      <w:r>
        <w:rPr>
          <w:noProof/>
        </w:rPr>
        <w:fldChar w:fldCharType="end"/>
      </w:r>
    </w:p>
    <w:p w14:paraId="17FAFEC7" w14:textId="0A65A4D9"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7.3</w:t>
      </w:r>
      <w:r>
        <w:rPr>
          <w:rFonts w:asciiTheme="minorHAnsi" w:eastAsiaTheme="minorEastAsia" w:hAnsiTheme="minorHAnsi" w:cstheme="minorBidi"/>
          <w:noProof/>
          <w:kern w:val="2"/>
          <w:sz w:val="24"/>
          <w:szCs w:val="24"/>
          <w:lang w:eastAsia="en-AU"/>
          <w14:ligatures w14:val="standardContextual"/>
        </w:rPr>
        <w:tab/>
      </w:r>
      <w:r>
        <w:rPr>
          <w:noProof/>
        </w:rPr>
        <w:t>Extension for Force Majeure Event prior to commercial operations</w:t>
      </w:r>
      <w:r>
        <w:rPr>
          <w:noProof/>
        </w:rPr>
        <w:tab/>
      </w:r>
      <w:r>
        <w:rPr>
          <w:noProof/>
        </w:rPr>
        <w:fldChar w:fldCharType="begin"/>
      </w:r>
      <w:r>
        <w:rPr>
          <w:noProof/>
        </w:rPr>
        <w:instrText xml:space="preserve"> PAGEREF _Toc207309585 \h </w:instrText>
      </w:r>
      <w:r>
        <w:rPr>
          <w:noProof/>
        </w:rPr>
      </w:r>
      <w:r>
        <w:rPr>
          <w:noProof/>
        </w:rPr>
        <w:fldChar w:fldCharType="separate"/>
      </w:r>
      <w:r>
        <w:rPr>
          <w:noProof/>
        </w:rPr>
        <w:t>60</w:t>
      </w:r>
      <w:r>
        <w:rPr>
          <w:noProof/>
        </w:rPr>
        <w:fldChar w:fldCharType="end"/>
      </w:r>
    </w:p>
    <w:p w14:paraId="130CCBC6" w14:textId="4255B1C0"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7.4</w:t>
      </w:r>
      <w:r>
        <w:rPr>
          <w:rFonts w:asciiTheme="minorHAnsi" w:eastAsiaTheme="minorEastAsia" w:hAnsiTheme="minorHAnsi" w:cstheme="minorBidi"/>
          <w:noProof/>
          <w:kern w:val="2"/>
          <w:sz w:val="24"/>
          <w:szCs w:val="24"/>
          <w:lang w:eastAsia="en-AU"/>
          <w14:ligatures w14:val="standardContextual"/>
        </w:rPr>
        <w:tab/>
      </w:r>
      <w:r>
        <w:rPr>
          <w:noProof/>
        </w:rPr>
        <w:t>COD Cure Plan other than for Force Majeure Event</w:t>
      </w:r>
      <w:r>
        <w:rPr>
          <w:noProof/>
        </w:rPr>
        <w:tab/>
      </w:r>
      <w:r>
        <w:rPr>
          <w:noProof/>
        </w:rPr>
        <w:fldChar w:fldCharType="begin"/>
      </w:r>
      <w:r>
        <w:rPr>
          <w:noProof/>
        </w:rPr>
        <w:instrText xml:space="preserve"> PAGEREF _Toc207309586 \h </w:instrText>
      </w:r>
      <w:r>
        <w:rPr>
          <w:noProof/>
        </w:rPr>
      </w:r>
      <w:r>
        <w:rPr>
          <w:noProof/>
        </w:rPr>
        <w:fldChar w:fldCharType="separate"/>
      </w:r>
      <w:r>
        <w:rPr>
          <w:noProof/>
        </w:rPr>
        <w:t>61</w:t>
      </w:r>
      <w:r>
        <w:rPr>
          <w:noProof/>
        </w:rPr>
        <w:fldChar w:fldCharType="end"/>
      </w:r>
    </w:p>
    <w:p w14:paraId="6CF2163C" w14:textId="0C13CE16"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7.5</w:t>
      </w:r>
      <w:r>
        <w:rPr>
          <w:rFonts w:asciiTheme="minorHAnsi" w:eastAsiaTheme="minorEastAsia" w:hAnsiTheme="minorHAnsi" w:cstheme="minorBidi"/>
          <w:noProof/>
          <w:kern w:val="2"/>
          <w:sz w:val="24"/>
          <w:szCs w:val="24"/>
          <w:lang w:eastAsia="en-AU"/>
          <w14:ligatures w14:val="standardContextual"/>
        </w:rPr>
        <w:tab/>
      </w:r>
      <w:r>
        <w:rPr>
          <w:noProof/>
        </w:rPr>
        <w:t>Failure to meet the COD Sunset Date</w:t>
      </w:r>
      <w:r>
        <w:rPr>
          <w:noProof/>
        </w:rPr>
        <w:tab/>
      </w:r>
      <w:r>
        <w:rPr>
          <w:noProof/>
        </w:rPr>
        <w:fldChar w:fldCharType="begin"/>
      </w:r>
      <w:r>
        <w:rPr>
          <w:noProof/>
        </w:rPr>
        <w:instrText xml:space="preserve"> PAGEREF _Toc207309587 \h </w:instrText>
      </w:r>
      <w:r>
        <w:rPr>
          <w:noProof/>
        </w:rPr>
      </w:r>
      <w:r>
        <w:rPr>
          <w:noProof/>
        </w:rPr>
        <w:fldChar w:fldCharType="separate"/>
      </w:r>
      <w:r>
        <w:rPr>
          <w:noProof/>
        </w:rPr>
        <w:t>62</w:t>
      </w:r>
      <w:r>
        <w:rPr>
          <w:noProof/>
        </w:rPr>
        <w:fldChar w:fldCharType="end"/>
      </w:r>
    </w:p>
    <w:p w14:paraId="1E4BFB8D" w14:textId="1D9620D1" w:rsidR="00537D9A" w:rsidRDefault="00537D9A">
      <w:pPr>
        <w:pStyle w:val="TOC1"/>
        <w:rPr>
          <w:rFonts w:asciiTheme="minorHAnsi" w:eastAsiaTheme="minorEastAsia" w:hAnsiTheme="minorHAnsi" w:cstheme="minorBidi"/>
          <w:b w:val="0"/>
          <w:noProof/>
          <w:kern w:val="2"/>
          <w:sz w:val="24"/>
          <w:szCs w:val="24"/>
          <w:lang w:eastAsia="en-AU"/>
          <w14:ligatures w14:val="standardContextual"/>
        </w:rPr>
      </w:pPr>
      <w:r>
        <w:rPr>
          <w:noProof/>
        </w:rPr>
        <w:t>8</w:t>
      </w:r>
      <w:r>
        <w:rPr>
          <w:rFonts w:asciiTheme="minorHAnsi" w:eastAsiaTheme="minorEastAsia" w:hAnsiTheme="minorHAnsi" w:cstheme="minorBidi"/>
          <w:b w:val="0"/>
          <w:noProof/>
          <w:kern w:val="2"/>
          <w:sz w:val="24"/>
          <w:szCs w:val="24"/>
          <w:lang w:eastAsia="en-AU"/>
          <w14:ligatures w14:val="standardContextual"/>
        </w:rPr>
        <w:tab/>
      </w:r>
      <w:r>
        <w:rPr>
          <w:noProof/>
        </w:rPr>
        <w:t>Operation and maintenance</w:t>
      </w:r>
      <w:r>
        <w:rPr>
          <w:noProof/>
        </w:rPr>
        <w:tab/>
      </w:r>
      <w:r>
        <w:rPr>
          <w:noProof/>
        </w:rPr>
        <w:fldChar w:fldCharType="begin"/>
      </w:r>
      <w:r>
        <w:rPr>
          <w:noProof/>
        </w:rPr>
        <w:instrText xml:space="preserve"> PAGEREF _Toc207309588 \h </w:instrText>
      </w:r>
      <w:r>
        <w:rPr>
          <w:noProof/>
        </w:rPr>
      </w:r>
      <w:r>
        <w:rPr>
          <w:noProof/>
        </w:rPr>
        <w:fldChar w:fldCharType="separate"/>
      </w:r>
      <w:r>
        <w:rPr>
          <w:noProof/>
        </w:rPr>
        <w:t>63</w:t>
      </w:r>
      <w:r>
        <w:rPr>
          <w:noProof/>
        </w:rPr>
        <w:fldChar w:fldCharType="end"/>
      </w:r>
    </w:p>
    <w:p w14:paraId="63FE1E85" w14:textId="780E7BC5"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8.1</w:t>
      </w:r>
      <w:r>
        <w:rPr>
          <w:rFonts w:asciiTheme="minorHAnsi" w:eastAsiaTheme="minorEastAsia" w:hAnsiTheme="minorHAnsi" w:cstheme="minorBidi"/>
          <w:noProof/>
          <w:kern w:val="2"/>
          <w:sz w:val="24"/>
          <w:szCs w:val="24"/>
          <w:lang w:eastAsia="en-AU"/>
          <w14:ligatures w14:val="standardContextual"/>
        </w:rPr>
        <w:tab/>
      </w:r>
      <w:r>
        <w:rPr>
          <w:noProof/>
        </w:rPr>
        <w:t>Performance of obligations</w:t>
      </w:r>
      <w:r>
        <w:rPr>
          <w:noProof/>
        </w:rPr>
        <w:tab/>
      </w:r>
      <w:r>
        <w:rPr>
          <w:noProof/>
        </w:rPr>
        <w:fldChar w:fldCharType="begin"/>
      </w:r>
      <w:r>
        <w:rPr>
          <w:noProof/>
        </w:rPr>
        <w:instrText xml:space="preserve"> PAGEREF _Toc207309589 \h </w:instrText>
      </w:r>
      <w:r>
        <w:rPr>
          <w:noProof/>
        </w:rPr>
      </w:r>
      <w:r>
        <w:rPr>
          <w:noProof/>
        </w:rPr>
        <w:fldChar w:fldCharType="separate"/>
      </w:r>
      <w:r>
        <w:rPr>
          <w:noProof/>
        </w:rPr>
        <w:t>63</w:t>
      </w:r>
      <w:r>
        <w:rPr>
          <w:noProof/>
        </w:rPr>
        <w:fldChar w:fldCharType="end"/>
      </w:r>
    </w:p>
    <w:p w14:paraId="26E5CD67" w14:textId="01CA83DA"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8.2</w:t>
      </w:r>
      <w:r>
        <w:rPr>
          <w:rFonts w:asciiTheme="minorHAnsi" w:eastAsiaTheme="minorEastAsia" w:hAnsiTheme="minorHAnsi" w:cstheme="minorBidi"/>
          <w:noProof/>
          <w:kern w:val="2"/>
          <w:sz w:val="24"/>
          <w:szCs w:val="24"/>
          <w:lang w:eastAsia="en-AU"/>
          <w14:ligatures w14:val="standardContextual"/>
        </w:rPr>
        <w:tab/>
      </w:r>
      <w:r>
        <w:rPr>
          <w:noProof/>
        </w:rPr>
        <w:t>Performance Requirement obligations</w:t>
      </w:r>
      <w:r>
        <w:rPr>
          <w:noProof/>
        </w:rPr>
        <w:tab/>
      </w:r>
      <w:r>
        <w:rPr>
          <w:noProof/>
        </w:rPr>
        <w:fldChar w:fldCharType="begin"/>
      </w:r>
      <w:r>
        <w:rPr>
          <w:noProof/>
        </w:rPr>
        <w:instrText xml:space="preserve"> PAGEREF _Toc207309590 \h </w:instrText>
      </w:r>
      <w:r>
        <w:rPr>
          <w:noProof/>
        </w:rPr>
      </w:r>
      <w:r>
        <w:rPr>
          <w:noProof/>
        </w:rPr>
        <w:fldChar w:fldCharType="separate"/>
      </w:r>
      <w:r>
        <w:rPr>
          <w:noProof/>
        </w:rPr>
        <w:t>66</w:t>
      </w:r>
      <w:r>
        <w:rPr>
          <w:noProof/>
        </w:rPr>
        <w:fldChar w:fldCharType="end"/>
      </w:r>
    </w:p>
    <w:p w14:paraId="5905B046" w14:textId="5FCBE7F5"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8.3</w:t>
      </w:r>
      <w:r>
        <w:rPr>
          <w:rFonts w:asciiTheme="minorHAnsi" w:eastAsiaTheme="minorEastAsia" w:hAnsiTheme="minorHAnsi" w:cstheme="minorBidi"/>
          <w:noProof/>
          <w:kern w:val="2"/>
          <w:sz w:val="24"/>
          <w:szCs w:val="24"/>
          <w:lang w:eastAsia="en-AU"/>
          <w14:ligatures w14:val="standardContextual"/>
        </w:rPr>
        <w:tab/>
      </w:r>
      <w:r>
        <w:rPr>
          <w:noProof/>
        </w:rPr>
        <w:t>Measurement and validation</w:t>
      </w:r>
      <w:r>
        <w:rPr>
          <w:noProof/>
        </w:rPr>
        <w:tab/>
      </w:r>
      <w:r>
        <w:rPr>
          <w:noProof/>
        </w:rPr>
        <w:fldChar w:fldCharType="begin"/>
      </w:r>
      <w:r>
        <w:rPr>
          <w:noProof/>
        </w:rPr>
        <w:instrText xml:space="preserve"> PAGEREF _Toc207309591 \h </w:instrText>
      </w:r>
      <w:r>
        <w:rPr>
          <w:noProof/>
        </w:rPr>
      </w:r>
      <w:r>
        <w:rPr>
          <w:noProof/>
        </w:rPr>
        <w:fldChar w:fldCharType="separate"/>
      </w:r>
      <w:r>
        <w:rPr>
          <w:noProof/>
        </w:rPr>
        <w:t>66</w:t>
      </w:r>
      <w:r>
        <w:rPr>
          <w:noProof/>
        </w:rPr>
        <w:fldChar w:fldCharType="end"/>
      </w:r>
    </w:p>
    <w:p w14:paraId="4A484EB0" w14:textId="72EC8B39"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8.4</w:t>
      </w:r>
      <w:r>
        <w:rPr>
          <w:rFonts w:asciiTheme="minorHAnsi" w:eastAsiaTheme="minorEastAsia" w:hAnsiTheme="minorHAnsi" w:cstheme="minorBidi"/>
          <w:noProof/>
          <w:kern w:val="2"/>
          <w:sz w:val="24"/>
          <w:szCs w:val="24"/>
          <w:lang w:eastAsia="en-AU"/>
          <w14:ligatures w14:val="standardContextual"/>
        </w:rPr>
        <w:tab/>
      </w:r>
      <w:r>
        <w:rPr>
          <w:noProof/>
        </w:rPr>
        <w:t>Performance Requirement failures</w:t>
      </w:r>
      <w:r>
        <w:rPr>
          <w:noProof/>
        </w:rPr>
        <w:tab/>
      </w:r>
      <w:r>
        <w:rPr>
          <w:noProof/>
        </w:rPr>
        <w:fldChar w:fldCharType="begin"/>
      </w:r>
      <w:r>
        <w:rPr>
          <w:noProof/>
        </w:rPr>
        <w:instrText xml:space="preserve"> PAGEREF _Toc207309592 \h </w:instrText>
      </w:r>
      <w:r>
        <w:rPr>
          <w:noProof/>
        </w:rPr>
      </w:r>
      <w:r>
        <w:rPr>
          <w:noProof/>
        </w:rPr>
        <w:fldChar w:fldCharType="separate"/>
      </w:r>
      <w:r>
        <w:rPr>
          <w:noProof/>
        </w:rPr>
        <w:t>67</w:t>
      </w:r>
      <w:r>
        <w:rPr>
          <w:noProof/>
        </w:rPr>
        <w:fldChar w:fldCharType="end"/>
      </w:r>
    </w:p>
    <w:p w14:paraId="52FF86EF" w14:textId="34A6A61F"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8.5</w:t>
      </w:r>
      <w:r>
        <w:rPr>
          <w:rFonts w:asciiTheme="minorHAnsi" w:eastAsiaTheme="minorEastAsia" w:hAnsiTheme="minorHAnsi" w:cstheme="minorBidi"/>
          <w:noProof/>
          <w:kern w:val="2"/>
          <w:sz w:val="24"/>
          <w:szCs w:val="24"/>
          <w:lang w:eastAsia="en-AU"/>
          <w14:ligatures w14:val="standardContextual"/>
        </w:rPr>
        <w:tab/>
      </w:r>
      <w:r>
        <w:rPr>
          <w:noProof/>
        </w:rPr>
        <w:t>Registration</w:t>
      </w:r>
      <w:r>
        <w:rPr>
          <w:noProof/>
        </w:rPr>
        <w:tab/>
      </w:r>
      <w:r>
        <w:rPr>
          <w:noProof/>
        </w:rPr>
        <w:fldChar w:fldCharType="begin"/>
      </w:r>
      <w:r>
        <w:rPr>
          <w:noProof/>
        </w:rPr>
        <w:instrText xml:space="preserve"> PAGEREF _Toc207309593 \h </w:instrText>
      </w:r>
      <w:r>
        <w:rPr>
          <w:noProof/>
        </w:rPr>
      </w:r>
      <w:r>
        <w:rPr>
          <w:noProof/>
        </w:rPr>
        <w:fldChar w:fldCharType="separate"/>
      </w:r>
      <w:r>
        <w:rPr>
          <w:noProof/>
        </w:rPr>
        <w:t>69</w:t>
      </w:r>
      <w:r>
        <w:rPr>
          <w:noProof/>
        </w:rPr>
        <w:fldChar w:fldCharType="end"/>
      </w:r>
    </w:p>
    <w:p w14:paraId="2FE8663A" w14:textId="40D4C554"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8.6</w:t>
      </w:r>
      <w:r>
        <w:rPr>
          <w:rFonts w:asciiTheme="minorHAnsi" w:eastAsiaTheme="minorEastAsia" w:hAnsiTheme="minorHAnsi" w:cstheme="minorBidi"/>
          <w:noProof/>
          <w:kern w:val="2"/>
          <w:sz w:val="24"/>
          <w:szCs w:val="24"/>
          <w:lang w:eastAsia="en-AU"/>
          <w14:ligatures w14:val="standardContextual"/>
        </w:rPr>
        <w:tab/>
      </w:r>
      <w:r>
        <w:rPr>
          <w:noProof/>
        </w:rPr>
        <w:t>Project Operator is a special purpose vehicle</w:t>
      </w:r>
      <w:r>
        <w:rPr>
          <w:noProof/>
        </w:rPr>
        <w:tab/>
      </w:r>
      <w:r>
        <w:rPr>
          <w:noProof/>
        </w:rPr>
        <w:fldChar w:fldCharType="begin"/>
      </w:r>
      <w:r>
        <w:rPr>
          <w:noProof/>
        </w:rPr>
        <w:instrText xml:space="preserve"> PAGEREF _Toc207309594 \h </w:instrText>
      </w:r>
      <w:r>
        <w:rPr>
          <w:noProof/>
        </w:rPr>
      </w:r>
      <w:r>
        <w:rPr>
          <w:noProof/>
        </w:rPr>
        <w:fldChar w:fldCharType="separate"/>
      </w:r>
      <w:r>
        <w:rPr>
          <w:noProof/>
        </w:rPr>
        <w:t>70</w:t>
      </w:r>
      <w:r>
        <w:rPr>
          <w:noProof/>
        </w:rPr>
        <w:fldChar w:fldCharType="end"/>
      </w:r>
    </w:p>
    <w:p w14:paraId="01A68C07" w14:textId="2F38EB99"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8.7</w:t>
      </w:r>
      <w:r>
        <w:rPr>
          <w:rFonts w:asciiTheme="minorHAnsi" w:eastAsiaTheme="minorEastAsia" w:hAnsiTheme="minorHAnsi" w:cstheme="minorBidi"/>
          <w:noProof/>
          <w:kern w:val="2"/>
          <w:sz w:val="24"/>
          <w:szCs w:val="24"/>
          <w:lang w:eastAsia="en-AU"/>
          <w14:ligatures w14:val="standardContextual"/>
        </w:rPr>
        <w:tab/>
      </w:r>
      <w:r>
        <w:rPr>
          <w:noProof/>
        </w:rPr>
        <w:t>Trading Protocol</w:t>
      </w:r>
      <w:r>
        <w:rPr>
          <w:noProof/>
        </w:rPr>
        <w:tab/>
      </w:r>
      <w:r>
        <w:rPr>
          <w:noProof/>
        </w:rPr>
        <w:fldChar w:fldCharType="begin"/>
      </w:r>
      <w:r>
        <w:rPr>
          <w:noProof/>
        </w:rPr>
        <w:instrText xml:space="preserve"> PAGEREF _Toc207309595 \h </w:instrText>
      </w:r>
      <w:r>
        <w:rPr>
          <w:noProof/>
        </w:rPr>
      </w:r>
      <w:r>
        <w:rPr>
          <w:noProof/>
        </w:rPr>
        <w:fldChar w:fldCharType="separate"/>
      </w:r>
      <w:r>
        <w:rPr>
          <w:noProof/>
        </w:rPr>
        <w:t>71</w:t>
      </w:r>
      <w:r>
        <w:rPr>
          <w:noProof/>
        </w:rPr>
        <w:fldChar w:fldCharType="end"/>
      </w:r>
    </w:p>
    <w:p w14:paraId="6D568A8F" w14:textId="31CDB1D3"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8.8</w:t>
      </w:r>
      <w:r>
        <w:rPr>
          <w:rFonts w:asciiTheme="minorHAnsi" w:eastAsiaTheme="minorEastAsia" w:hAnsiTheme="minorHAnsi" w:cstheme="minorBidi"/>
          <w:noProof/>
          <w:kern w:val="2"/>
          <w:sz w:val="24"/>
          <w:szCs w:val="24"/>
          <w:lang w:eastAsia="en-AU"/>
          <w14:ligatures w14:val="standardContextual"/>
        </w:rPr>
        <w:tab/>
      </w:r>
      <w:r>
        <w:rPr>
          <w:noProof/>
        </w:rPr>
        <w:t>Annual Maintenance Program</w:t>
      </w:r>
      <w:r>
        <w:rPr>
          <w:noProof/>
        </w:rPr>
        <w:tab/>
      </w:r>
      <w:r>
        <w:rPr>
          <w:noProof/>
        </w:rPr>
        <w:fldChar w:fldCharType="begin"/>
      </w:r>
      <w:r>
        <w:rPr>
          <w:noProof/>
        </w:rPr>
        <w:instrText xml:space="preserve"> PAGEREF _Toc207309596 \h </w:instrText>
      </w:r>
      <w:r>
        <w:rPr>
          <w:noProof/>
        </w:rPr>
      </w:r>
      <w:r>
        <w:rPr>
          <w:noProof/>
        </w:rPr>
        <w:fldChar w:fldCharType="separate"/>
      </w:r>
      <w:r>
        <w:rPr>
          <w:noProof/>
        </w:rPr>
        <w:t>72</w:t>
      </w:r>
      <w:r>
        <w:rPr>
          <w:noProof/>
        </w:rPr>
        <w:fldChar w:fldCharType="end"/>
      </w:r>
    </w:p>
    <w:p w14:paraId="2C0E7BA0" w14:textId="1938C4F7"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8.9</w:t>
      </w:r>
      <w:r>
        <w:rPr>
          <w:rFonts w:asciiTheme="minorHAnsi" w:eastAsiaTheme="minorEastAsia" w:hAnsiTheme="minorHAnsi" w:cstheme="minorBidi"/>
          <w:noProof/>
          <w:kern w:val="2"/>
          <w:sz w:val="24"/>
          <w:szCs w:val="24"/>
          <w:lang w:eastAsia="en-AU"/>
          <w14:ligatures w14:val="standardContextual"/>
        </w:rPr>
        <w:tab/>
      </w:r>
      <w:r>
        <w:rPr>
          <w:noProof/>
        </w:rPr>
        <w:t>Maintenance</w:t>
      </w:r>
      <w:r>
        <w:rPr>
          <w:noProof/>
        </w:rPr>
        <w:tab/>
      </w:r>
      <w:r>
        <w:rPr>
          <w:noProof/>
        </w:rPr>
        <w:fldChar w:fldCharType="begin"/>
      </w:r>
      <w:r>
        <w:rPr>
          <w:noProof/>
        </w:rPr>
        <w:instrText xml:space="preserve"> PAGEREF _Toc207309597 \h </w:instrText>
      </w:r>
      <w:r>
        <w:rPr>
          <w:noProof/>
        </w:rPr>
      </w:r>
      <w:r>
        <w:rPr>
          <w:noProof/>
        </w:rPr>
        <w:fldChar w:fldCharType="separate"/>
      </w:r>
      <w:r>
        <w:rPr>
          <w:noProof/>
        </w:rPr>
        <w:t>72</w:t>
      </w:r>
      <w:r>
        <w:rPr>
          <w:noProof/>
        </w:rPr>
        <w:fldChar w:fldCharType="end"/>
      </w:r>
    </w:p>
    <w:p w14:paraId="42A968E4" w14:textId="51FB4640"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8.10</w:t>
      </w:r>
      <w:r>
        <w:rPr>
          <w:rFonts w:asciiTheme="minorHAnsi" w:eastAsiaTheme="minorEastAsia" w:hAnsiTheme="minorHAnsi" w:cstheme="minorBidi"/>
          <w:noProof/>
          <w:kern w:val="2"/>
          <w:sz w:val="24"/>
          <w:szCs w:val="24"/>
          <w:lang w:eastAsia="en-AU"/>
          <w14:ligatures w14:val="standardContextual"/>
        </w:rPr>
        <w:tab/>
      </w:r>
      <w:r>
        <w:rPr>
          <w:noProof/>
        </w:rPr>
        <w:t>Adjustment to Peak Periods</w:t>
      </w:r>
      <w:r>
        <w:rPr>
          <w:noProof/>
        </w:rPr>
        <w:tab/>
      </w:r>
      <w:r>
        <w:rPr>
          <w:noProof/>
        </w:rPr>
        <w:fldChar w:fldCharType="begin"/>
      </w:r>
      <w:r>
        <w:rPr>
          <w:noProof/>
        </w:rPr>
        <w:instrText xml:space="preserve"> PAGEREF _Toc207309598 \h </w:instrText>
      </w:r>
      <w:r>
        <w:rPr>
          <w:noProof/>
        </w:rPr>
      </w:r>
      <w:r>
        <w:rPr>
          <w:noProof/>
        </w:rPr>
        <w:fldChar w:fldCharType="separate"/>
      </w:r>
      <w:r>
        <w:rPr>
          <w:noProof/>
        </w:rPr>
        <w:t>73</w:t>
      </w:r>
      <w:r>
        <w:rPr>
          <w:noProof/>
        </w:rPr>
        <w:fldChar w:fldCharType="end"/>
      </w:r>
    </w:p>
    <w:p w14:paraId="7829BC68" w14:textId="61F54707" w:rsidR="00537D9A" w:rsidRDefault="00537D9A">
      <w:pPr>
        <w:pStyle w:val="TOC1"/>
        <w:rPr>
          <w:rFonts w:asciiTheme="minorHAnsi" w:eastAsiaTheme="minorEastAsia" w:hAnsiTheme="minorHAnsi" w:cstheme="minorBidi"/>
          <w:b w:val="0"/>
          <w:noProof/>
          <w:kern w:val="2"/>
          <w:sz w:val="24"/>
          <w:szCs w:val="24"/>
          <w:lang w:eastAsia="en-AU"/>
          <w14:ligatures w14:val="standardContextual"/>
        </w:rPr>
      </w:pPr>
      <w:r>
        <w:rPr>
          <w:noProof/>
        </w:rPr>
        <w:t>9</w:t>
      </w:r>
      <w:r>
        <w:rPr>
          <w:rFonts w:asciiTheme="minorHAnsi" w:eastAsiaTheme="minorEastAsia" w:hAnsiTheme="minorHAnsi" w:cstheme="minorBidi"/>
          <w:b w:val="0"/>
          <w:noProof/>
          <w:kern w:val="2"/>
          <w:sz w:val="24"/>
          <w:szCs w:val="24"/>
          <w:lang w:eastAsia="en-AU"/>
          <w14:ligatures w14:val="standardContextual"/>
        </w:rPr>
        <w:tab/>
      </w:r>
      <w:r>
        <w:rPr>
          <w:noProof/>
        </w:rPr>
        <w:t>Insurance</w:t>
      </w:r>
      <w:r>
        <w:rPr>
          <w:noProof/>
        </w:rPr>
        <w:tab/>
      </w:r>
      <w:r>
        <w:rPr>
          <w:noProof/>
        </w:rPr>
        <w:fldChar w:fldCharType="begin"/>
      </w:r>
      <w:r>
        <w:rPr>
          <w:noProof/>
        </w:rPr>
        <w:instrText xml:space="preserve"> PAGEREF _Toc207309599 \h </w:instrText>
      </w:r>
      <w:r>
        <w:rPr>
          <w:noProof/>
        </w:rPr>
      </w:r>
      <w:r>
        <w:rPr>
          <w:noProof/>
        </w:rPr>
        <w:fldChar w:fldCharType="separate"/>
      </w:r>
      <w:r>
        <w:rPr>
          <w:noProof/>
        </w:rPr>
        <w:t>73</w:t>
      </w:r>
      <w:r>
        <w:rPr>
          <w:noProof/>
        </w:rPr>
        <w:fldChar w:fldCharType="end"/>
      </w:r>
    </w:p>
    <w:p w14:paraId="742DC9DB" w14:textId="773A8F0C" w:rsidR="00537D9A" w:rsidRDefault="00537D9A">
      <w:pPr>
        <w:pStyle w:val="TOC1"/>
        <w:rPr>
          <w:rFonts w:asciiTheme="minorHAnsi" w:eastAsiaTheme="minorEastAsia" w:hAnsiTheme="minorHAnsi" w:cstheme="minorBidi"/>
          <w:b w:val="0"/>
          <w:noProof/>
          <w:kern w:val="2"/>
          <w:sz w:val="24"/>
          <w:szCs w:val="24"/>
          <w:lang w:eastAsia="en-AU"/>
          <w14:ligatures w14:val="standardContextual"/>
        </w:rPr>
      </w:pPr>
      <w:r>
        <w:rPr>
          <w:noProof/>
        </w:rPr>
        <w:t>10</w:t>
      </w:r>
      <w:r>
        <w:rPr>
          <w:rFonts w:asciiTheme="minorHAnsi" w:eastAsiaTheme="minorEastAsia" w:hAnsiTheme="minorHAnsi" w:cstheme="minorBidi"/>
          <w:b w:val="0"/>
          <w:noProof/>
          <w:kern w:val="2"/>
          <w:sz w:val="24"/>
          <w:szCs w:val="24"/>
          <w:lang w:eastAsia="en-AU"/>
          <w14:ligatures w14:val="standardContextual"/>
        </w:rPr>
        <w:tab/>
      </w:r>
      <w:r>
        <w:rPr>
          <w:noProof/>
        </w:rPr>
        <w:t>Alterations to the Project</w:t>
      </w:r>
      <w:r>
        <w:rPr>
          <w:noProof/>
        </w:rPr>
        <w:tab/>
      </w:r>
      <w:r>
        <w:rPr>
          <w:noProof/>
        </w:rPr>
        <w:fldChar w:fldCharType="begin"/>
      </w:r>
      <w:r>
        <w:rPr>
          <w:noProof/>
        </w:rPr>
        <w:instrText xml:space="preserve"> PAGEREF _Toc207309600 \h </w:instrText>
      </w:r>
      <w:r>
        <w:rPr>
          <w:noProof/>
        </w:rPr>
      </w:r>
      <w:r>
        <w:rPr>
          <w:noProof/>
        </w:rPr>
        <w:fldChar w:fldCharType="separate"/>
      </w:r>
      <w:r>
        <w:rPr>
          <w:noProof/>
        </w:rPr>
        <w:t>74</w:t>
      </w:r>
      <w:r>
        <w:rPr>
          <w:noProof/>
        </w:rPr>
        <w:fldChar w:fldCharType="end"/>
      </w:r>
    </w:p>
    <w:p w14:paraId="1BA5BBF0" w14:textId="293B6160"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10.1</w:t>
      </w:r>
      <w:r>
        <w:rPr>
          <w:rFonts w:asciiTheme="minorHAnsi" w:eastAsiaTheme="minorEastAsia" w:hAnsiTheme="minorHAnsi" w:cstheme="minorBidi"/>
          <w:noProof/>
          <w:kern w:val="2"/>
          <w:sz w:val="24"/>
          <w:szCs w:val="24"/>
          <w:lang w:eastAsia="en-AU"/>
          <w14:ligatures w14:val="standardContextual"/>
        </w:rPr>
        <w:tab/>
      </w:r>
      <w:r>
        <w:rPr>
          <w:noProof/>
        </w:rPr>
        <w:t>Material Alterations</w:t>
      </w:r>
      <w:r>
        <w:rPr>
          <w:noProof/>
        </w:rPr>
        <w:tab/>
      </w:r>
      <w:r>
        <w:rPr>
          <w:noProof/>
        </w:rPr>
        <w:fldChar w:fldCharType="begin"/>
      </w:r>
      <w:r>
        <w:rPr>
          <w:noProof/>
        </w:rPr>
        <w:instrText xml:space="preserve"> PAGEREF _Toc207309601 \h </w:instrText>
      </w:r>
      <w:r>
        <w:rPr>
          <w:noProof/>
        </w:rPr>
      </w:r>
      <w:r>
        <w:rPr>
          <w:noProof/>
        </w:rPr>
        <w:fldChar w:fldCharType="separate"/>
      </w:r>
      <w:r>
        <w:rPr>
          <w:noProof/>
        </w:rPr>
        <w:t>74</w:t>
      </w:r>
      <w:r>
        <w:rPr>
          <w:noProof/>
        </w:rPr>
        <w:fldChar w:fldCharType="end"/>
      </w:r>
    </w:p>
    <w:p w14:paraId="4027B6E3" w14:textId="108AFD30"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lang w:eastAsia="en-AU"/>
        </w:rPr>
        <w:t>10.2</w:t>
      </w:r>
      <w:r>
        <w:rPr>
          <w:rFonts w:asciiTheme="minorHAnsi" w:eastAsiaTheme="minorEastAsia" w:hAnsiTheme="minorHAnsi" w:cstheme="minorBidi"/>
          <w:noProof/>
          <w:kern w:val="2"/>
          <w:sz w:val="24"/>
          <w:szCs w:val="24"/>
          <w:lang w:eastAsia="en-AU"/>
          <w14:ligatures w14:val="standardContextual"/>
        </w:rPr>
        <w:tab/>
      </w:r>
      <w:r>
        <w:rPr>
          <w:noProof/>
          <w:lang w:eastAsia="en-AU"/>
        </w:rPr>
        <w:t>Commonwealth consent to a Material Alteration</w:t>
      </w:r>
      <w:r>
        <w:rPr>
          <w:noProof/>
        </w:rPr>
        <w:tab/>
      </w:r>
      <w:r>
        <w:rPr>
          <w:noProof/>
        </w:rPr>
        <w:fldChar w:fldCharType="begin"/>
      </w:r>
      <w:r>
        <w:rPr>
          <w:noProof/>
        </w:rPr>
        <w:instrText xml:space="preserve"> PAGEREF _Toc207309602 \h </w:instrText>
      </w:r>
      <w:r>
        <w:rPr>
          <w:noProof/>
        </w:rPr>
      </w:r>
      <w:r>
        <w:rPr>
          <w:noProof/>
        </w:rPr>
        <w:fldChar w:fldCharType="separate"/>
      </w:r>
      <w:r>
        <w:rPr>
          <w:noProof/>
        </w:rPr>
        <w:t>74</w:t>
      </w:r>
      <w:r>
        <w:rPr>
          <w:noProof/>
        </w:rPr>
        <w:fldChar w:fldCharType="end"/>
      </w:r>
    </w:p>
    <w:p w14:paraId="4E9FEDFE" w14:textId="4198C247" w:rsidR="00537D9A" w:rsidRDefault="00537D9A">
      <w:pPr>
        <w:pStyle w:val="TOC1"/>
        <w:rPr>
          <w:rFonts w:asciiTheme="minorHAnsi" w:eastAsiaTheme="minorEastAsia" w:hAnsiTheme="minorHAnsi" w:cstheme="minorBidi"/>
          <w:b w:val="0"/>
          <w:noProof/>
          <w:kern w:val="2"/>
          <w:sz w:val="24"/>
          <w:szCs w:val="24"/>
          <w:lang w:eastAsia="en-AU"/>
          <w14:ligatures w14:val="standardContextual"/>
        </w:rPr>
      </w:pPr>
      <w:r>
        <w:rPr>
          <w:noProof/>
        </w:rPr>
        <w:t>11</w:t>
      </w:r>
      <w:r>
        <w:rPr>
          <w:rFonts w:asciiTheme="minorHAnsi" w:eastAsiaTheme="minorEastAsia" w:hAnsiTheme="minorHAnsi" w:cstheme="minorBidi"/>
          <w:b w:val="0"/>
          <w:noProof/>
          <w:kern w:val="2"/>
          <w:sz w:val="24"/>
          <w:szCs w:val="24"/>
          <w:lang w:eastAsia="en-AU"/>
          <w14:ligatures w14:val="standardContextual"/>
        </w:rPr>
        <w:tab/>
      </w:r>
      <w:r>
        <w:rPr>
          <w:noProof/>
        </w:rPr>
        <w:t>Social Licence Commitments</w:t>
      </w:r>
      <w:r>
        <w:rPr>
          <w:noProof/>
        </w:rPr>
        <w:tab/>
      </w:r>
      <w:r>
        <w:rPr>
          <w:noProof/>
        </w:rPr>
        <w:fldChar w:fldCharType="begin"/>
      </w:r>
      <w:r>
        <w:rPr>
          <w:noProof/>
        </w:rPr>
        <w:instrText xml:space="preserve"> PAGEREF _Toc207309603 \h </w:instrText>
      </w:r>
      <w:r>
        <w:rPr>
          <w:noProof/>
        </w:rPr>
      </w:r>
      <w:r>
        <w:rPr>
          <w:noProof/>
        </w:rPr>
        <w:fldChar w:fldCharType="separate"/>
      </w:r>
      <w:r>
        <w:rPr>
          <w:noProof/>
        </w:rPr>
        <w:t>76</w:t>
      </w:r>
      <w:r>
        <w:rPr>
          <w:noProof/>
        </w:rPr>
        <w:fldChar w:fldCharType="end"/>
      </w:r>
    </w:p>
    <w:p w14:paraId="687A06B5" w14:textId="725516D4"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11.1</w:t>
      </w:r>
      <w:r>
        <w:rPr>
          <w:rFonts w:asciiTheme="minorHAnsi" w:eastAsiaTheme="minorEastAsia" w:hAnsiTheme="minorHAnsi" w:cstheme="minorBidi"/>
          <w:noProof/>
          <w:kern w:val="2"/>
          <w:sz w:val="24"/>
          <w:szCs w:val="24"/>
          <w:lang w:eastAsia="en-AU"/>
          <w14:ligatures w14:val="standardContextual"/>
        </w:rPr>
        <w:tab/>
      </w:r>
      <w:r>
        <w:rPr>
          <w:noProof/>
        </w:rPr>
        <w:t>Performance</w:t>
      </w:r>
      <w:r>
        <w:rPr>
          <w:noProof/>
        </w:rPr>
        <w:tab/>
      </w:r>
      <w:r>
        <w:rPr>
          <w:noProof/>
        </w:rPr>
        <w:fldChar w:fldCharType="begin"/>
      </w:r>
      <w:r>
        <w:rPr>
          <w:noProof/>
        </w:rPr>
        <w:instrText xml:space="preserve"> PAGEREF _Toc207309604 \h </w:instrText>
      </w:r>
      <w:r>
        <w:rPr>
          <w:noProof/>
        </w:rPr>
      </w:r>
      <w:r>
        <w:rPr>
          <w:noProof/>
        </w:rPr>
        <w:fldChar w:fldCharType="separate"/>
      </w:r>
      <w:r>
        <w:rPr>
          <w:noProof/>
        </w:rPr>
        <w:t>76</w:t>
      </w:r>
      <w:r>
        <w:rPr>
          <w:noProof/>
        </w:rPr>
        <w:fldChar w:fldCharType="end"/>
      </w:r>
    </w:p>
    <w:p w14:paraId="2C603B00" w14:textId="1BB21A69"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11.2</w:t>
      </w:r>
      <w:r>
        <w:rPr>
          <w:rFonts w:asciiTheme="minorHAnsi" w:eastAsiaTheme="minorEastAsia" w:hAnsiTheme="minorHAnsi" w:cstheme="minorBidi"/>
          <w:noProof/>
          <w:kern w:val="2"/>
          <w:sz w:val="24"/>
          <w:szCs w:val="24"/>
          <w:lang w:eastAsia="en-AU"/>
          <w14:ligatures w14:val="standardContextual"/>
        </w:rPr>
        <w:tab/>
      </w:r>
      <w:r>
        <w:rPr>
          <w:noProof/>
        </w:rPr>
        <w:t>Audit</w:t>
      </w:r>
      <w:r>
        <w:rPr>
          <w:noProof/>
        </w:rPr>
        <w:tab/>
      </w:r>
      <w:r>
        <w:rPr>
          <w:noProof/>
        </w:rPr>
        <w:fldChar w:fldCharType="begin"/>
      </w:r>
      <w:r>
        <w:rPr>
          <w:noProof/>
        </w:rPr>
        <w:instrText xml:space="preserve"> PAGEREF _Toc207309605 \h </w:instrText>
      </w:r>
      <w:r>
        <w:rPr>
          <w:noProof/>
        </w:rPr>
      </w:r>
      <w:r>
        <w:rPr>
          <w:noProof/>
        </w:rPr>
        <w:fldChar w:fldCharType="separate"/>
      </w:r>
      <w:r>
        <w:rPr>
          <w:noProof/>
        </w:rPr>
        <w:t>76</w:t>
      </w:r>
      <w:r>
        <w:rPr>
          <w:noProof/>
        </w:rPr>
        <w:fldChar w:fldCharType="end"/>
      </w:r>
    </w:p>
    <w:p w14:paraId="02C44266" w14:textId="52F7D486"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11.3</w:t>
      </w:r>
      <w:r>
        <w:rPr>
          <w:rFonts w:asciiTheme="minorHAnsi" w:eastAsiaTheme="minorEastAsia" w:hAnsiTheme="minorHAnsi" w:cstheme="minorBidi"/>
          <w:noProof/>
          <w:kern w:val="2"/>
          <w:sz w:val="24"/>
          <w:szCs w:val="24"/>
          <w:lang w:eastAsia="en-AU"/>
          <w14:ligatures w14:val="standardContextual"/>
        </w:rPr>
        <w:tab/>
      </w:r>
      <w:r>
        <w:rPr>
          <w:noProof/>
        </w:rPr>
        <w:t>Notice of non-compliance</w:t>
      </w:r>
      <w:r>
        <w:rPr>
          <w:noProof/>
        </w:rPr>
        <w:tab/>
      </w:r>
      <w:r>
        <w:rPr>
          <w:noProof/>
        </w:rPr>
        <w:fldChar w:fldCharType="begin"/>
      </w:r>
      <w:r>
        <w:rPr>
          <w:noProof/>
        </w:rPr>
        <w:instrText xml:space="preserve"> PAGEREF _Toc207309606 \h </w:instrText>
      </w:r>
      <w:r>
        <w:rPr>
          <w:noProof/>
        </w:rPr>
      </w:r>
      <w:r>
        <w:rPr>
          <w:noProof/>
        </w:rPr>
        <w:fldChar w:fldCharType="separate"/>
      </w:r>
      <w:r>
        <w:rPr>
          <w:noProof/>
        </w:rPr>
        <w:t>76</w:t>
      </w:r>
      <w:r>
        <w:rPr>
          <w:noProof/>
        </w:rPr>
        <w:fldChar w:fldCharType="end"/>
      </w:r>
    </w:p>
    <w:p w14:paraId="3E33FCE6" w14:textId="20AD13B1"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11.4</w:t>
      </w:r>
      <w:r>
        <w:rPr>
          <w:rFonts w:asciiTheme="minorHAnsi" w:eastAsiaTheme="minorEastAsia" w:hAnsiTheme="minorHAnsi" w:cstheme="minorBidi"/>
          <w:noProof/>
          <w:kern w:val="2"/>
          <w:sz w:val="24"/>
          <w:szCs w:val="24"/>
          <w:lang w:eastAsia="en-AU"/>
          <w14:ligatures w14:val="standardContextual"/>
        </w:rPr>
        <w:tab/>
      </w:r>
      <w:r>
        <w:rPr>
          <w:noProof/>
        </w:rPr>
        <w:t>Cure</w:t>
      </w:r>
      <w:r>
        <w:rPr>
          <w:noProof/>
        </w:rPr>
        <w:tab/>
      </w:r>
      <w:r>
        <w:rPr>
          <w:noProof/>
        </w:rPr>
        <w:fldChar w:fldCharType="begin"/>
      </w:r>
      <w:r>
        <w:rPr>
          <w:noProof/>
        </w:rPr>
        <w:instrText xml:space="preserve"> PAGEREF _Toc207309607 \h </w:instrText>
      </w:r>
      <w:r>
        <w:rPr>
          <w:noProof/>
        </w:rPr>
      </w:r>
      <w:r>
        <w:rPr>
          <w:noProof/>
        </w:rPr>
        <w:fldChar w:fldCharType="separate"/>
      </w:r>
      <w:r>
        <w:rPr>
          <w:noProof/>
        </w:rPr>
        <w:t>77</w:t>
      </w:r>
      <w:r>
        <w:rPr>
          <w:noProof/>
        </w:rPr>
        <w:fldChar w:fldCharType="end"/>
      </w:r>
    </w:p>
    <w:p w14:paraId="6B79E616" w14:textId="670D60FD"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11.5</w:t>
      </w:r>
      <w:r>
        <w:rPr>
          <w:rFonts w:asciiTheme="minorHAnsi" w:eastAsiaTheme="minorEastAsia" w:hAnsiTheme="minorHAnsi" w:cstheme="minorBidi"/>
          <w:noProof/>
          <w:kern w:val="2"/>
          <w:sz w:val="24"/>
          <w:szCs w:val="24"/>
          <w:lang w:eastAsia="en-AU"/>
          <w14:ligatures w14:val="standardContextual"/>
        </w:rPr>
        <w:tab/>
      </w:r>
      <w:r>
        <w:rPr>
          <w:noProof/>
        </w:rPr>
        <w:t>Termination for failure to comply with Social Licence Commitments</w:t>
      </w:r>
      <w:r>
        <w:rPr>
          <w:noProof/>
        </w:rPr>
        <w:tab/>
      </w:r>
      <w:r>
        <w:rPr>
          <w:noProof/>
        </w:rPr>
        <w:fldChar w:fldCharType="begin"/>
      </w:r>
      <w:r>
        <w:rPr>
          <w:noProof/>
        </w:rPr>
        <w:instrText xml:space="preserve"> PAGEREF _Toc207309608 \h </w:instrText>
      </w:r>
      <w:r>
        <w:rPr>
          <w:noProof/>
        </w:rPr>
      </w:r>
      <w:r>
        <w:rPr>
          <w:noProof/>
        </w:rPr>
        <w:fldChar w:fldCharType="separate"/>
      </w:r>
      <w:r>
        <w:rPr>
          <w:noProof/>
        </w:rPr>
        <w:t>79</w:t>
      </w:r>
      <w:r>
        <w:rPr>
          <w:noProof/>
        </w:rPr>
        <w:fldChar w:fldCharType="end"/>
      </w:r>
    </w:p>
    <w:p w14:paraId="3E7CC55D" w14:textId="71E68C26"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11.6</w:t>
      </w:r>
      <w:r>
        <w:rPr>
          <w:rFonts w:asciiTheme="minorHAnsi" w:eastAsiaTheme="minorEastAsia" w:hAnsiTheme="minorHAnsi" w:cstheme="minorBidi"/>
          <w:noProof/>
          <w:kern w:val="2"/>
          <w:sz w:val="24"/>
          <w:szCs w:val="24"/>
          <w:lang w:eastAsia="en-AU"/>
          <w14:ligatures w14:val="standardContextual"/>
        </w:rPr>
        <w:tab/>
      </w:r>
      <w:r>
        <w:rPr>
          <w:noProof/>
        </w:rPr>
        <w:t>Abatements for non-compliance</w:t>
      </w:r>
      <w:r>
        <w:rPr>
          <w:noProof/>
        </w:rPr>
        <w:tab/>
      </w:r>
      <w:r>
        <w:rPr>
          <w:noProof/>
        </w:rPr>
        <w:fldChar w:fldCharType="begin"/>
      </w:r>
      <w:r>
        <w:rPr>
          <w:noProof/>
        </w:rPr>
        <w:instrText xml:space="preserve"> PAGEREF _Toc207309609 \h </w:instrText>
      </w:r>
      <w:r>
        <w:rPr>
          <w:noProof/>
        </w:rPr>
      </w:r>
      <w:r>
        <w:rPr>
          <w:noProof/>
        </w:rPr>
        <w:fldChar w:fldCharType="separate"/>
      </w:r>
      <w:r>
        <w:rPr>
          <w:noProof/>
        </w:rPr>
        <w:t>80</w:t>
      </w:r>
      <w:r>
        <w:rPr>
          <w:noProof/>
        </w:rPr>
        <w:fldChar w:fldCharType="end"/>
      </w:r>
    </w:p>
    <w:p w14:paraId="53AC65DD" w14:textId="4BE3743C" w:rsidR="00537D9A" w:rsidRDefault="00537D9A">
      <w:pPr>
        <w:pStyle w:val="TOC1"/>
        <w:rPr>
          <w:rFonts w:asciiTheme="minorHAnsi" w:eastAsiaTheme="minorEastAsia" w:hAnsiTheme="minorHAnsi" w:cstheme="minorBidi"/>
          <w:b w:val="0"/>
          <w:noProof/>
          <w:kern w:val="2"/>
          <w:sz w:val="24"/>
          <w:szCs w:val="24"/>
          <w:lang w:eastAsia="en-AU"/>
          <w14:ligatures w14:val="standardContextual"/>
        </w:rPr>
      </w:pPr>
      <w:r>
        <w:rPr>
          <w:noProof/>
        </w:rPr>
        <w:t>12</w:t>
      </w:r>
      <w:r>
        <w:rPr>
          <w:rFonts w:asciiTheme="minorHAnsi" w:eastAsiaTheme="minorEastAsia" w:hAnsiTheme="minorHAnsi" w:cstheme="minorBidi"/>
          <w:b w:val="0"/>
          <w:noProof/>
          <w:kern w:val="2"/>
          <w:sz w:val="24"/>
          <w:szCs w:val="24"/>
          <w:lang w:eastAsia="en-AU"/>
          <w14:ligatures w14:val="standardContextual"/>
        </w:rPr>
        <w:tab/>
      </w:r>
      <w:r>
        <w:rPr>
          <w:noProof/>
        </w:rPr>
        <w:t>Reporting</w:t>
      </w:r>
      <w:r>
        <w:rPr>
          <w:noProof/>
        </w:rPr>
        <w:tab/>
      </w:r>
      <w:r>
        <w:rPr>
          <w:noProof/>
        </w:rPr>
        <w:fldChar w:fldCharType="begin"/>
      </w:r>
      <w:r>
        <w:rPr>
          <w:noProof/>
        </w:rPr>
        <w:instrText xml:space="preserve"> PAGEREF _Toc207309610 \h </w:instrText>
      </w:r>
      <w:r>
        <w:rPr>
          <w:noProof/>
        </w:rPr>
      </w:r>
      <w:r>
        <w:rPr>
          <w:noProof/>
        </w:rPr>
        <w:fldChar w:fldCharType="separate"/>
      </w:r>
      <w:r>
        <w:rPr>
          <w:noProof/>
        </w:rPr>
        <w:t>81</w:t>
      </w:r>
      <w:r>
        <w:rPr>
          <w:noProof/>
        </w:rPr>
        <w:fldChar w:fldCharType="end"/>
      </w:r>
    </w:p>
    <w:p w14:paraId="17CCAA67" w14:textId="3C52A3BE"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12.1</w:t>
      </w:r>
      <w:r>
        <w:rPr>
          <w:rFonts w:asciiTheme="minorHAnsi" w:eastAsiaTheme="minorEastAsia" w:hAnsiTheme="minorHAnsi" w:cstheme="minorBidi"/>
          <w:noProof/>
          <w:kern w:val="2"/>
          <w:sz w:val="24"/>
          <w:szCs w:val="24"/>
          <w:lang w:eastAsia="en-AU"/>
          <w14:ligatures w14:val="standardContextual"/>
        </w:rPr>
        <w:tab/>
      </w:r>
      <w:r>
        <w:rPr>
          <w:noProof/>
        </w:rPr>
        <w:t>Development and construction reports</w:t>
      </w:r>
      <w:r>
        <w:rPr>
          <w:noProof/>
        </w:rPr>
        <w:tab/>
      </w:r>
      <w:r>
        <w:rPr>
          <w:noProof/>
        </w:rPr>
        <w:fldChar w:fldCharType="begin"/>
      </w:r>
      <w:r>
        <w:rPr>
          <w:noProof/>
        </w:rPr>
        <w:instrText xml:space="preserve"> PAGEREF _Toc207309611 \h </w:instrText>
      </w:r>
      <w:r>
        <w:rPr>
          <w:noProof/>
        </w:rPr>
      </w:r>
      <w:r>
        <w:rPr>
          <w:noProof/>
        </w:rPr>
        <w:fldChar w:fldCharType="separate"/>
      </w:r>
      <w:r>
        <w:rPr>
          <w:noProof/>
        </w:rPr>
        <w:t>81</w:t>
      </w:r>
      <w:r>
        <w:rPr>
          <w:noProof/>
        </w:rPr>
        <w:fldChar w:fldCharType="end"/>
      </w:r>
    </w:p>
    <w:p w14:paraId="21B1E01A" w14:textId="186A6B64"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12.2</w:t>
      </w:r>
      <w:r>
        <w:rPr>
          <w:rFonts w:asciiTheme="minorHAnsi" w:eastAsiaTheme="minorEastAsia" w:hAnsiTheme="minorHAnsi" w:cstheme="minorBidi"/>
          <w:noProof/>
          <w:kern w:val="2"/>
          <w:sz w:val="24"/>
          <w:szCs w:val="24"/>
          <w:lang w:eastAsia="en-AU"/>
          <w14:ligatures w14:val="standardContextual"/>
        </w:rPr>
        <w:tab/>
      </w:r>
      <w:r>
        <w:rPr>
          <w:noProof/>
        </w:rPr>
        <w:t>Operating reports</w:t>
      </w:r>
      <w:r>
        <w:rPr>
          <w:noProof/>
        </w:rPr>
        <w:tab/>
      </w:r>
      <w:r>
        <w:rPr>
          <w:noProof/>
        </w:rPr>
        <w:fldChar w:fldCharType="begin"/>
      </w:r>
      <w:r>
        <w:rPr>
          <w:noProof/>
        </w:rPr>
        <w:instrText xml:space="preserve"> PAGEREF _Toc207309612 \h </w:instrText>
      </w:r>
      <w:r>
        <w:rPr>
          <w:noProof/>
        </w:rPr>
      </w:r>
      <w:r>
        <w:rPr>
          <w:noProof/>
        </w:rPr>
        <w:fldChar w:fldCharType="separate"/>
      </w:r>
      <w:r>
        <w:rPr>
          <w:noProof/>
        </w:rPr>
        <w:t>82</w:t>
      </w:r>
      <w:r>
        <w:rPr>
          <w:noProof/>
        </w:rPr>
        <w:fldChar w:fldCharType="end"/>
      </w:r>
    </w:p>
    <w:p w14:paraId="3FEEFF24" w14:textId="21FAC3EC"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12.3</w:t>
      </w:r>
      <w:r>
        <w:rPr>
          <w:rFonts w:asciiTheme="minorHAnsi" w:eastAsiaTheme="minorEastAsia" w:hAnsiTheme="minorHAnsi" w:cstheme="minorBidi"/>
          <w:noProof/>
          <w:kern w:val="2"/>
          <w:sz w:val="24"/>
          <w:szCs w:val="24"/>
          <w:lang w:eastAsia="en-AU"/>
          <w14:ligatures w14:val="standardContextual"/>
        </w:rPr>
        <w:tab/>
      </w:r>
      <w:r>
        <w:rPr>
          <w:noProof/>
        </w:rPr>
        <w:t>Revenue reporting</w:t>
      </w:r>
      <w:r>
        <w:rPr>
          <w:noProof/>
        </w:rPr>
        <w:tab/>
      </w:r>
      <w:r>
        <w:rPr>
          <w:noProof/>
        </w:rPr>
        <w:fldChar w:fldCharType="begin"/>
      </w:r>
      <w:r>
        <w:rPr>
          <w:noProof/>
        </w:rPr>
        <w:instrText xml:space="preserve"> PAGEREF _Toc207309613 \h </w:instrText>
      </w:r>
      <w:r>
        <w:rPr>
          <w:noProof/>
        </w:rPr>
      </w:r>
      <w:r>
        <w:rPr>
          <w:noProof/>
        </w:rPr>
        <w:fldChar w:fldCharType="separate"/>
      </w:r>
      <w:r>
        <w:rPr>
          <w:noProof/>
        </w:rPr>
        <w:t>84</w:t>
      </w:r>
      <w:r>
        <w:rPr>
          <w:noProof/>
        </w:rPr>
        <w:fldChar w:fldCharType="end"/>
      </w:r>
    </w:p>
    <w:p w14:paraId="4EBEDCAC" w14:textId="6FBF39AD"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12.4</w:t>
      </w:r>
      <w:r>
        <w:rPr>
          <w:rFonts w:asciiTheme="minorHAnsi" w:eastAsiaTheme="minorEastAsia" w:hAnsiTheme="minorHAnsi" w:cstheme="minorBidi"/>
          <w:noProof/>
          <w:kern w:val="2"/>
          <w:sz w:val="24"/>
          <w:szCs w:val="24"/>
          <w:lang w:eastAsia="en-AU"/>
          <w14:ligatures w14:val="standardContextual"/>
        </w:rPr>
        <w:tab/>
      </w:r>
      <w:r>
        <w:rPr>
          <w:noProof/>
        </w:rPr>
        <w:t>Social Licence Commitments Reporting</w:t>
      </w:r>
      <w:r>
        <w:rPr>
          <w:noProof/>
        </w:rPr>
        <w:tab/>
      </w:r>
      <w:r>
        <w:rPr>
          <w:noProof/>
        </w:rPr>
        <w:fldChar w:fldCharType="begin"/>
      </w:r>
      <w:r>
        <w:rPr>
          <w:noProof/>
        </w:rPr>
        <w:instrText xml:space="preserve"> PAGEREF _Toc207309614 \h </w:instrText>
      </w:r>
      <w:r>
        <w:rPr>
          <w:noProof/>
        </w:rPr>
      </w:r>
      <w:r>
        <w:rPr>
          <w:noProof/>
        </w:rPr>
        <w:fldChar w:fldCharType="separate"/>
      </w:r>
      <w:r>
        <w:rPr>
          <w:noProof/>
        </w:rPr>
        <w:t>86</w:t>
      </w:r>
      <w:r>
        <w:rPr>
          <w:noProof/>
        </w:rPr>
        <w:fldChar w:fldCharType="end"/>
      </w:r>
    </w:p>
    <w:p w14:paraId="0B248F19" w14:textId="2F6EABEC"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12.5</w:t>
      </w:r>
      <w:r>
        <w:rPr>
          <w:rFonts w:asciiTheme="minorHAnsi" w:eastAsiaTheme="minorEastAsia" w:hAnsiTheme="minorHAnsi" w:cstheme="minorBidi"/>
          <w:noProof/>
          <w:kern w:val="2"/>
          <w:sz w:val="24"/>
          <w:szCs w:val="24"/>
          <w:lang w:eastAsia="en-AU"/>
          <w14:ligatures w14:val="standardContextual"/>
        </w:rPr>
        <w:tab/>
      </w:r>
      <w:r>
        <w:rPr>
          <w:noProof/>
        </w:rPr>
        <w:t>Foreign Acquisitions and Takeovers Act reporting</w:t>
      </w:r>
      <w:r>
        <w:rPr>
          <w:noProof/>
        </w:rPr>
        <w:tab/>
      </w:r>
      <w:r>
        <w:rPr>
          <w:noProof/>
        </w:rPr>
        <w:fldChar w:fldCharType="begin"/>
      </w:r>
      <w:r>
        <w:rPr>
          <w:noProof/>
        </w:rPr>
        <w:instrText xml:space="preserve"> PAGEREF _Toc207309615 \h </w:instrText>
      </w:r>
      <w:r>
        <w:rPr>
          <w:noProof/>
        </w:rPr>
      </w:r>
      <w:r>
        <w:rPr>
          <w:noProof/>
        </w:rPr>
        <w:fldChar w:fldCharType="separate"/>
      </w:r>
      <w:r>
        <w:rPr>
          <w:noProof/>
        </w:rPr>
        <w:t>87</w:t>
      </w:r>
      <w:r>
        <w:rPr>
          <w:noProof/>
        </w:rPr>
        <w:fldChar w:fldCharType="end"/>
      </w:r>
    </w:p>
    <w:p w14:paraId="1492790B" w14:textId="272B62A9"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12.6</w:t>
      </w:r>
      <w:r>
        <w:rPr>
          <w:rFonts w:asciiTheme="minorHAnsi" w:eastAsiaTheme="minorEastAsia" w:hAnsiTheme="minorHAnsi" w:cstheme="minorBidi"/>
          <w:noProof/>
          <w:kern w:val="2"/>
          <w:sz w:val="24"/>
          <w:szCs w:val="24"/>
          <w:lang w:eastAsia="en-AU"/>
          <w14:ligatures w14:val="standardContextual"/>
        </w:rPr>
        <w:tab/>
      </w:r>
      <w:r>
        <w:rPr>
          <w:noProof/>
        </w:rPr>
        <w:t>Labour standards reporting</w:t>
      </w:r>
      <w:r>
        <w:rPr>
          <w:noProof/>
        </w:rPr>
        <w:tab/>
      </w:r>
      <w:r>
        <w:rPr>
          <w:noProof/>
        </w:rPr>
        <w:fldChar w:fldCharType="begin"/>
      </w:r>
      <w:r>
        <w:rPr>
          <w:noProof/>
        </w:rPr>
        <w:instrText xml:space="preserve"> PAGEREF _Toc207309616 \h </w:instrText>
      </w:r>
      <w:r>
        <w:rPr>
          <w:noProof/>
        </w:rPr>
      </w:r>
      <w:r>
        <w:rPr>
          <w:noProof/>
        </w:rPr>
        <w:fldChar w:fldCharType="separate"/>
      </w:r>
      <w:r>
        <w:rPr>
          <w:noProof/>
        </w:rPr>
        <w:t>87</w:t>
      </w:r>
      <w:r>
        <w:rPr>
          <w:noProof/>
        </w:rPr>
        <w:fldChar w:fldCharType="end"/>
      </w:r>
    </w:p>
    <w:p w14:paraId="523A4EFF" w14:textId="04633025"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12.7</w:t>
      </w:r>
      <w:r>
        <w:rPr>
          <w:rFonts w:asciiTheme="minorHAnsi" w:eastAsiaTheme="minorEastAsia" w:hAnsiTheme="minorHAnsi" w:cstheme="minorBidi"/>
          <w:noProof/>
          <w:kern w:val="2"/>
          <w:sz w:val="24"/>
          <w:szCs w:val="24"/>
          <w:lang w:eastAsia="en-AU"/>
          <w14:ligatures w14:val="standardContextual"/>
        </w:rPr>
        <w:tab/>
      </w:r>
      <w:r>
        <w:rPr>
          <w:noProof/>
        </w:rPr>
        <w:t>Correction of incorrect or misleading information</w:t>
      </w:r>
      <w:r>
        <w:rPr>
          <w:noProof/>
        </w:rPr>
        <w:tab/>
      </w:r>
      <w:r>
        <w:rPr>
          <w:noProof/>
        </w:rPr>
        <w:fldChar w:fldCharType="begin"/>
      </w:r>
      <w:r>
        <w:rPr>
          <w:noProof/>
        </w:rPr>
        <w:instrText xml:space="preserve"> PAGEREF _Toc207309617 \h </w:instrText>
      </w:r>
      <w:r>
        <w:rPr>
          <w:noProof/>
        </w:rPr>
      </w:r>
      <w:r>
        <w:rPr>
          <w:noProof/>
        </w:rPr>
        <w:fldChar w:fldCharType="separate"/>
      </w:r>
      <w:r>
        <w:rPr>
          <w:noProof/>
        </w:rPr>
        <w:t>89</w:t>
      </w:r>
      <w:r>
        <w:rPr>
          <w:noProof/>
        </w:rPr>
        <w:fldChar w:fldCharType="end"/>
      </w:r>
    </w:p>
    <w:p w14:paraId="21F568BA" w14:textId="1FD9FBA0"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12.8</w:t>
      </w:r>
      <w:r>
        <w:rPr>
          <w:rFonts w:asciiTheme="minorHAnsi" w:eastAsiaTheme="minorEastAsia" w:hAnsiTheme="minorHAnsi" w:cstheme="minorBidi"/>
          <w:noProof/>
          <w:kern w:val="2"/>
          <w:sz w:val="24"/>
          <w:szCs w:val="24"/>
          <w:lang w:eastAsia="en-AU"/>
          <w14:ligatures w14:val="standardContextual"/>
        </w:rPr>
        <w:tab/>
      </w:r>
      <w:r>
        <w:rPr>
          <w:noProof/>
        </w:rPr>
        <w:t>[Provision of further information for [Hybrid/Staged] Project</w:t>
      </w:r>
      <w:r>
        <w:rPr>
          <w:noProof/>
        </w:rPr>
        <w:tab/>
      </w:r>
      <w:r>
        <w:rPr>
          <w:noProof/>
        </w:rPr>
        <w:fldChar w:fldCharType="begin"/>
      </w:r>
      <w:r>
        <w:rPr>
          <w:noProof/>
        </w:rPr>
        <w:instrText xml:space="preserve"> PAGEREF _Toc207309618 \h </w:instrText>
      </w:r>
      <w:r>
        <w:rPr>
          <w:noProof/>
        </w:rPr>
      </w:r>
      <w:r>
        <w:rPr>
          <w:noProof/>
        </w:rPr>
        <w:fldChar w:fldCharType="separate"/>
      </w:r>
      <w:r>
        <w:rPr>
          <w:noProof/>
        </w:rPr>
        <w:t>90</w:t>
      </w:r>
      <w:r>
        <w:rPr>
          <w:noProof/>
        </w:rPr>
        <w:fldChar w:fldCharType="end"/>
      </w:r>
    </w:p>
    <w:p w14:paraId="5EBF641C" w14:textId="22CCE140" w:rsidR="00537D9A" w:rsidRDefault="00537D9A">
      <w:pPr>
        <w:pStyle w:val="TOC1"/>
        <w:rPr>
          <w:rFonts w:asciiTheme="minorHAnsi" w:eastAsiaTheme="minorEastAsia" w:hAnsiTheme="minorHAnsi" w:cstheme="minorBidi"/>
          <w:b w:val="0"/>
          <w:noProof/>
          <w:kern w:val="2"/>
          <w:sz w:val="24"/>
          <w:szCs w:val="24"/>
          <w:lang w:eastAsia="en-AU"/>
          <w14:ligatures w14:val="standardContextual"/>
        </w:rPr>
      </w:pPr>
      <w:r>
        <w:rPr>
          <w:noProof/>
        </w:rPr>
        <w:t>13</w:t>
      </w:r>
      <w:r>
        <w:rPr>
          <w:rFonts w:asciiTheme="minorHAnsi" w:eastAsiaTheme="minorEastAsia" w:hAnsiTheme="minorHAnsi" w:cstheme="minorBidi"/>
          <w:b w:val="0"/>
          <w:noProof/>
          <w:kern w:val="2"/>
          <w:sz w:val="24"/>
          <w:szCs w:val="24"/>
          <w:lang w:eastAsia="en-AU"/>
          <w14:ligatures w14:val="standardContextual"/>
        </w:rPr>
        <w:tab/>
      </w:r>
      <w:r>
        <w:rPr>
          <w:noProof/>
        </w:rPr>
        <w:t>Knowledge sharing</w:t>
      </w:r>
      <w:r>
        <w:rPr>
          <w:noProof/>
        </w:rPr>
        <w:tab/>
      </w:r>
      <w:r>
        <w:rPr>
          <w:noProof/>
        </w:rPr>
        <w:fldChar w:fldCharType="begin"/>
      </w:r>
      <w:r>
        <w:rPr>
          <w:noProof/>
        </w:rPr>
        <w:instrText xml:space="preserve"> PAGEREF _Toc207309619 \h </w:instrText>
      </w:r>
      <w:r>
        <w:rPr>
          <w:noProof/>
        </w:rPr>
      </w:r>
      <w:r>
        <w:rPr>
          <w:noProof/>
        </w:rPr>
        <w:fldChar w:fldCharType="separate"/>
      </w:r>
      <w:r>
        <w:rPr>
          <w:noProof/>
        </w:rPr>
        <w:t>90</w:t>
      </w:r>
      <w:r>
        <w:rPr>
          <w:noProof/>
        </w:rPr>
        <w:fldChar w:fldCharType="end"/>
      </w:r>
    </w:p>
    <w:p w14:paraId="6F707D61" w14:textId="39E30671" w:rsidR="00537D9A" w:rsidRDefault="00537D9A">
      <w:pPr>
        <w:pStyle w:val="TOC1"/>
        <w:rPr>
          <w:rFonts w:asciiTheme="minorHAnsi" w:eastAsiaTheme="minorEastAsia" w:hAnsiTheme="minorHAnsi" w:cstheme="minorBidi"/>
          <w:b w:val="0"/>
          <w:noProof/>
          <w:kern w:val="2"/>
          <w:sz w:val="24"/>
          <w:szCs w:val="24"/>
          <w:lang w:eastAsia="en-AU"/>
          <w14:ligatures w14:val="standardContextual"/>
        </w:rPr>
      </w:pPr>
      <w:r>
        <w:rPr>
          <w:noProof/>
        </w:rPr>
        <w:t>14</w:t>
      </w:r>
      <w:r>
        <w:rPr>
          <w:rFonts w:asciiTheme="minorHAnsi" w:eastAsiaTheme="minorEastAsia" w:hAnsiTheme="minorHAnsi" w:cstheme="minorBidi"/>
          <w:b w:val="0"/>
          <w:noProof/>
          <w:kern w:val="2"/>
          <w:sz w:val="24"/>
          <w:szCs w:val="24"/>
          <w:lang w:eastAsia="en-AU"/>
          <w14:ligatures w14:val="standardContextual"/>
        </w:rPr>
        <w:tab/>
      </w:r>
      <w:r>
        <w:rPr>
          <w:noProof/>
        </w:rPr>
        <w:t>Options Support terms</w:t>
      </w:r>
      <w:r>
        <w:rPr>
          <w:noProof/>
        </w:rPr>
        <w:tab/>
      </w:r>
      <w:r>
        <w:rPr>
          <w:noProof/>
        </w:rPr>
        <w:fldChar w:fldCharType="begin"/>
      </w:r>
      <w:r>
        <w:rPr>
          <w:noProof/>
        </w:rPr>
        <w:instrText xml:space="preserve"> PAGEREF _Toc207309620 \h </w:instrText>
      </w:r>
      <w:r>
        <w:rPr>
          <w:noProof/>
        </w:rPr>
      </w:r>
      <w:r>
        <w:rPr>
          <w:noProof/>
        </w:rPr>
        <w:fldChar w:fldCharType="separate"/>
      </w:r>
      <w:r>
        <w:rPr>
          <w:noProof/>
        </w:rPr>
        <w:t>91</w:t>
      </w:r>
      <w:r>
        <w:rPr>
          <w:noProof/>
        </w:rPr>
        <w:fldChar w:fldCharType="end"/>
      </w:r>
    </w:p>
    <w:p w14:paraId="4986F211" w14:textId="6B190695"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14.1</w:t>
      </w:r>
      <w:r>
        <w:rPr>
          <w:rFonts w:asciiTheme="minorHAnsi" w:eastAsiaTheme="minorEastAsia" w:hAnsiTheme="minorHAnsi" w:cstheme="minorBidi"/>
          <w:noProof/>
          <w:kern w:val="2"/>
          <w:sz w:val="24"/>
          <w:szCs w:val="24"/>
          <w:lang w:eastAsia="en-AU"/>
          <w14:ligatures w14:val="standardContextual"/>
        </w:rPr>
        <w:tab/>
      </w:r>
      <w:r>
        <w:rPr>
          <w:noProof/>
        </w:rPr>
        <w:t>Definitions</w:t>
      </w:r>
      <w:r>
        <w:rPr>
          <w:noProof/>
        </w:rPr>
        <w:tab/>
      </w:r>
      <w:r>
        <w:rPr>
          <w:noProof/>
        </w:rPr>
        <w:fldChar w:fldCharType="begin"/>
      </w:r>
      <w:r>
        <w:rPr>
          <w:noProof/>
        </w:rPr>
        <w:instrText xml:space="preserve"> PAGEREF _Toc207309621 \h </w:instrText>
      </w:r>
      <w:r>
        <w:rPr>
          <w:noProof/>
        </w:rPr>
      </w:r>
      <w:r>
        <w:rPr>
          <w:noProof/>
        </w:rPr>
        <w:fldChar w:fldCharType="separate"/>
      </w:r>
      <w:r>
        <w:rPr>
          <w:noProof/>
        </w:rPr>
        <w:t>91</w:t>
      </w:r>
      <w:r>
        <w:rPr>
          <w:noProof/>
        </w:rPr>
        <w:fldChar w:fldCharType="end"/>
      </w:r>
    </w:p>
    <w:p w14:paraId="59014B85" w14:textId="3C4A6D5B"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14.2</w:t>
      </w:r>
      <w:r>
        <w:rPr>
          <w:rFonts w:asciiTheme="minorHAnsi" w:eastAsiaTheme="minorEastAsia" w:hAnsiTheme="minorHAnsi" w:cstheme="minorBidi"/>
          <w:noProof/>
          <w:kern w:val="2"/>
          <w:sz w:val="24"/>
          <w:szCs w:val="24"/>
          <w:lang w:eastAsia="en-AU"/>
          <w14:ligatures w14:val="standardContextual"/>
        </w:rPr>
        <w:tab/>
      </w:r>
      <w:r>
        <w:rPr>
          <w:noProof/>
        </w:rPr>
        <w:t>Terms of Support</w:t>
      </w:r>
      <w:r>
        <w:rPr>
          <w:noProof/>
        </w:rPr>
        <w:tab/>
      </w:r>
      <w:r>
        <w:rPr>
          <w:noProof/>
        </w:rPr>
        <w:fldChar w:fldCharType="begin"/>
      </w:r>
      <w:r>
        <w:rPr>
          <w:noProof/>
        </w:rPr>
        <w:instrText xml:space="preserve"> PAGEREF _Toc207309622 \h </w:instrText>
      </w:r>
      <w:r>
        <w:rPr>
          <w:noProof/>
        </w:rPr>
      </w:r>
      <w:r>
        <w:rPr>
          <w:noProof/>
        </w:rPr>
        <w:fldChar w:fldCharType="separate"/>
      </w:r>
      <w:r>
        <w:rPr>
          <w:noProof/>
        </w:rPr>
        <w:t>92</w:t>
      </w:r>
      <w:r>
        <w:rPr>
          <w:noProof/>
        </w:rPr>
        <w:fldChar w:fldCharType="end"/>
      </w:r>
    </w:p>
    <w:p w14:paraId="21BB02E3" w14:textId="7C449F90"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14.3</w:t>
      </w:r>
      <w:r>
        <w:rPr>
          <w:rFonts w:asciiTheme="minorHAnsi" w:eastAsiaTheme="minorEastAsia" w:hAnsiTheme="minorHAnsi" w:cstheme="minorBidi"/>
          <w:noProof/>
          <w:kern w:val="2"/>
          <w:sz w:val="24"/>
          <w:szCs w:val="24"/>
          <w:lang w:eastAsia="en-AU"/>
          <w14:ligatures w14:val="standardContextual"/>
        </w:rPr>
        <w:tab/>
      </w:r>
      <w:r>
        <w:rPr>
          <w:noProof/>
        </w:rPr>
        <w:t>Option to not receive Support</w:t>
      </w:r>
      <w:r>
        <w:rPr>
          <w:noProof/>
        </w:rPr>
        <w:tab/>
      </w:r>
      <w:r>
        <w:rPr>
          <w:noProof/>
        </w:rPr>
        <w:fldChar w:fldCharType="begin"/>
      </w:r>
      <w:r>
        <w:rPr>
          <w:noProof/>
        </w:rPr>
        <w:instrText xml:space="preserve"> PAGEREF _Toc207309623 \h </w:instrText>
      </w:r>
      <w:r>
        <w:rPr>
          <w:noProof/>
        </w:rPr>
      </w:r>
      <w:r>
        <w:rPr>
          <w:noProof/>
        </w:rPr>
        <w:fldChar w:fldCharType="separate"/>
      </w:r>
      <w:r>
        <w:rPr>
          <w:noProof/>
        </w:rPr>
        <w:t>92</w:t>
      </w:r>
      <w:r>
        <w:rPr>
          <w:noProof/>
        </w:rPr>
        <w:fldChar w:fldCharType="end"/>
      </w:r>
    </w:p>
    <w:p w14:paraId="1E6A8294" w14:textId="7345A7A2"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14.4</w:t>
      </w:r>
      <w:r>
        <w:rPr>
          <w:rFonts w:asciiTheme="minorHAnsi" w:eastAsiaTheme="minorEastAsia" w:hAnsiTheme="minorHAnsi" w:cstheme="minorBidi"/>
          <w:noProof/>
          <w:kern w:val="2"/>
          <w:sz w:val="24"/>
          <w:szCs w:val="24"/>
          <w:lang w:eastAsia="en-AU"/>
          <w14:ligatures w14:val="standardContextual"/>
        </w:rPr>
        <w:tab/>
      </w:r>
      <w:r>
        <w:rPr>
          <w:noProof/>
        </w:rPr>
        <w:t>Final Support Commencement Date</w:t>
      </w:r>
      <w:r>
        <w:rPr>
          <w:noProof/>
        </w:rPr>
        <w:tab/>
      </w:r>
      <w:r>
        <w:rPr>
          <w:noProof/>
        </w:rPr>
        <w:fldChar w:fldCharType="begin"/>
      </w:r>
      <w:r>
        <w:rPr>
          <w:noProof/>
        </w:rPr>
        <w:instrText xml:space="preserve"> PAGEREF _Toc207309624 \h </w:instrText>
      </w:r>
      <w:r>
        <w:rPr>
          <w:noProof/>
        </w:rPr>
      </w:r>
      <w:r>
        <w:rPr>
          <w:noProof/>
        </w:rPr>
        <w:fldChar w:fldCharType="separate"/>
      </w:r>
      <w:r>
        <w:rPr>
          <w:noProof/>
        </w:rPr>
        <w:t>94</w:t>
      </w:r>
      <w:r>
        <w:rPr>
          <w:noProof/>
        </w:rPr>
        <w:fldChar w:fldCharType="end"/>
      </w:r>
    </w:p>
    <w:p w14:paraId="77201F82" w14:textId="05DCE352" w:rsidR="00537D9A" w:rsidRDefault="00537D9A">
      <w:pPr>
        <w:pStyle w:val="TOC1"/>
        <w:rPr>
          <w:rFonts w:asciiTheme="minorHAnsi" w:eastAsiaTheme="minorEastAsia" w:hAnsiTheme="minorHAnsi" w:cstheme="minorBidi"/>
          <w:b w:val="0"/>
          <w:noProof/>
          <w:kern w:val="2"/>
          <w:sz w:val="24"/>
          <w:szCs w:val="24"/>
          <w:lang w:eastAsia="en-AU"/>
          <w14:ligatures w14:val="standardContextual"/>
        </w:rPr>
      </w:pPr>
      <w:r>
        <w:rPr>
          <w:noProof/>
        </w:rPr>
        <w:t>15</w:t>
      </w:r>
      <w:r>
        <w:rPr>
          <w:rFonts w:asciiTheme="minorHAnsi" w:eastAsiaTheme="minorEastAsia" w:hAnsiTheme="minorHAnsi" w:cstheme="minorBidi"/>
          <w:b w:val="0"/>
          <w:noProof/>
          <w:kern w:val="2"/>
          <w:sz w:val="24"/>
          <w:szCs w:val="24"/>
          <w:lang w:eastAsia="en-AU"/>
          <w14:ligatures w14:val="standardContextual"/>
        </w:rPr>
        <w:tab/>
      </w:r>
      <w:r>
        <w:rPr>
          <w:noProof/>
        </w:rPr>
        <w:t>Eligible Bilateral Contracts [and apportionment]</w:t>
      </w:r>
      <w:r>
        <w:rPr>
          <w:noProof/>
        </w:rPr>
        <w:tab/>
      </w:r>
      <w:r>
        <w:rPr>
          <w:noProof/>
        </w:rPr>
        <w:fldChar w:fldCharType="begin"/>
      </w:r>
      <w:r>
        <w:rPr>
          <w:noProof/>
        </w:rPr>
        <w:instrText xml:space="preserve"> PAGEREF _Toc207309625 \h </w:instrText>
      </w:r>
      <w:r>
        <w:rPr>
          <w:noProof/>
        </w:rPr>
      </w:r>
      <w:r>
        <w:rPr>
          <w:noProof/>
        </w:rPr>
        <w:fldChar w:fldCharType="separate"/>
      </w:r>
      <w:r>
        <w:rPr>
          <w:noProof/>
        </w:rPr>
        <w:t>95</w:t>
      </w:r>
      <w:r>
        <w:rPr>
          <w:noProof/>
        </w:rPr>
        <w:fldChar w:fldCharType="end"/>
      </w:r>
    </w:p>
    <w:p w14:paraId="2665C3D3" w14:textId="34E6390E"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15.1</w:t>
      </w:r>
      <w:r>
        <w:rPr>
          <w:rFonts w:asciiTheme="minorHAnsi" w:eastAsiaTheme="minorEastAsia" w:hAnsiTheme="minorHAnsi" w:cstheme="minorBidi"/>
          <w:noProof/>
          <w:kern w:val="2"/>
          <w:sz w:val="24"/>
          <w:szCs w:val="24"/>
          <w:lang w:eastAsia="en-AU"/>
          <w14:ligatures w14:val="standardContextual"/>
        </w:rPr>
        <w:tab/>
      </w:r>
      <w:r>
        <w:rPr>
          <w:noProof/>
        </w:rPr>
        <w:t>Eligibility requirements</w:t>
      </w:r>
      <w:r>
        <w:rPr>
          <w:noProof/>
        </w:rPr>
        <w:tab/>
      </w:r>
      <w:r>
        <w:rPr>
          <w:noProof/>
        </w:rPr>
        <w:fldChar w:fldCharType="begin"/>
      </w:r>
      <w:r>
        <w:rPr>
          <w:noProof/>
        </w:rPr>
        <w:instrText xml:space="preserve"> PAGEREF _Toc207309626 \h </w:instrText>
      </w:r>
      <w:r>
        <w:rPr>
          <w:noProof/>
        </w:rPr>
      </w:r>
      <w:r>
        <w:rPr>
          <w:noProof/>
        </w:rPr>
        <w:fldChar w:fldCharType="separate"/>
      </w:r>
      <w:r>
        <w:rPr>
          <w:noProof/>
        </w:rPr>
        <w:t>95</w:t>
      </w:r>
      <w:r>
        <w:rPr>
          <w:noProof/>
        </w:rPr>
        <w:fldChar w:fldCharType="end"/>
      </w:r>
    </w:p>
    <w:p w14:paraId="29164A66" w14:textId="2EF1E5D1"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15.2</w:t>
      </w:r>
      <w:r>
        <w:rPr>
          <w:rFonts w:asciiTheme="minorHAnsi" w:eastAsiaTheme="minorEastAsia" w:hAnsiTheme="minorHAnsi" w:cstheme="minorBidi"/>
          <w:noProof/>
          <w:kern w:val="2"/>
          <w:sz w:val="24"/>
          <w:szCs w:val="24"/>
          <w:lang w:eastAsia="en-AU"/>
          <w14:ligatures w14:val="standardContextual"/>
        </w:rPr>
        <w:tab/>
      </w:r>
      <w:r>
        <w:rPr>
          <w:noProof/>
        </w:rPr>
        <w:t>Notification of Bilateral Contract</w:t>
      </w:r>
      <w:r>
        <w:rPr>
          <w:noProof/>
        </w:rPr>
        <w:tab/>
      </w:r>
      <w:r>
        <w:rPr>
          <w:noProof/>
        </w:rPr>
        <w:fldChar w:fldCharType="begin"/>
      </w:r>
      <w:r>
        <w:rPr>
          <w:noProof/>
        </w:rPr>
        <w:instrText xml:space="preserve"> PAGEREF _Toc207309627 \h </w:instrText>
      </w:r>
      <w:r>
        <w:rPr>
          <w:noProof/>
        </w:rPr>
      </w:r>
      <w:r>
        <w:rPr>
          <w:noProof/>
        </w:rPr>
        <w:fldChar w:fldCharType="separate"/>
      </w:r>
      <w:r>
        <w:rPr>
          <w:noProof/>
        </w:rPr>
        <w:t>96</w:t>
      </w:r>
      <w:r>
        <w:rPr>
          <w:noProof/>
        </w:rPr>
        <w:fldChar w:fldCharType="end"/>
      </w:r>
    </w:p>
    <w:p w14:paraId="5730EF3D" w14:textId="50DE5331"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15.3</w:t>
      </w:r>
      <w:r>
        <w:rPr>
          <w:rFonts w:asciiTheme="minorHAnsi" w:eastAsiaTheme="minorEastAsia" w:hAnsiTheme="minorHAnsi" w:cstheme="minorBidi"/>
          <w:noProof/>
          <w:kern w:val="2"/>
          <w:sz w:val="24"/>
          <w:szCs w:val="24"/>
          <w:lang w:eastAsia="en-AU"/>
          <w14:ligatures w14:val="standardContextual"/>
        </w:rPr>
        <w:tab/>
      </w:r>
      <w:r>
        <w:rPr>
          <w:noProof/>
        </w:rPr>
        <w:t>Amendment to Eligible Bilateral Contract</w:t>
      </w:r>
      <w:r>
        <w:rPr>
          <w:noProof/>
        </w:rPr>
        <w:tab/>
      </w:r>
      <w:r>
        <w:rPr>
          <w:noProof/>
        </w:rPr>
        <w:fldChar w:fldCharType="begin"/>
      </w:r>
      <w:r>
        <w:rPr>
          <w:noProof/>
        </w:rPr>
        <w:instrText xml:space="preserve"> PAGEREF _Toc207309628 \h </w:instrText>
      </w:r>
      <w:r>
        <w:rPr>
          <w:noProof/>
        </w:rPr>
      </w:r>
      <w:r>
        <w:rPr>
          <w:noProof/>
        </w:rPr>
        <w:fldChar w:fldCharType="separate"/>
      </w:r>
      <w:r>
        <w:rPr>
          <w:noProof/>
        </w:rPr>
        <w:t>97</w:t>
      </w:r>
      <w:r>
        <w:rPr>
          <w:noProof/>
        </w:rPr>
        <w:fldChar w:fldCharType="end"/>
      </w:r>
    </w:p>
    <w:p w14:paraId="0B56DC3E" w14:textId="00329645"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15.4</w:t>
      </w:r>
      <w:r>
        <w:rPr>
          <w:rFonts w:asciiTheme="minorHAnsi" w:eastAsiaTheme="minorEastAsia" w:hAnsiTheme="minorHAnsi" w:cstheme="minorBidi"/>
          <w:noProof/>
          <w:kern w:val="2"/>
          <w:sz w:val="24"/>
          <w:szCs w:val="24"/>
          <w:lang w:eastAsia="en-AU"/>
          <w14:ligatures w14:val="standardContextual"/>
        </w:rPr>
        <w:tab/>
      </w:r>
      <w:r>
        <w:rPr>
          <w:noProof/>
        </w:rPr>
        <w:t>Verification of Eligible Bilateral Contracts</w:t>
      </w:r>
      <w:r>
        <w:rPr>
          <w:noProof/>
        </w:rPr>
        <w:tab/>
      </w:r>
      <w:r>
        <w:rPr>
          <w:noProof/>
        </w:rPr>
        <w:fldChar w:fldCharType="begin"/>
      </w:r>
      <w:r>
        <w:rPr>
          <w:noProof/>
        </w:rPr>
        <w:instrText xml:space="preserve"> PAGEREF _Toc207309629 \h </w:instrText>
      </w:r>
      <w:r>
        <w:rPr>
          <w:noProof/>
        </w:rPr>
      </w:r>
      <w:r>
        <w:rPr>
          <w:noProof/>
        </w:rPr>
        <w:fldChar w:fldCharType="separate"/>
      </w:r>
      <w:r>
        <w:rPr>
          <w:noProof/>
        </w:rPr>
        <w:t>98</w:t>
      </w:r>
      <w:r>
        <w:rPr>
          <w:noProof/>
        </w:rPr>
        <w:fldChar w:fldCharType="end"/>
      </w:r>
    </w:p>
    <w:p w14:paraId="1E4BEB46" w14:textId="498601C1"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15.5</w:t>
      </w:r>
      <w:r>
        <w:rPr>
          <w:rFonts w:asciiTheme="minorHAnsi" w:eastAsiaTheme="minorEastAsia" w:hAnsiTheme="minorHAnsi" w:cstheme="minorBidi"/>
          <w:noProof/>
          <w:kern w:val="2"/>
          <w:sz w:val="24"/>
          <w:szCs w:val="24"/>
          <w:lang w:eastAsia="en-AU"/>
          <w14:ligatures w14:val="standardContextual"/>
        </w:rPr>
        <w:tab/>
      </w:r>
      <w:r>
        <w:rPr>
          <w:noProof/>
        </w:rPr>
        <w:t>Application of Eligible Bilateral Contract</w:t>
      </w:r>
      <w:r>
        <w:rPr>
          <w:noProof/>
        </w:rPr>
        <w:tab/>
      </w:r>
      <w:r>
        <w:rPr>
          <w:noProof/>
        </w:rPr>
        <w:fldChar w:fldCharType="begin"/>
      </w:r>
      <w:r>
        <w:rPr>
          <w:noProof/>
        </w:rPr>
        <w:instrText xml:space="preserve"> PAGEREF _Toc207309630 \h </w:instrText>
      </w:r>
      <w:r>
        <w:rPr>
          <w:noProof/>
        </w:rPr>
      </w:r>
      <w:r>
        <w:rPr>
          <w:noProof/>
        </w:rPr>
        <w:fldChar w:fldCharType="separate"/>
      </w:r>
      <w:r>
        <w:rPr>
          <w:noProof/>
        </w:rPr>
        <w:t>98</w:t>
      </w:r>
      <w:r>
        <w:rPr>
          <w:noProof/>
        </w:rPr>
        <w:fldChar w:fldCharType="end"/>
      </w:r>
    </w:p>
    <w:p w14:paraId="618DB179" w14:textId="14DA78F4"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15.6</w:t>
      </w:r>
      <w:r>
        <w:rPr>
          <w:rFonts w:asciiTheme="minorHAnsi" w:eastAsiaTheme="minorEastAsia" w:hAnsiTheme="minorHAnsi" w:cstheme="minorBidi"/>
          <w:noProof/>
          <w:kern w:val="2"/>
          <w:sz w:val="24"/>
          <w:szCs w:val="24"/>
          <w:lang w:eastAsia="en-AU"/>
          <w14:ligatures w14:val="standardContextual"/>
        </w:rPr>
        <w:tab/>
      </w:r>
      <w:r>
        <w:rPr>
          <w:noProof/>
        </w:rPr>
        <w:t>Bona fide and arm’s length arrangements</w:t>
      </w:r>
      <w:r>
        <w:rPr>
          <w:noProof/>
        </w:rPr>
        <w:tab/>
      </w:r>
      <w:r>
        <w:rPr>
          <w:noProof/>
        </w:rPr>
        <w:fldChar w:fldCharType="begin"/>
      </w:r>
      <w:r>
        <w:rPr>
          <w:noProof/>
        </w:rPr>
        <w:instrText xml:space="preserve"> PAGEREF _Toc207309631 \h </w:instrText>
      </w:r>
      <w:r>
        <w:rPr>
          <w:noProof/>
        </w:rPr>
      </w:r>
      <w:r>
        <w:rPr>
          <w:noProof/>
        </w:rPr>
        <w:fldChar w:fldCharType="separate"/>
      </w:r>
      <w:r>
        <w:rPr>
          <w:noProof/>
        </w:rPr>
        <w:t>99</w:t>
      </w:r>
      <w:r>
        <w:rPr>
          <w:noProof/>
        </w:rPr>
        <w:fldChar w:fldCharType="end"/>
      </w:r>
    </w:p>
    <w:p w14:paraId="13DE4F05" w14:textId="7F4EAFA2"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15.7</w:t>
      </w:r>
      <w:r>
        <w:rPr>
          <w:rFonts w:asciiTheme="minorHAnsi" w:eastAsiaTheme="minorEastAsia" w:hAnsiTheme="minorHAnsi" w:cstheme="minorBidi"/>
          <w:noProof/>
          <w:kern w:val="2"/>
          <w:sz w:val="24"/>
          <w:szCs w:val="24"/>
          <w:lang w:eastAsia="en-AU"/>
          <w14:ligatures w14:val="standardContextual"/>
        </w:rPr>
        <w:tab/>
      </w:r>
      <w:r>
        <w:rPr>
          <w:noProof/>
        </w:rPr>
        <w:t>[Apportionment</w:t>
      </w:r>
      <w:r>
        <w:rPr>
          <w:noProof/>
        </w:rPr>
        <w:tab/>
      </w:r>
      <w:r>
        <w:rPr>
          <w:noProof/>
        </w:rPr>
        <w:fldChar w:fldCharType="begin"/>
      </w:r>
      <w:r>
        <w:rPr>
          <w:noProof/>
        </w:rPr>
        <w:instrText xml:space="preserve"> PAGEREF _Toc207309632 \h </w:instrText>
      </w:r>
      <w:r>
        <w:rPr>
          <w:noProof/>
        </w:rPr>
      </w:r>
      <w:r>
        <w:rPr>
          <w:noProof/>
        </w:rPr>
        <w:fldChar w:fldCharType="separate"/>
      </w:r>
      <w:r>
        <w:rPr>
          <w:noProof/>
        </w:rPr>
        <w:t>101</w:t>
      </w:r>
      <w:r>
        <w:rPr>
          <w:noProof/>
        </w:rPr>
        <w:fldChar w:fldCharType="end"/>
      </w:r>
    </w:p>
    <w:p w14:paraId="528A210C" w14:textId="1E884C8A" w:rsidR="00537D9A" w:rsidRDefault="00537D9A">
      <w:pPr>
        <w:pStyle w:val="TOC1"/>
        <w:rPr>
          <w:rFonts w:asciiTheme="minorHAnsi" w:eastAsiaTheme="minorEastAsia" w:hAnsiTheme="minorHAnsi" w:cstheme="minorBidi"/>
          <w:b w:val="0"/>
          <w:noProof/>
          <w:kern w:val="2"/>
          <w:sz w:val="24"/>
          <w:szCs w:val="24"/>
          <w:lang w:eastAsia="en-AU"/>
          <w14:ligatures w14:val="standardContextual"/>
        </w:rPr>
      </w:pPr>
      <w:r>
        <w:rPr>
          <w:noProof/>
        </w:rPr>
        <w:t>16</w:t>
      </w:r>
      <w:r>
        <w:rPr>
          <w:rFonts w:asciiTheme="minorHAnsi" w:eastAsiaTheme="minorEastAsia" w:hAnsiTheme="minorHAnsi" w:cstheme="minorBidi"/>
          <w:b w:val="0"/>
          <w:noProof/>
          <w:kern w:val="2"/>
          <w:sz w:val="24"/>
          <w:szCs w:val="24"/>
          <w:lang w:eastAsia="en-AU"/>
          <w14:ligatures w14:val="standardContextual"/>
        </w:rPr>
        <w:tab/>
      </w:r>
      <w:r>
        <w:rPr>
          <w:noProof/>
        </w:rPr>
        <w:t>Billing and payment</w:t>
      </w:r>
      <w:r>
        <w:rPr>
          <w:noProof/>
        </w:rPr>
        <w:tab/>
      </w:r>
      <w:r>
        <w:rPr>
          <w:noProof/>
        </w:rPr>
        <w:fldChar w:fldCharType="begin"/>
      </w:r>
      <w:r>
        <w:rPr>
          <w:noProof/>
        </w:rPr>
        <w:instrText xml:space="preserve"> PAGEREF _Toc207309633 \h </w:instrText>
      </w:r>
      <w:r>
        <w:rPr>
          <w:noProof/>
        </w:rPr>
      </w:r>
      <w:r>
        <w:rPr>
          <w:noProof/>
        </w:rPr>
        <w:fldChar w:fldCharType="separate"/>
      </w:r>
      <w:r>
        <w:rPr>
          <w:noProof/>
        </w:rPr>
        <w:t>103</w:t>
      </w:r>
      <w:r>
        <w:rPr>
          <w:noProof/>
        </w:rPr>
        <w:fldChar w:fldCharType="end"/>
      </w:r>
    </w:p>
    <w:p w14:paraId="1822A5F9" w14:textId="3B705150"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16.1</w:t>
      </w:r>
      <w:r>
        <w:rPr>
          <w:rFonts w:asciiTheme="minorHAnsi" w:eastAsiaTheme="minorEastAsia" w:hAnsiTheme="minorHAnsi" w:cstheme="minorBidi"/>
          <w:noProof/>
          <w:kern w:val="2"/>
          <w:sz w:val="24"/>
          <w:szCs w:val="24"/>
          <w:lang w:eastAsia="en-AU"/>
          <w14:ligatures w14:val="standardContextual"/>
        </w:rPr>
        <w:tab/>
      </w:r>
      <w:r>
        <w:rPr>
          <w:noProof/>
        </w:rPr>
        <w:t>Billing</w:t>
      </w:r>
      <w:r>
        <w:rPr>
          <w:noProof/>
        </w:rPr>
        <w:tab/>
      </w:r>
      <w:r>
        <w:rPr>
          <w:noProof/>
        </w:rPr>
        <w:fldChar w:fldCharType="begin"/>
      </w:r>
      <w:r>
        <w:rPr>
          <w:noProof/>
        </w:rPr>
        <w:instrText xml:space="preserve"> PAGEREF _Toc207309634 \h </w:instrText>
      </w:r>
      <w:r>
        <w:rPr>
          <w:noProof/>
        </w:rPr>
      </w:r>
      <w:r>
        <w:rPr>
          <w:noProof/>
        </w:rPr>
        <w:fldChar w:fldCharType="separate"/>
      </w:r>
      <w:r>
        <w:rPr>
          <w:noProof/>
        </w:rPr>
        <w:t>103</w:t>
      </w:r>
      <w:r>
        <w:rPr>
          <w:noProof/>
        </w:rPr>
        <w:fldChar w:fldCharType="end"/>
      </w:r>
    </w:p>
    <w:p w14:paraId="0446086B" w14:textId="2968C16B"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16.2</w:t>
      </w:r>
      <w:r>
        <w:rPr>
          <w:rFonts w:asciiTheme="minorHAnsi" w:eastAsiaTheme="minorEastAsia" w:hAnsiTheme="minorHAnsi" w:cstheme="minorBidi"/>
          <w:noProof/>
          <w:kern w:val="2"/>
          <w:sz w:val="24"/>
          <w:szCs w:val="24"/>
          <w:lang w:eastAsia="en-AU"/>
          <w14:ligatures w14:val="standardContextual"/>
        </w:rPr>
        <w:tab/>
      </w:r>
      <w:r>
        <w:rPr>
          <w:noProof/>
        </w:rPr>
        <w:t>Circumstances in which no amount is payable</w:t>
      </w:r>
      <w:r>
        <w:rPr>
          <w:noProof/>
        </w:rPr>
        <w:tab/>
      </w:r>
      <w:r>
        <w:rPr>
          <w:noProof/>
        </w:rPr>
        <w:fldChar w:fldCharType="begin"/>
      </w:r>
      <w:r>
        <w:rPr>
          <w:noProof/>
        </w:rPr>
        <w:instrText xml:space="preserve"> PAGEREF _Toc207309635 \h </w:instrText>
      </w:r>
      <w:r>
        <w:rPr>
          <w:noProof/>
        </w:rPr>
      </w:r>
      <w:r>
        <w:rPr>
          <w:noProof/>
        </w:rPr>
        <w:fldChar w:fldCharType="separate"/>
      </w:r>
      <w:r>
        <w:rPr>
          <w:noProof/>
        </w:rPr>
        <w:t>104</w:t>
      </w:r>
      <w:r>
        <w:rPr>
          <w:noProof/>
        </w:rPr>
        <w:fldChar w:fldCharType="end"/>
      </w:r>
    </w:p>
    <w:p w14:paraId="0DBDA4E0" w14:textId="15288F3A"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16.3</w:t>
      </w:r>
      <w:r>
        <w:rPr>
          <w:rFonts w:asciiTheme="minorHAnsi" w:eastAsiaTheme="minorEastAsia" w:hAnsiTheme="minorHAnsi" w:cstheme="minorBidi"/>
          <w:noProof/>
          <w:kern w:val="2"/>
          <w:sz w:val="24"/>
          <w:szCs w:val="24"/>
          <w:lang w:eastAsia="en-AU"/>
          <w14:ligatures w14:val="standardContextual"/>
        </w:rPr>
        <w:tab/>
      </w:r>
      <w:r>
        <w:rPr>
          <w:noProof/>
        </w:rPr>
        <w:t>Payment</w:t>
      </w:r>
      <w:r>
        <w:rPr>
          <w:noProof/>
        </w:rPr>
        <w:tab/>
      </w:r>
      <w:r>
        <w:rPr>
          <w:noProof/>
        </w:rPr>
        <w:fldChar w:fldCharType="begin"/>
      </w:r>
      <w:r>
        <w:rPr>
          <w:noProof/>
        </w:rPr>
        <w:instrText xml:space="preserve"> PAGEREF _Toc207309636 \h </w:instrText>
      </w:r>
      <w:r>
        <w:rPr>
          <w:noProof/>
        </w:rPr>
      </w:r>
      <w:r>
        <w:rPr>
          <w:noProof/>
        </w:rPr>
        <w:fldChar w:fldCharType="separate"/>
      </w:r>
      <w:r>
        <w:rPr>
          <w:noProof/>
        </w:rPr>
        <w:t>104</w:t>
      </w:r>
      <w:r>
        <w:rPr>
          <w:noProof/>
        </w:rPr>
        <w:fldChar w:fldCharType="end"/>
      </w:r>
    </w:p>
    <w:p w14:paraId="3F6ADB19" w14:textId="5DF0EA1E"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16.4</w:t>
      </w:r>
      <w:r>
        <w:rPr>
          <w:rFonts w:asciiTheme="minorHAnsi" w:eastAsiaTheme="minorEastAsia" w:hAnsiTheme="minorHAnsi" w:cstheme="minorBidi"/>
          <w:noProof/>
          <w:kern w:val="2"/>
          <w:sz w:val="24"/>
          <w:szCs w:val="24"/>
          <w:lang w:eastAsia="en-AU"/>
          <w14:ligatures w14:val="standardContextual"/>
        </w:rPr>
        <w:tab/>
      </w:r>
      <w:r>
        <w:rPr>
          <w:noProof/>
        </w:rPr>
        <w:t>Disputed Invoice</w:t>
      </w:r>
      <w:r>
        <w:rPr>
          <w:noProof/>
        </w:rPr>
        <w:tab/>
      </w:r>
      <w:r>
        <w:rPr>
          <w:noProof/>
        </w:rPr>
        <w:fldChar w:fldCharType="begin"/>
      </w:r>
      <w:r>
        <w:rPr>
          <w:noProof/>
        </w:rPr>
        <w:instrText xml:space="preserve"> PAGEREF _Toc207309637 \h </w:instrText>
      </w:r>
      <w:r>
        <w:rPr>
          <w:noProof/>
        </w:rPr>
      </w:r>
      <w:r>
        <w:rPr>
          <w:noProof/>
        </w:rPr>
        <w:fldChar w:fldCharType="separate"/>
      </w:r>
      <w:r>
        <w:rPr>
          <w:noProof/>
        </w:rPr>
        <w:t>104</w:t>
      </w:r>
      <w:r>
        <w:rPr>
          <w:noProof/>
        </w:rPr>
        <w:fldChar w:fldCharType="end"/>
      </w:r>
    </w:p>
    <w:p w14:paraId="016430FE" w14:textId="39390D48"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16.5</w:t>
      </w:r>
      <w:r>
        <w:rPr>
          <w:rFonts w:asciiTheme="minorHAnsi" w:eastAsiaTheme="minorEastAsia" w:hAnsiTheme="minorHAnsi" w:cstheme="minorBidi"/>
          <w:noProof/>
          <w:kern w:val="2"/>
          <w:sz w:val="24"/>
          <w:szCs w:val="24"/>
          <w:lang w:eastAsia="en-AU"/>
          <w14:ligatures w14:val="standardContextual"/>
        </w:rPr>
        <w:tab/>
      </w:r>
      <w:r>
        <w:rPr>
          <w:noProof/>
        </w:rPr>
        <w:t>Adjustments</w:t>
      </w:r>
      <w:r>
        <w:rPr>
          <w:noProof/>
        </w:rPr>
        <w:tab/>
      </w:r>
      <w:r>
        <w:rPr>
          <w:noProof/>
        </w:rPr>
        <w:fldChar w:fldCharType="begin"/>
      </w:r>
      <w:r>
        <w:rPr>
          <w:noProof/>
        </w:rPr>
        <w:instrText xml:space="preserve"> PAGEREF _Toc207309638 \h </w:instrText>
      </w:r>
      <w:r>
        <w:rPr>
          <w:noProof/>
        </w:rPr>
      </w:r>
      <w:r>
        <w:rPr>
          <w:noProof/>
        </w:rPr>
        <w:fldChar w:fldCharType="separate"/>
      </w:r>
      <w:r>
        <w:rPr>
          <w:noProof/>
        </w:rPr>
        <w:t>105</w:t>
      </w:r>
      <w:r>
        <w:rPr>
          <w:noProof/>
        </w:rPr>
        <w:fldChar w:fldCharType="end"/>
      </w:r>
    </w:p>
    <w:p w14:paraId="7BB82AC1" w14:textId="3151977D"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16.6</w:t>
      </w:r>
      <w:r>
        <w:rPr>
          <w:rFonts w:asciiTheme="minorHAnsi" w:eastAsiaTheme="minorEastAsia" w:hAnsiTheme="minorHAnsi" w:cstheme="minorBidi"/>
          <w:noProof/>
          <w:kern w:val="2"/>
          <w:sz w:val="24"/>
          <w:szCs w:val="24"/>
          <w:lang w:eastAsia="en-AU"/>
          <w14:ligatures w14:val="standardContextual"/>
        </w:rPr>
        <w:tab/>
      </w:r>
      <w:r>
        <w:rPr>
          <w:noProof/>
        </w:rPr>
        <w:t>Interest on late payments</w:t>
      </w:r>
      <w:r>
        <w:rPr>
          <w:noProof/>
        </w:rPr>
        <w:tab/>
      </w:r>
      <w:r>
        <w:rPr>
          <w:noProof/>
        </w:rPr>
        <w:fldChar w:fldCharType="begin"/>
      </w:r>
      <w:r>
        <w:rPr>
          <w:noProof/>
        </w:rPr>
        <w:instrText xml:space="preserve"> PAGEREF _Toc207309639 \h </w:instrText>
      </w:r>
      <w:r>
        <w:rPr>
          <w:noProof/>
        </w:rPr>
      </w:r>
      <w:r>
        <w:rPr>
          <w:noProof/>
        </w:rPr>
        <w:fldChar w:fldCharType="separate"/>
      </w:r>
      <w:r>
        <w:rPr>
          <w:noProof/>
        </w:rPr>
        <w:t>105</w:t>
      </w:r>
      <w:r>
        <w:rPr>
          <w:noProof/>
        </w:rPr>
        <w:fldChar w:fldCharType="end"/>
      </w:r>
    </w:p>
    <w:p w14:paraId="634D2DF1" w14:textId="3FA90D6E"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16.7</w:t>
      </w:r>
      <w:r>
        <w:rPr>
          <w:rFonts w:asciiTheme="minorHAnsi" w:eastAsiaTheme="minorEastAsia" w:hAnsiTheme="minorHAnsi" w:cstheme="minorBidi"/>
          <w:noProof/>
          <w:kern w:val="2"/>
          <w:sz w:val="24"/>
          <w:szCs w:val="24"/>
          <w:lang w:eastAsia="en-AU"/>
          <w14:ligatures w14:val="standardContextual"/>
        </w:rPr>
        <w:tab/>
      </w:r>
      <w:r>
        <w:rPr>
          <w:noProof/>
        </w:rPr>
        <w:t>Settlement Statements</w:t>
      </w:r>
      <w:r>
        <w:rPr>
          <w:noProof/>
        </w:rPr>
        <w:tab/>
      </w:r>
      <w:r>
        <w:rPr>
          <w:noProof/>
        </w:rPr>
        <w:fldChar w:fldCharType="begin"/>
      </w:r>
      <w:r>
        <w:rPr>
          <w:noProof/>
        </w:rPr>
        <w:instrText xml:space="preserve"> PAGEREF _Toc207309640 \h </w:instrText>
      </w:r>
      <w:r>
        <w:rPr>
          <w:noProof/>
        </w:rPr>
      </w:r>
      <w:r>
        <w:rPr>
          <w:noProof/>
        </w:rPr>
        <w:fldChar w:fldCharType="separate"/>
      </w:r>
      <w:r>
        <w:rPr>
          <w:noProof/>
        </w:rPr>
        <w:t>105</w:t>
      </w:r>
      <w:r>
        <w:rPr>
          <w:noProof/>
        </w:rPr>
        <w:fldChar w:fldCharType="end"/>
      </w:r>
    </w:p>
    <w:p w14:paraId="22E85749" w14:textId="4A7B3A87" w:rsidR="00537D9A" w:rsidRDefault="00537D9A">
      <w:pPr>
        <w:pStyle w:val="TOC1"/>
        <w:rPr>
          <w:rFonts w:asciiTheme="minorHAnsi" w:eastAsiaTheme="minorEastAsia" w:hAnsiTheme="minorHAnsi" w:cstheme="minorBidi"/>
          <w:b w:val="0"/>
          <w:noProof/>
          <w:kern w:val="2"/>
          <w:sz w:val="24"/>
          <w:szCs w:val="24"/>
          <w:lang w:eastAsia="en-AU"/>
          <w14:ligatures w14:val="standardContextual"/>
        </w:rPr>
      </w:pPr>
      <w:r>
        <w:rPr>
          <w:noProof/>
        </w:rPr>
        <w:t>17</w:t>
      </w:r>
      <w:r>
        <w:rPr>
          <w:rFonts w:asciiTheme="minorHAnsi" w:eastAsiaTheme="minorEastAsia" w:hAnsiTheme="minorHAnsi" w:cstheme="minorBidi"/>
          <w:b w:val="0"/>
          <w:noProof/>
          <w:kern w:val="2"/>
          <w:sz w:val="24"/>
          <w:szCs w:val="24"/>
          <w:lang w:eastAsia="en-AU"/>
          <w14:ligatures w14:val="standardContextual"/>
        </w:rPr>
        <w:tab/>
      </w:r>
      <w:r>
        <w:rPr>
          <w:noProof/>
        </w:rPr>
        <w:t>Taxes</w:t>
      </w:r>
      <w:r>
        <w:rPr>
          <w:noProof/>
        </w:rPr>
        <w:tab/>
      </w:r>
      <w:r>
        <w:rPr>
          <w:noProof/>
        </w:rPr>
        <w:fldChar w:fldCharType="begin"/>
      </w:r>
      <w:r>
        <w:rPr>
          <w:noProof/>
        </w:rPr>
        <w:instrText xml:space="preserve"> PAGEREF _Toc207309641 \h </w:instrText>
      </w:r>
      <w:r>
        <w:rPr>
          <w:noProof/>
        </w:rPr>
      </w:r>
      <w:r>
        <w:rPr>
          <w:noProof/>
        </w:rPr>
        <w:fldChar w:fldCharType="separate"/>
      </w:r>
      <w:r>
        <w:rPr>
          <w:noProof/>
        </w:rPr>
        <w:t>106</w:t>
      </w:r>
      <w:r>
        <w:rPr>
          <w:noProof/>
        </w:rPr>
        <w:fldChar w:fldCharType="end"/>
      </w:r>
    </w:p>
    <w:p w14:paraId="4669521A" w14:textId="192DC43E" w:rsidR="00537D9A" w:rsidRDefault="00537D9A">
      <w:pPr>
        <w:pStyle w:val="TOC1"/>
        <w:rPr>
          <w:rFonts w:asciiTheme="minorHAnsi" w:eastAsiaTheme="minorEastAsia" w:hAnsiTheme="minorHAnsi" w:cstheme="minorBidi"/>
          <w:b w:val="0"/>
          <w:noProof/>
          <w:kern w:val="2"/>
          <w:sz w:val="24"/>
          <w:szCs w:val="24"/>
          <w:lang w:eastAsia="en-AU"/>
          <w14:ligatures w14:val="standardContextual"/>
        </w:rPr>
      </w:pPr>
      <w:r>
        <w:rPr>
          <w:noProof/>
        </w:rPr>
        <w:t>18</w:t>
      </w:r>
      <w:r>
        <w:rPr>
          <w:rFonts w:asciiTheme="minorHAnsi" w:eastAsiaTheme="minorEastAsia" w:hAnsiTheme="minorHAnsi" w:cstheme="minorBidi"/>
          <w:b w:val="0"/>
          <w:noProof/>
          <w:kern w:val="2"/>
          <w:sz w:val="24"/>
          <w:szCs w:val="24"/>
          <w:lang w:eastAsia="en-AU"/>
          <w14:ligatures w14:val="standardContextual"/>
        </w:rPr>
        <w:tab/>
      </w:r>
      <w:r>
        <w:rPr>
          <w:noProof/>
        </w:rPr>
        <w:t>GST</w:t>
      </w:r>
      <w:r>
        <w:rPr>
          <w:noProof/>
        </w:rPr>
        <w:tab/>
      </w:r>
      <w:r>
        <w:rPr>
          <w:noProof/>
        </w:rPr>
        <w:fldChar w:fldCharType="begin"/>
      </w:r>
      <w:r>
        <w:rPr>
          <w:noProof/>
        </w:rPr>
        <w:instrText xml:space="preserve"> PAGEREF _Toc207309642 \h </w:instrText>
      </w:r>
      <w:r>
        <w:rPr>
          <w:noProof/>
        </w:rPr>
      </w:r>
      <w:r>
        <w:rPr>
          <w:noProof/>
        </w:rPr>
        <w:fldChar w:fldCharType="separate"/>
      </w:r>
      <w:r>
        <w:rPr>
          <w:noProof/>
        </w:rPr>
        <w:t>106</w:t>
      </w:r>
      <w:r>
        <w:rPr>
          <w:noProof/>
        </w:rPr>
        <w:fldChar w:fldCharType="end"/>
      </w:r>
    </w:p>
    <w:p w14:paraId="517F8D54" w14:textId="0271E3E1"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18.1</w:t>
      </w:r>
      <w:r>
        <w:rPr>
          <w:rFonts w:asciiTheme="minorHAnsi" w:eastAsiaTheme="minorEastAsia" w:hAnsiTheme="minorHAnsi" w:cstheme="minorBidi"/>
          <w:noProof/>
          <w:kern w:val="2"/>
          <w:sz w:val="24"/>
          <w:szCs w:val="24"/>
          <w:lang w:eastAsia="en-AU"/>
          <w14:ligatures w14:val="standardContextual"/>
        </w:rPr>
        <w:tab/>
      </w:r>
      <w:r>
        <w:rPr>
          <w:noProof/>
        </w:rPr>
        <w:t>Definitions and interpretation</w:t>
      </w:r>
      <w:r>
        <w:rPr>
          <w:noProof/>
        </w:rPr>
        <w:tab/>
      </w:r>
      <w:r>
        <w:rPr>
          <w:noProof/>
        </w:rPr>
        <w:fldChar w:fldCharType="begin"/>
      </w:r>
      <w:r>
        <w:rPr>
          <w:noProof/>
        </w:rPr>
        <w:instrText xml:space="preserve"> PAGEREF _Toc207309643 \h </w:instrText>
      </w:r>
      <w:r>
        <w:rPr>
          <w:noProof/>
        </w:rPr>
      </w:r>
      <w:r>
        <w:rPr>
          <w:noProof/>
        </w:rPr>
        <w:fldChar w:fldCharType="separate"/>
      </w:r>
      <w:r>
        <w:rPr>
          <w:noProof/>
        </w:rPr>
        <w:t>106</w:t>
      </w:r>
      <w:r>
        <w:rPr>
          <w:noProof/>
        </w:rPr>
        <w:fldChar w:fldCharType="end"/>
      </w:r>
    </w:p>
    <w:p w14:paraId="255DC036" w14:textId="3D1DDAE9"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18.2</w:t>
      </w:r>
      <w:r>
        <w:rPr>
          <w:rFonts w:asciiTheme="minorHAnsi" w:eastAsiaTheme="minorEastAsia" w:hAnsiTheme="minorHAnsi" w:cstheme="minorBidi"/>
          <w:noProof/>
          <w:kern w:val="2"/>
          <w:sz w:val="24"/>
          <w:szCs w:val="24"/>
          <w:lang w:eastAsia="en-AU"/>
          <w14:ligatures w14:val="standardContextual"/>
        </w:rPr>
        <w:tab/>
      </w:r>
      <w:r>
        <w:rPr>
          <w:noProof/>
        </w:rPr>
        <w:t>GST exclusive</w:t>
      </w:r>
      <w:r>
        <w:rPr>
          <w:noProof/>
        </w:rPr>
        <w:tab/>
      </w:r>
      <w:r>
        <w:rPr>
          <w:noProof/>
        </w:rPr>
        <w:fldChar w:fldCharType="begin"/>
      </w:r>
      <w:r>
        <w:rPr>
          <w:noProof/>
        </w:rPr>
        <w:instrText xml:space="preserve"> PAGEREF _Toc207309644 \h </w:instrText>
      </w:r>
      <w:r>
        <w:rPr>
          <w:noProof/>
        </w:rPr>
      </w:r>
      <w:r>
        <w:rPr>
          <w:noProof/>
        </w:rPr>
        <w:fldChar w:fldCharType="separate"/>
      </w:r>
      <w:r>
        <w:rPr>
          <w:noProof/>
        </w:rPr>
        <w:t>106</w:t>
      </w:r>
      <w:r>
        <w:rPr>
          <w:noProof/>
        </w:rPr>
        <w:fldChar w:fldCharType="end"/>
      </w:r>
    </w:p>
    <w:p w14:paraId="18A3924A" w14:textId="40EACE16"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18.3</w:t>
      </w:r>
      <w:r>
        <w:rPr>
          <w:rFonts w:asciiTheme="minorHAnsi" w:eastAsiaTheme="minorEastAsia" w:hAnsiTheme="minorHAnsi" w:cstheme="minorBidi"/>
          <w:noProof/>
          <w:kern w:val="2"/>
          <w:sz w:val="24"/>
          <w:szCs w:val="24"/>
          <w:lang w:eastAsia="en-AU"/>
          <w14:ligatures w14:val="standardContextual"/>
        </w:rPr>
        <w:tab/>
      </w:r>
      <w:r>
        <w:rPr>
          <w:noProof/>
        </w:rPr>
        <w:t>Payment of GST</w:t>
      </w:r>
      <w:r>
        <w:rPr>
          <w:noProof/>
        </w:rPr>
        <w:tab/>
      </w:r>
      <w:r>
        <w:rPr>
          <w:noProof/>
        </w:rPr>
        <w:fldChar w:fldCharType="begin"/>
      </w:r>
      <w:r>
        <w:rPr>
          <w:noProof/>
        </w:rPr>
        <w:instrText xml:space="preserve"> PAGEREF _Toc207309645 \h </w:instrText>
      </w:r>
      <w:r>
        <w:rPr>
          <w:noProof/>
        </w:rPr>
      </w:r>
      <w:r>
        <w:rPr>
          <w:noProof/>
        </w:rPr>
        <w:fldChar w:fldCharType="separate"/>
      </w:r>
      <w:r>
        <w:rPr>
          <w:noProof/>
        </w:rPr>
        <w:t>106</w:t>
      </w:r>
      <w:r>
        <w:rPr>
          <w:noProof/>
        </w:rPr>
        <w:fldChar w:fldCharType="end"/>
      </w:r>
    </w:p>
    <w:p w14:paraId="562FDCF9" w14:textId="5B10BF81"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18.4</w:t>
      </w:r>
      <w:r>
        <w:rPr>
          <w:rFonts w:asciiTheme="minorHAnsi" w:eastAsiaTheme="minorEastAsia" w:hAnsiTheme="minorHAnsi" w:cstheme="minorBidi"/>
          <w:noProof/>
          <w:kern w:val="2"/>
          <w:sz w:val="24"/>
          <w:szCs w:val="24"/>
          <w:lang w:eastAsia="en-AU"/>
          <w14:ligatures w14:val="standardContextual"/>
        </w:rPr>
        <w:tab/>
      </w:r>
      <w:r>
        <w:rPr>
          <w:noProof/>
        </w:rPr>
        <w:t>Adjustment events</w:t>
      </w:r>
      <w:r>
        <w:rPr>
          <w:noProof/>
        </w:rPr>
        <w:tab/>
      </w:r>
      <w:r>
        <w:rPr>
          <w:noProof/>
        </w:rPr>
        <w:fldChar w:fldCharType="begin"/>
      </w:r>
      <w:r>
        <w:rPr>
          <w:noProof/>
        </w:rPr>
        <w:instrText xml:space="preserve"> PAGEREF _Toc207309646 \h </w:instrText>
      </w:r>
      <w:r>
        <w:rPr>
          <w:noProof/>
        </w:rPr>
      </w:r>
      <w:r>
        <w:rPr>
          <w:noProof/>
        </w:rPr>
        <w:fldChar w:fldCharType="separate"/>
      </w:r>
      <w:r>
        <w:rPr>
          <w:noProof/>
        </w:rPr>
        <w:t>107</w:t>
      </w:r>
      <w:r>
        <w:rPr>
          <w:noProof/>
        </w:rPr>
        <w:fldChar w:fldCharType="end"/>
      </w:r>
    </w:p>
    <w:p w14:paraId="053D303A" w14:textId="1E19F26E"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18.5</w:t>
      </w:r>
      <w:r>
        <w:rPr>
          <w:rFonts w:asciiTheme="minorHAnsi" w:eastAsiaTheme="minorEastAsia" w:hAnsiTheme="minorHAnsi" w:cstheme="minorBidi"/>
          <w:noProof/>
          <w:kern w:val="2"/>
          <w:sz w:val="24"/>
          <w:szCs w:val="24"/>
          <w:lang w:eastAsia="en-AU"/>
          <w14:ligatures w14:val="standardContextual"/>
        </w:rPr>
        <w:tab/>
      </w:r>
      <w:r>
        <w:rPr>
          <w:noProof/>
        </w:rPr>
        <w:t>Reimbursements</w:t>
      </w:r>
      <w:r>
        <w:rPr>
          <w:noProof/>
        </w:rPr>
        <w:tab/>
      </w:r>
      <w:r>
        <w:rPr>
          <w:noProof/>
        </w:rPr>
        <w:fldChar w:fldCharType="begin"/>
      </w:r>
      <w:r>
        <w:rPr>
          <w:noProof/>
        </w:rPr>
        <w:instrText xml:space="preserve"> PAGEREF _Toc207309647 \h </w:instrText>
      </w:r>
      <w:r>
        <w:rPr>
          <w:noProof/>
        </w:rPr>
      </w:r>
      <w:r>
        <w:rPr>
          <w:noProof/>
        </w:rPr>
        <w:fldChar w:fldCharType="separate"/>
      </w:r>
      <w:r>
        <w:rPr>
          <w:noProof/>
        </w:rPr>
        <w:t>107</w:t>
      </w:r>
      <w:r>
        <w:rPr>
          <w:noProof/>
        </w:rPr>
        <w:fldChar w:fldCharType="end"/>
      </w:r>
    </w:p>
    <w:p w14:paraId="176FC68A" w14:textId="25EADF1F" w:rsidR="00537D9A" w:rsidRDefault="00537D9A">
      <w:pPr>
        <w:pStyle w:val="TOC1"/>
        <w:rPr>
          <w:rFonts w:asciiTheme="minorHAnsi" w:eastAsiaTheme="minorEastAsia" w:hAnsiTheme="minorHAnsi" w:cstheme="minorBidi"/>
          <w:b w:val="0"/>
          <w:noProof/>
          <w:kern w:val="2"/>
          <w:sz w:val="24"/>
          <w:szCs w:val="24"/>
          <w:lang w:eastAsia="en-AU"/>
          <w14:ligatures w14:val="standardContextual"/>
        </w:rPr>
      </w:pPr>
      <w:r>
        <w:rPr>
          <w:noProof/>
        </w:rPr>
        <w:t>19</w:t>
      </w:r>
      <w:r>
        <w:rPr>
          <w:rFonts w:asciiTheme="minorHAnsi" w:eastAsiaTheme="minorEastAsia" w:hAnsiTheme="minorHAnsi" w:cstheme="minorBidi"/>
          <w:b w:val="0"/>
          <w:noProof/>
          <w:kern w:val="2"/>
          <w:sz w:val="24"/>
          <w:szCs w:val="24"/>
          <w:lang w:eastAsia="en-AU"/>
          <w14:ligatures w14:val="standardContextual"/>
        </w:rPr>
        <w:tab/>
      </w:r>
      <w:r>
        <w:rPr>
          <w:noProof/>
        </w:rPr>
        <w:t>Force Majeure</w:t>
      </w:r>
      <w:r>
        <w:rPr>
          <w:noProof/>
        </w:rPr>
        <w:tab/>
      </w:r>
      <w:r>
        <w:rPr>
          <w:noProof/>
        </w:rPr>
        <w:fldChar w:fldCharType="begin"/>
      </w:r>
      <w:r>
        <w:rPr>
          <w:noProof/>
        </w:rPr>
        <w:instrText xml:space="preserve"> PAGEREF _Toc207309648 \h </w:instrText>
      </w:r>
      <w:r>
        <w:rPr>
          <w:noProof/>
        </w:rPr>
      </w:r>
      <w:r>
        <w:rPr>
          <w:noProof/>
        </w:rPr>
        <w:fldChar w:fldCharType="separate"/>
      </w:r>
      <w:r>
        <w:rPr>
          <w:noProof/>
        </w:rPr>
        <w:t>107</w:t>
      </w:r>
      <w:r>
        <w:rPr>
          <w:noProof/>
        </w:rPr>
        <w:fldChar w:fldCharType="end"/>
      </w:r>
    </w:p>
    <w:p w14:paraId="362048B7" w14:textId="15DC166C"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19.1</w:t>
      </w:r>
      <w:r>
        <w:rPr>
          <w:rFonts w:asciiTheme="minorHAnsi" w:eastAsiaTheme="minorEastAsia" w:hAnsiTheme="minorHAnsi" w:cstheme="minorBidi"/>
          <w:noProof/>
          <w:kern w:val="2"/>
          <w:sz w:val="24"/>
          <w:szCs w:val="24"/>
          <w:lang w:eastAsia="en-AU"/>
          <w14:ligatures w14:val="standardContextual"/>
        </w:rPr>
        <w:tab/>
      </w:r>
      <w:r>
        <w:rPr>
          <w:noProof/>
        </w:rPr>
        <w:t>Definition of Project Force Majeure Event</w:t>
      </w:r>
      <w:r>
        <w:rPr>
          <w:noProof/>
        </w:rPr>
        <w:tab/>
      </w:r>
      <w:r>
        <w:rPr>
          <w:noProof/>
        </w:rPr>
        <w:fldChar w:fldCharType="begin"/>
      </w:r>
      <w:r>
        <w:rPr>
          <w:noProof/>
        </w:rPr>
        <w:instrText xml:space="preserve"> PAGEREF _Toc207309649 \h </w:instrText>
      </w:r>
      <w:r>
        <w:rPr>
          <w:noProof/>
        </w:rPr>
      </w:r>
      <w:r>
        <w:rPr>
          <w:noProof/>
        </w:rPr>
        <w:fldChar w:fldCharType="separate"/>
      </w:r>
      <w:r>
        <w:rPr>
          <w:noProof/>
        </w:rPr>
        <w:t>107</w:t>
      </w:r>
      <w:r>
        <w:rPr>
          <w:noProof/>
        </w:rPr>
        <w:fldChar w:fldCharType="end"/>
      </w:r>
    </w:p>
    <w:p w14:paraId="0F92713F" w14:textId="507F3DCB"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19.2</w:t>
      </w:r>
      <w:r>
        <w:rPr>
          <w:rFonts w:asciiTheme="minorHAnsi" w:eastAsiaTheme="minorEastAsia" w:hAnsiTheme="minorHAnsi" w:cstheme="minorBidi"/>
          <w:noProof/>
          <w:kern w:val="2"/>
          <w:sz w:val="24"/>
          <w:szCs w:val="24"/>
          <w:lang w:eastAsia="en-AU"/>
          <w14:ligatures w14:val="standardContextual"/>
        </w:rPr>
        <w:tab/>
      </w:r>
      <w:r>
        <w:rPr>
          <w:noProof/>
        </w:rPr>
        <w:t>Definition of Connection Force Majeure Event</w:t>
      </w:r>
      <w:r>
        <w:rPr>
          <w:noProof/>
        </w:rPr>
        <w:tab/>
      </w:r>
      <w:r>
        <w:rPr>
          <w:noProof/>
        </w:rPr>
        <w:fldChar w:fldCharType="begin"/>
      </w:r>
      <w:r>
        <w:rPr>
          <w:noProof/>
        </w:rPr>
        <w:instrText xml:space="preserve"> PAGEREF _Toc207309650 \h </w:instrText>
      </w:r>
      <w:r>
        <w:rPr>
          <w:noProof/>
        </w:rPr>
      </w:r>
      <w:r>
        <w:rPr>
          <w:noProof/>
        </w:rPr>
        <w:fldChar w:fldCharType="separate"/>
      </w:r>
      <w:r>
        <w:rPr>
          <w:noProof/>
        </w:rPr>
        <w:t>108</w:t>
      </w:r>
      <w:r>
        <w:rPr>
          <w:noProof/>
        </w:rPr>
        <w:fldChar w:fldCharType="end"/>
      </w:r>
    </w:p>
    <w:p w14:paraId="000F2C6C" w14:textId="0F50C7EA"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19.3</w:t>
      </w:r>
      <w:r>
        <w:rPr>
          <w:rFonts w:asciiTheme="minorHAnsi" w:eastAsiaTheme="minorEastAsia" w:hAnsiTheme="minorHAnsi" w:cstheme="minorBidi"/>
          <w:noProof/>
          <w:kern w:val="2"/>
          <w:sz w:val="24"/>
          <w:szCs w:val="24"/>
          <w:lang w:eastAsia="en-AU"/>
          <w14:ligatures w14:val="standardContextual"/>
        </w:rPr>
        <w:tab/>
      </w:r>
      <w:r>
        <w:rPr>
          <w:noProof/>
        </w:rPr>
        <w:t>Notification of Force Majeure Event</w:t>
      </w:r>
      <w:r>
        <w:rPr>
          <w:noProof/>
        </w:rPr>
        <w:tab/>
      </w:r>
      <w:r>
        <w:rPr>
          <w:noProof/>
        </w:rPr>
        <w:fldChar w:fldCharType="begin"/>
      </w:r>
      <w:r>
        <w:rPr>
          <w:noProof/>
        </w:rPr>
        <w:instrText xml:space="preserve"> PAGEREF _Toc207309651 \h </w:instrText>
      </w:r>
      <w:r>
        <w:rPr>
          <w:noProof/>
        </w:rPr>
      </w:r>
      <w:r>
        <w:rPr>
          <w:noProof/>
        </w:rPr>
        <w:fldChar w:fldCharType="separate"/>
      </w:r>
      <w:r>
        <w:rPr>
          <w:noProof/>
        </w:rPr>
        <w:t>109</w:t>
      </w:r>
      <w:r>
        <w:rPr>
          <w:noProof/>
        </w:rPr>
        <w:fldChar w:fldCharType="end"/>
      </w:r>
    </w:p>
    <w:p w14:paraId="6127D6FE" w14:textId="35F42DB1"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19.4</w:t>
      </w:r>
      <w:r>
        <w:rPr>
          <w:rFonts w:asciiTheme="minorHAnsi" w:eastAsiaTheme="minorEastAsia" w:hAnsiTheme="minorHAnsi" w:cstheme="minorBidi"/>
          <w:noProof/>
          <w:kern w:val="2"/>
          <w:sz w:val="24"/>
          <w:szCs w:val="24"/>
          <w:lang w:eastAsia="en-AU"/>
          <w14:ligatures w14:val="standardContextual"/>
        </w:rPr>
        <w:tab/>
      </w:r>
      <w:r>
        <w:rPr>
          <w:noProof/>
        </w:rPr>
        <w:t>Suspension of obligations</w:t>
      </w:r>
      <w:r>
        <w:rPr>
          <w:noProof/>
        </w:rPr>
        <w:tab/>
      </w:r>
      <w:r>
        <w:rPr>
          <w:noProof/>
        </w:rPr>
        <w:fldChar w:fldCharType="begin"/>
      </w:r>
      <w:r>
        <w:rPr>
          <w:noProof/>
        </w:rPr>
        <w:instrText xml:space="preserve"> PAGEREF _Toc207309652 \h </w:instrText>
      </w:r>
      <w:r>
        <w:rPr>
          <w:noProof/>
        </w:rPr>
      </w:r>
      <w:r>
        <w:rPr>
          <w:noProof/>
        </w:rPr>
        <w:fldChar w:fldCharType="separate"/>
      </w:r>
      <w:r>
        <w:rPr>
          <w:noProof/>
        </w:rPr>
        <w:t>109</w:t>
      </w:r>
      <w:r>
        <w:rPr>
          <w:noProof/>
        </w:rPr>
        <w:fldChar w:fldCharType="end"/>
      </w:r>
    </w:p>
    <w:p w14:paraId="506FAB1C" w14:textId="058D8BE2"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19.5</w:t>
      </w:r>
      <w:r>
        <w:rPr>
          <w:rFonts w:asciiTheme="minorHAnsi" w:eastAsiaTheme="minorEastAsia" w:hAnsiTheme="minorHAnsi" w:cstheme="minorBidi"/>
          <w:noProof/>
          <w:kern w:val="2"/>
          <w:sz w:val="24"/>
          <w:szCs w:val="24"/>
          <w:lang w:eastAsia="en-AU"/>
          <w14:ligatures w14:val="standardContextual"/>
        </w:rPr>
        <w:tab/>
      </w:r>
      <w:r>
        <w:rPr>
          <w:noProof/>
        </w:rPr>
        <w:t>Accrued rights and obligations</w:t>
      </w:r>
      <w:r>
        <w:rPr>
          <w:noProof/>
        </w:rPr>
        <w:tab/>
      </w:r>
      <w:r>
        <w:rPr>
          <w:noProof/>
        </w:rPr>
        <w:fldChar w:fldCharType="begin"/>
      </w:r>
      <w:r>
        <w:rPr>
          <w:noProof/>
        </w:rPr>
        <w:instrText xml:space="preserve"> PAGEREF _Toc207309653 \h </w:instrText>
      </w:r>
      <w:r>
        <w:rPr>
          <w:noProof/>
        </w:rPr>
      </w:r>
      <w:r>
        <w:rPr>
          <w:noProof/>
        </w:rPr>
        <w:fldChar w:fldCharType="separate"/>
      </w:r>
      <w:r>
        <w:rPr>
          <w:noProof/>
        </w:rPr>
        <w:t>109</w:t>
      </w:r>
      <w:r>
        <w:rPr>
          <w:noProof/>
        </w:rPr>
        <w:fldChar w:fldCharType="end"/>
      </w:r>
    </w:p>
    <w:p w14:paraId="67043AAB" w14:textId="75E488F8"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19.6</w:t>
      </w:r>
      <w:r>
        <w:rPr>
          <w:rFonts w:asciiTheme="minorHAnsi" w:eastAsiaTheme="minorEastAsia" w:hAnsiTheme="minorHAnsi" w:cstheme="minorBidi"/>
          <w:noProof/>
          <w:kern w:val="2"/>
          <w:sz w:val="24"/>
          <w:szCs w:val="24"/>
          <w:lang w:eastAsia="en-AU"/>
          <w14:ligatures w14:val="standardContextual"/>
        </w:rPr>
        <w:tab/>
      </w:r>
      <w:r>
        <w:rPr>
          <w:noProof/>
        </w:rPr>
        <w:t>Extension of time</w:t>
      </w:r>
      <w:r>
        <w:rPr>
          <w:noProof/>
        </w:rPr>
        <w:tab/>
      </w:r>
      <w:r>
        <w:rPr>
          <w:noProof/>
        </w:rPr>
        <w:fldChar w:fldCharType="begin"/>
      </w:r>
      <w:r>
        <w:rPr>
          <w:noProof/>
        </w:rPr>
        <w:instrText xml:space="preserve"> PAGEREF _Toc207309654 \h </w:instrText>
      </w:r>
      <w:r>
        <w:rPr>
          <w:noProof/>
        </w:rPr>
      </w:r>
      <w:r>
        <w:rPr>
          <w:noProof/>
        </w:rPr>
        <w:fldChar w:fldCharType="separate"/>
      </w:r>
      <w:r>
        <w:rPr>
          <w:noProof/>
        </w:rPr>
        <w:t>110</w:t>
      </w:r>
      <w:r>
        <w:rPr>
          <w:noProof/>
        </w:rPr>
        <w:fldChar w:fldCharType="end"/>
      </w:r>
    </w:p>
    <w:p w14:paraId="284BA8BC" w14:textId="2D30D8B5"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19.7</w:t>
      </w:r>
      <w:r>
        <w:rPr>
          <w:rFonts w:asciiTheme="minorHAnsi" w:eastAsiaTheme="minorEastAsia" w:hAnsiTheme="minorHAnsi" w:cstheme="minorBidi"/>
          <w:noProof/>
          <w:kern w:val="2"/>
          <w:sz w:val="24"/>
          <w:szCs w:val="24"/>
          <w:lang w:eastAsia="en-AU"/>
          <w14:ligatures w14:val="standardContextual"/>
        </w:rPr>
        <w:tab/>
      </w:r>
      <w:r>
        <w:rPr>
          <w:noProof/>
        </w:rPr>
        <w:t>Mitigation of Force Majeure Event</w:t>
      </w:r>
      <w:r>
        <w:rPr>
          <w:noProof/>
        </w:rPr>
        <w:tab/>
      </w:r>
      <w:r>
        <w:rPr>
          <w:noProof/>
        </w:rPr>
        <w:fldChar w:fldCharType="begin"/>
      </w:r>
      <w:r>
        <w:rPr>
          <w:noProof/>
        </w:rPr>
        <w:instrText xml:space="preserve"> PAGEREF _Toc207309655 \h </w:instrText>
      </w:r>
      <w:r>
        <w:rPr>
          <w:noProof/>
        </w:rPr>
      </w:r>
      <w:r>
        <w:rPr>
          <w:noProof/>
        </w:rPr>
        <w:fldChar w:fldCharType="separate"/>
      </w:r>
      <w:r>
        <w:rPr>
          <w:noProof/>
        </w:rPr>
        <w:t>110</w:t>
      </w:r>
      <w:r>
        <w:rPr>
          <w:noProof/>
        </w:rPr>
        <w:fldChar w:fldCharType="end"/>
      </w:r>
    </w:p>
    <w:p w14:paraId="7994FC60" w14:textId="15FB793C" w:rsidR="00537D9A" w:rsidRDefault="00537D9A">
      <w:pPr>
        <w:pStyle w:val="TOC1"/>
        <w:rPr>
          <w:rFonts w:asciiTheme="minorHAnsi" w:eastAsiaTheme="minorEastAsia" w:hAnsiTheme="minorHAnsi" w:cstheme="minorBidi"/>
          <w:b w:val="0"/>
          <w:noProof/>
          <w:kern w:val="2"/>
          <w:sz w:val="24"/>
          <w:szCs w:val="24"/>
          <w:lang w:eastAsia="en-AU"/>
          <w14:ligatures w14:val="standardContextual"/>
        </w:rPr>
      </w:pPr>
      <w:r>
        <w:rPr>
          <w:noProof/>
        </w:rPr>
        <w:t>20</w:t>
      </w:r>
      <w:r>
        <w:rPr>
          <w:rFonts w:asciiTheme="minorHAnsi" w:eastAsiaTheme="minorEastAsia" w:hAnsiTheme="minorHAnsi" w:cstheme="minorBidi"/>
          <w:b w:val="0"/>
          <w:noProof/>
          <w:kern w:val="2"/>
          <w:sz w:val="24"/>
          <w:szCs w:val="24"/>
          <w:lang w:eastAsia="en-AU"/>
          <w14:ligatures w14:val="standardContextual"/>
        </w:rPr>
        <w:tab/>
      </w:r>
      <w:r>
        <w:rPr>
          <w:noProof/>
        </w:rPr>
        <w:t>Major Casualty Event</w:t>
      </w:r>
      <w:r>
        <w:rPr>
          <w:noProof/>
        </w:rPr>
        <w:tab/>
      </w:r>
      <w:r>
        <w:rPr>
          <w:noProof/>
        </w:rPr>
        <w:fldChar w:fldCharType="begin"/>
      </w:r>
      <w:r>
        <w:rPr>
          <w:noProof/>
        </w:rPr>
        <w:instrText xml:space="preserve"> PAGEREF _Toc207309656 \h </w:instrText>
      </w:r>
      <w:r>
        <w:rPr>
          <w:noProof/>
        </w:rPr>
      </w:r>
      <w:r>
        <w:rPr>
          <w:noProof/>
        </w:rPr>
        <w:fldChar w:fldCharType="separate"/>
      </w:r>
      <w:r>
        <w:rPr>
          <w:noProof/>
        </w:rPr>
        <w:t>111</w:t>
      </w:r>
      <w:r>
        <w:rPr>
          <w:noProof/>
        </w:rPr>
        <w:fldChar w:fldCharType="end"/>
      </w:r>
    </w:p>
    <w:p w14:paraId="63A2E509" w14:textId="5FABD312"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20.1</w:t>
      </w:r>
      <w:r>
        <w:rPr>
          <w:rFonts w:asciiTheme="minorHAnsi" w:eastAsiaTheme="minorEastAsia" w:hAnsiTheme="minorHAnsi" w:cstheme="minorBidi"/>
          <w:noProof/>
          <w:kern w:val="2"/>
          <w:sz w:val="24"/>
          <w:szCs w:val="24"/>
          <w:lang w:eastAsia="en-AU"/>
          <w14:ligatures w14:val="standardContextual"/>
        </w:rPr>
        <w:tab/>
      </w:r>
      <w:r>
        <w:rPr>
          <w:noProof/>
        </w:rPr>
        <w:t>Major Casualty Event</w:t>
      </w:r>
      <w:r>
        <w:rPr>
          <w:noProof/>
        </w:rPr>
        <w:tab/>
      </w:r>
      <w:r>
        <w:rPr>
          <w:noProof/>
        </w:rPr>
        <w:fldChar w:fldCharType="begin"/>
      </w:r>
      <w:r>
        <w:rPr>
          <w:noProof/>
        </w:rPr>
        <w:instrText xml:space="preserve"> PAGEREF _Toc207309657 \h </w:instrText>
      </w:r>
      <w:r>
        <w:rPr>
          <w:noProof/>
        </w:rPr>
      </w:r>
      <w:r>
        <w:rPr>
          <w:noProof/>
        </w:rPr>
        <w:fldChar w:fldCharType="separate"/>
      </w:r>
      <w:r>
        <w:rPr>
          <w:noProof/>
        </w:rPr>
        <w:t>111</w:t>
      </w:r>
      <w:r>
        <w:rPr>
          <w:noProof/>
        </w:rPr>
        <w:fldChar w:fldCharType="end"/>
      </w:r>
    </w:p>
    <w:p w14:paraId="7B397557" w14:textId="24ABDCBD"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20.2</w:t>
      </w:r>
      <w:r>
        <w:rPr>
          <w:rFonts w:asciiTheme="minorHAnsi" w:eastAsiaTheme="minorEastAsia" w:hAnsiTheme="minorHAnsi" w:cstheme="minorBidi"/>
          <w:noProof/>
          <w:kern w:val="2"/>
          <w:sz w:val="24"/>
          <w:szCs w:val="24"/>
          <w:lang w:eastAsia="en-AU"/>
          <w14:ligatures w14:val="standardContextual"/>
        </w:rPr>
        <w:tab/>
      </w:r>
      <w:r>
        <w:rPr>
          <w:noProof/>
        </w:rPr>
        <w:t>Reinstatement plan</w:t>
      </w:r>
      <w:r>
        <w:rPr>
          <w:noProof/>
        </w:rPr>
        <w:tab/>
      </w:r>
      <w:r>
        <w:rPr>
          <w:noProof/>
        </w:rPr>
        <w:fldChar w:fldCharType="begin"/>
      </w:r>
      <w:r>
        <w:rPr>
          <w:noProof/>
        </w:rPr>
        <w:instrText xml:space="preserve"> PAGEREF _Toc207309658 \h </w:instrText>
      </w:r>
      <w:r>
        <w:rPr>
          <w:noProof/>
        </w:rPr>
      </w:r>
      <w:r>
        <w:rPr>
          <w:noProof/>
        </w:rPr>
        <w:fldChar w:fldCharType="separate"/>
      </w:r>
      <w:r>
        <w:rPr>
          <w:noProof/>
        </w:rPr>
        <w:t>111</w:t>
      </w:r>
      <w:r>
        <w:rPr>
          <w:noProof/>
        </w:rPr>
        <w:fldChar w:fldCharType="end"/>
      </w:r>
    </w:p>
    <w:p w14:paraId="66577A19" w14:textId="64328C9A"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20.3</w:t>
      </w:r>
      <w:r>
        <w:rPr>
          <w:rFonts w:asciiTheme="minorHAnsi" w:eastAsiaTheme="minorEastAsia" w:hAnsiTheme="minorHAnsi" w:cstheme="minorBidi"/>
          <w:noProof/>
          <w:kern w:val="2"/>
          <w:sz w:val="24"/>
          <w:szCs w:val="24"/>
          <w:lang w:eastAsia="en-AU"/>
          <w14:ligatures w14:val="standardContextual"/>
        </w:rPr>
        <w:tab/>
      </w:r>
      <w:r>
        <w:rPr>
          <w:noProof/>
        </w:rPr>
        <w:t>Consequences of failing to reinstate</w:t>
      </w:r>
      <w:r>
        <w:rPr>
          <w:noProof/>
        </w:rPr>
        <w:tab/>
      </w:r>
      <w:r>
        <w:rPr>
          <w:noProof/>
        </w:rPr>
        <w:fldChar w:fldCharType="begin"/>
      </w:r>
      <w:r>
        <w:rPr>
          <w:noProof/>
        </w:rPr>
        <w:instrText xml:space="preserve"> PAGEREF _Toc207309659 \h </w:instrText>
      </w:r>
      <w:r>
        <w:rPr>
          <w:noProof/>
        </w:rPr>
      </w:r>
      <w:r>
        <w:rPr>
          <w:noProof/>
        </w:rPr>
        <w:fldChar w:fldCharType="separate"/>
      </w:r>
      <w:r>
        <w:rPr>
          <w:noProof/>
        </w:rPr>
        <w:t>112</w:t>
      </w:r>
      <w:r>
        <w:rPr>
          <w:noProof/>
        </w:rPr>
        <w:fldChar w:fldCharType="end"/>
      </w:r>
    </w:p>
    <w:p w14:paraId="44F3F5B6" w14:textId="42F83610"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20.4</w:t>
      </w:r>
      <w:r>
        <w:rPr>
          <w:rFonts w:asciiTheme="minorHAnsi" w:eastAsiaTheme="minorEastAsia" w:hAnsiTheme="minorHAnsi" w:cstheme="minorBidi"/>
          <w:noProof/>
          <w:kern w:val="2"/>
          <w:sz w:val="24"/>
          <w:szCs w:val="24"/>
          <w:lang w:eastAsia="en-AU"/>
          <w14:ligatures w14:val="standardContextual"/>
        </w:rPr>
        <w:tab/>
      </w:r>
      <w:r>
        <w:rPr>
          <w:noProof/>
        </w:rPr>
        <w:t>Obligation to reinstate</w:t>
      </w:r>
      <w:r>
        <w:rPr>
          <w:noProof/>
        </w:rPr>
        <w:tab/>
      </w:r>
      <w:r>
        <w:rPr>
          <w:noProof/>
        </w:rPr>
        <w:fldChar w:fldCharType="begin"/>
      </w:r>
      <w:r>
        <w:rPr>
          <w:noProof/>
        </w:rPr>
        <w:instrText xml:space="preserve"> PAGEREF _Toc207309660 \h </w:instrText>
      </w:r>
      <w:r>
        <w:rPr>
          <w:noProof/>
        </w:rPr>
      </w:r>
      <w:r>
        <w:rPr>
          <w:noProof/>
        </w:rPr>
        <w:fldChar w:fldCharType="separate"/>
      </w:r>
      <w:r>
        <w:rPr>
          <w:noProof/>
        </w:rPr>
        <w:t>112</w:t>
      </w:r>
      <w:r>
        <w:rPr>
          <w:noProof/>
        </w:rPr>
        <w:fldChar w:fldCharType="end"/>
      </w:r>
    </w:p>
    <w:p w14:paraId="5E261EC8" w14:textId="52936F4A" w:rsidR="00537D9A" w:rsidRDefault="00537D9A">
      <w:pPr>
        <w:pStyle w:val="TOC1"/>
        <w:rPr>
          <w:rFonts w:asciiTheme="minorHAnsi" w:eastAsiaTheme="minorEastAsia" w:hAnsiTheme="minorHAnsi" w:cstheme="minorBidi"/>
          <w:b w:val="0"/>
          <w:noProof/>
          <w:kern w:val="2"/>
          <w:sz w:val="24"/>
          <w:szCs w:val="24"/>
          <w:lang w:eastAsia="en-AU"/>
          <w14:ligatures w14:val="standardContextual"/>
        </w:rPr>
      </w:pPr>
      <w:r>
        <w:rPr>
          <w:noProof/>
        </w:rPr>
        <w:t>21</w:t>
      </w:r>
      <w:r>
        <w:rPr>
          <w:rFonts w:asciiTheme="minorHAnsi" w:eastAsiaTheme="minorEastAsia" w:hAnsiTheme="minorHAnsi" w:cstheme="minorBidi"/>
          <w:b w:val="0"/>
          <w:noProof/>
          <w:kern w:val="2"/>
          <w:sz w:val="24"/>
          <w:szCs w:val="24"/>
          <w:lang w:eastAsia="en-AU"/>
          <w14:ligatures w14:val="standardContextual"/>
        </w:rPr>
        <w:tab/>
      </w:r>
      <w:r>
        <w:rPr>
          <w:noProof/>
        </w:rPr>
        <w:t>Change in Law</w:t>
      </w:r>
      <w:r>
        <w:rPr>
          <w:noProof/>
        </w:rPr>
        <w:tab/>
      </w:r>
      <w:r>
        <w:rPr>
          <w:noProof/>
        </w:rPr>
        <w:fldChar w:fldCharType="begin"/>
      </w:r>
      <w:r>
        <w:rPr>
          <w:noProof/>
        </w:rPr>
        <w:instrText xml:space="preserve"> PAGEREF _Toc207309661 \h </w:instrText>
      </w:r>
      <w:r>
        <w:rPr>
          <w:noProof/>
        </w:rPr>
      </w:r>
      <w:r>
        <w:rPr>
          <w:noProof/>
        </w:rPr>
        <w:fldChar w:fldCharType="separate"/>
      </w:r>
      <w:r>
        <w:rPr>
          <w:noProof/>
        </w:rPr>
        <w:t>113</w:t>
      </w:r>
      <w:r>
        <w:rPr>
          <w:noProof/>
        </w:rPr>
        <w:fldChar w:fldCharType="end"/>
      </w:r>
    </w:p>
    <w:p w14:paraId="7777CC6C" w14:textId="0185F27E"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21.1</w:t>
      </w:r>
      <w:r>
        <w:rPr>
          <w:rFonts w:asciiTheme="minorHAnsi" w:eastAsiaTheme="minorEastAsia" w:hAnsiTheme="minorHAnsi" w:cstheme="minorBidi"/>
          <w:noProof/>
          <w:kern w:val="2"/>
          <w:sz w:val="24"/>
          <w:szCs w:val="24"/>
          <w:lang w:eastAsia="en-AU"/>
          <w14:ligatures w14:val="standardContextual"/>
        </w:rPr>
        <w:tab/>
      </w:r>
      <w:r>
        <w:rPr>
          <w:noProof/>
        </w:rPr>
        <w:t>Change in Law</w:t>
      </w:r>
      <w:r>
        <w:rPr>
          <w:noProof/>
        </w:rPr>
        <w:tab/>
      </w:r>
      <w:r>
        <w:rPr>
          <w:noProof/>
        </w:rPr>
        <w:fldChar w:fldCharType="begin"/>
      </w:r>
      <w:r>
        <w:rPr>
          <w:noProof/>
        </w:rPr>
        <w:instrText xml:space="preserve"> PAGEREF _Toc207309662 \h </w:instrText>
      </w:r>
      <w:r>
        <w:rPr>
          <w:noProof/>
        </w:rPr>
      </w:r>
      <w:r>
        <w:rPr>
          <w:noProof/>
        </w:rPr>
        <w:fldChar w:fldCharType="separate"/>
      </w:r>
      <w:r>
        <w:rPr>
          <w:noProof/>
        </w:rPr>
        <w:t>113</w:t>
      </w:r>
      <w:r>
        <w:rPr>
          <w:noProof/>
        </w:rPr>
        <w:fldChar w:fldCharType="end"/>
      </w:r>
    </w:p>
    <w:p w14:paraId="49EA4F68" w14:textId="4AB33E37"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21.2</w:t>
      </w:r>
      <w:r>
        <w:rPr>
          <w:rFonts w:asciiTheme="minorHAnsi" w:eastAsiaTheme="minorEastAsia" w:hAnsiTheme="minorHAnsi" w:cstheme="minorBidi"/>
          <w:noProof/>
          <w:kern w:val="2"/>
          <w:sz w:val="24"/>
          <w:szCs w:val="24"/>
          <w:lang w:eastAsia="en-AU"/>
          <w14:ligatures w14:val="standardContextual"/>
        </w:rPr>
        <w:tab/>
      </w:r>
      <w:r>
        <w:rPr>
          <w:noProof/>
        </w:rPr>
        <w:t>Relevant Cost Change</w:t>
      </w:r>
      <w:r>
        <w:rPr>
          <w:noProof/>
        </w:rPr>
        <w:tab/>
      </w:r>
      <w:r>
        <w:rPr>
          <w:noProof/>
        </w:rPr>
        <w:fldChar w:fldCharType="begin"/>
      </w:r>
      <w:r>
        <w:rPr>
          <w:noProof/>
        </w:rPr>
        <w:instrText xml:space="preserve"> PAGEREF _Toc207309663 \h </w:instrText>
      </w:r>
      <w:r>
        <w:rPr>
          <w:noProof/>
        </w:rPr>
      </w:r>
      <w:r>
        <w:rPr>
          <w:noProof/>
        </w:rPr>
        <w:fldChar w:fldCharType="separate"/>
      </w:r>
      <w:r>
        <w:rPr>
          <w:noProof/>
        </w:rPr>
        <w:t>113</w:t>
      </w:r>
      <w:r>
        <w:rPr>
          <w:noProof/>
        </w:rPr>
        <w:fldChar w:fldCharType="end"/>
      </w:r>
    </w:p>
    <w:p w14:paraId="3CF53281" w14:textId="50302987"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21.3</w:t>
      </w:r>
      <w:r>
        <w:rPr>
          <w:rFonts w:asciiTheme="minorHAnsi" w:eastAsiaTheme="minorEastAsia" w:hAnsiTheme="minorHAnsi" w:cstheme="minorBidi"/>
          <w:noProof/>
          <w:kern w:val="2"/>
          <w:sz w:val="24"/>
          <w:szCs w:val="24"/>
          <w:lang w:eastAsia="en-AU"/>
          <w14:ligatures w14:val="standardContextual"/>
        </w:rPr>
        <w:tab/>
      </w:r>
      <w:r>
        <w:rPr>
          <w:noProof/>
        </w:rPr>
        <w:t>Notice of Relevant Cost Change</w:t>
      </w:r>
      <w:r>
        <w:rPr>
          <w:noProof/>
        </w:rPr>
        <w:tab/>
      </w:r>
      <w:r>
        <w:rPr>
          <w:noProof/>
        </w:rPr>
        <w:fldChar w:fldCharType="begin"/>
      </w:r>
      <w:r>
        <w:rPr>
          <w:noProof/>
        </w:rPr>
        <w:instrText xml:space="preserve"> PAGEREF _Toc207309664 \h </w:instrText>
      </w:r>
      <w:r>
        <w:rPr>
          <w:noProof/>
        </w:rPr>
      </w:r>
      <w:r>
        <w:rPr>
          <w:noProof/>
        </w:rPr>
        <w:fldChar w:fldCharType="separate"/>
      </w:r>
      <w:r>
        <w:rPr>
          <w:noProof/>
        </w:rPr>
        <w:t>113</w:t>
      </w:r>
      <w:r>
        <w:rPr>
          <w:noProof/>
        </w:rPr>
        <w:fldChar w:fldCharType="end"/>
      </w:r>
    </w:p>
    <w:p w14:paraId="259F6405" w14:textId="7D25C367"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21.4</w:t>
      </w:r>
      <w:r>
        <w:rPr>
          <w:rFonts w:asciiTheme="minorHAnsi" w:eastAsiaTheme="minorEastAsia" w:hAnsiTheme="minorHAnsi" w:cstheme="minorBidi"/>
          <w:noProof/>
          <w:kern w:val="2"/>
          <w:sz w:val="24"/>
          <w:szCs w:val="24"/>
          <w:lang w:eastAsia="en-AU"/>
          <w14:ligatures w14:val="standardContextual"/>
        </w:rPr>
        <w:tab/>
      </w:r>
      <w:r>
        <w:rPr>
          <w:noProof/>
        </w:rPr>
        <w:t>Adjustment to amounts and payment cap</w:t>
      </w:r>
      <w:r>
        <w:rPr>
          <w:noProof/>
        </w:rPr>
        <w:tab/>
      </w:r>
      <w:r>
        <w:rPr>
          <w:noProof/>
        </w:rPr>
        <w:fldChar w:fldCharType="begin"/>
      </w:r>
      <w:r>
        <w:rPr>
          <w:noProof/>
        </w:rPr>
        <w:instrText xml:space="preserve"> PAGEREF _Toc207309665 \h </w:instrText>
      </w:r>
      <w:r>
        <w:rPr>
          <w:noProof/>
        </w:rPr>
      </w:r>
      <w:r>
        <w:rPr>
          <w:noProof/>
        </w:rPr>
        <w:fldChar w:fldCharType="separate"/>
      </w:r>
      <w:r>
        <w:rPr>
          <w:noProof/>
        </w:rPr>
        <w:t>114</w:t>
      </w:r>
      <w:r>
        <w:rPr>
          <w:noProof/>
        </w:rPr>
        <w:fldChar w:fldCharType="end"/>
      </w:r>
    </w:p>
    <w:p w14:paraId="6ECCCF88" w14:textId="4F228167"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sidRPr="007F6767">
        <w:rPr>
          <w:iCs/>
          <w:noProof/>
        </w:rPr>
        <w:t>21.5</w:t>
      </w:r>
      <w:r>
        <w:rPr>
          <w:rFonts w:asciiTheme="minorHAnsi" w:eastAsiaTheme="minorEastAsia" w:hAnsiTheme="minorHAnsi" w:cstheme="minorBidi"/>
          <w:noProof/>
          <w:kern w:val="2"/>
          <w:sz w:val="24"/>
          <w:szCs w:val="24"/>
          <w:lang w:eastAsia="en-AU"/>
          <w14:ligatures w14:val="standardContextual"/>
        </w:rPr>
        <w:tab/>
      </w:r>
      <w:r w:rsidRPr="007F6767">
        <w:rPr>
          <w:iCs/>
          <w:noProof/>
        </w:rPr>
        <w:t>Dispute resolution in respect of adjustments to the Annual Floor, Annual Ceiling or Annual Payment Cap</w:t>
      </w:r>
      <w:r>
        <w:rPr>
          <w:noProof/>
        </w:rPr>
        <w:tab/>
      </w:r>
      <w:r>
        <w:rPr>
          <w:noProof/>
        </w:rPr>
        <w:fldChar w:fldCharType="begin"/>
      </w:r>
      <w:r>
        <w:rPr>
          <w:noProof/>
        </w:rPr>
        <w:instrText xml:space="preserve"> PAGEREF _Toc207309666 \h </w:instrText>
      </w:r>
      <w:r>
        <w:rPr>
          <w:noProof/>
        </w:rPr>
      </w:r>
      <w:r>
        <w:rPr>
          <w:noProof/>
        </w:rPr>
        <w:fldChar w:fldCharType="separate"/>
      </w:r>
      <w:r>
        <w:rPr>
          <w:noProof/>
        </w:rPr>
        <w:t>115</w:t>
      </w:r>
      <w:r>
        <w:rPr>
          <w:noProof/>
        </w:rPr>
        <w:fldChar w:fldCharType="end"/>
      </w:r>
    </w:p>
    <w:p w14:paraId="42428BB1" w14:textId="02481AFD"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sidRPr="007F6767">
        <w:rPr>
          <w:iCs/>
          <w:noProof/>
        </w:rPr>
        <w:t>21.6</w:t>
      </w:r>
      <w:r>
        <w:rPr>
          <w:rFonts w:asciiTheme="minorHAnsi" w:eastAsiaTheme="minorEastAsia" w:hAnsiTheme="minorHAnsi" w:cstheme="minorBidi"/>
          <w:noProof/>
          <w:kern w:val="2"/>
          <w:sz w:val="24"/>
          <w:szCs w:val="24"/>
          <w:lang w:eastAsia="en-AU"/>
          <w14:ligatures w14:val="standardContextual"/>
        </w:rPr>
        <w:tab/>
      </w:r>
      <w:r>
        <w:rPr>
          <w:noProof/>
        </w:rPr>
        <w:t>Cost Change Principles</w:t>
      </w:r>
      <w:r>
        <w:rPr>
          <w:noProof/>
        </w:rPr>
        <w:tab/>
      </w:r>
      <w:r>
        <w:rPr>
          <w:noProof/>
        </w:rPr>
        <w:fldChar w:fldCharType="begin"/>
      </w:r>
      <w:r>
        <w:rPr>
          <w:noProof/>
        </w:rPr>
        <w:instrText xml:space="preserve"> PAGEREF _Toc207309667 \h </w:instrText>
      </w:r>
      <w:r>
        <w:rPr>
          <w:noProof/>
        </w:rPr>
      </w:r>
      <w:r>
        <w:rPr>
          <w:noProof/>
        </w:rPr>
        <w:fldChar w:fldCharType="separate"/>
      </w:r>
      <w:r>
        <w:rPr>
          <w:noProof/>
        </w:rPr>
        <w:t>115</w:t>
      </w:r>
      <w:r>
        <w:rPr>
          <w:noProof/>
        </w:rPr>
        <w:fldChar w:fldCharType="end"/>
      </w:r>
    </w:p>
    <w:p w14:paraId="0DF5E5BD" w14:textId="6A6A6858"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21.7</w:t>
      </w:r>
      <w:r>
        <w:rPr>
          <w:rFonts w:asciiTheme="minorHAnsi" w:eastAsiaTheme="minorEastAsia" w:hAnsiTheme="minorHAnsi" w:cstheme="minorBidi"/>
          <w:noProof/>
          <w:kern w:val="2"/>
          <w:sz w:val="24"/>
          <w:szCs w:val="24"/>
          <w:lang w:eastAsia="en-AU"/>
          <w14:ligatures w14:val="standardContextual"/>
        </w:rPr>
        <w:tab/>
      </w:r>
      <w:r>
        <w:rPr>
          <w:noProof/>
        </w:rPr>
        <w:t>No adjustment to amounts and payment cap</w:t>
      </w:r>
      <w:r>
        <w:rPr>
          <w:noProof/>
        </w:rPr>
        <w:tab/>
      </w:r>
      <w:r>
        <w:rPr>
          <w:noProof/>
        </w:rPr>
        <w:fldChar w:fldCharType="begin"/>
      </w:r>
      <w:r>
        <w:rPr>
          <w:noProof/>
        </w:rPr>
        <w:instrText xml:space="preserve"> PAGEREF _Toc207309668 \h </w:instrText>
      </w:r>
      <w:r>
        <w:rPr>
          <w:noProof/>
        </w:rPr>
      </w:r>
      <w:r>
        <w:rPr>
          <w:noProof/>
        </w:rPr>
        <w:fldChar w:fldCharType="separate"/>
      </w:r>
      <w:r>
        <w:rPr>
          <w:noProof/>
        </w:rPr>
        <w:t>116</w:t>
      </w:r>
      <w:r>
        <w:rPr>
          <w:noProof/>
        </w:rPr>
        <w:fldChar w:fldCharType="end"/>
      </w:r>
    </w:p>
    <w:p w14:paraId="2D7B2E5F" w14:textId="0AE52357" w:rsidR="00537D9A" w:rsidRDefault="00537D9A">
      <w:pPr>
        <w:pStyle w:val="TOC1"/>
        <w:rPr>
          <w:rFonts w:asciiTheme="minorHAnsi" w:eastAsiaTheme="minorEastAsia" w:hAnsiTheme="minorHAnsi" w:cstheme="minorBidi"/>
          <w:b w:val="0"/>
          <w:noProof/>
          <w:kern w:val="2"/>
          <w:sz w:val="24"/>
          <w:szCs w:val="24"/>
          <w:lang w:eastAsia="en-AU"/>
          <w14:ligatures w14:val="standardContextual"/>
        </w:rPr>
      </w:pPr>
      <w:r>
        <w:rPr>
          <w:noProof/>
        </w:rPr>
        <w:t>22</w:t>
      </w:r>
      <w:r>
        <w:rPr>
          <w:rFonts w:asciiTheme="minorHAnsi" w:eastAsiaTheme="minorEastAsia" w:hAnsiTheme="minorHAnsi" w:cstheme="minorBidi"/>
          <w:b w:val="0"/>
          <w:noProof/>
          <w:kern w:val="2"/>
          <w:sz w:val="24"/>
          <w:szCs w:val="24"/>
          <w:lang w:eastAsia="en-AU"/>
          <w14:ligatures w14:val="standardContextual"/>
        </w:rPr>
        <w:tab/>
      </w:r>
      <w:r>
        <w:rPr>
          <w:noProof/>
        </w:rPr>
        <w:t>Default and Termination</w:t>
      </w:r>
      <w:r>
        <w:rPr>
          <w:noProof/>
        </w:rPr>
        <w:tab/>
      </w:r>
      <w:r>
        <w:rPr>
          <w:noProof/>
        </w:rPr>
        <w:fldChar w:fldCharType="begin"/>
      </w:r>
      <w:r>
        <w:rPr>
          <w:noProof/>
        </w:rPr>
        <w:instrText xml:space="preserve"> PAGEREF _Toc207309669 \h </w:instrText>
      </w:r>
      <w:r>
        <w:rPr>
          <w:noProof/>
        </w:rPr>
      </w:r>
      <w:r>
        <w:rPr>
          <w:noProof/>
        </w:rPr>
        <w:fldChar w:fldCharType="separate"/>
      </w:r>
      <w:r>
        <w:rPr>
          <w:noProof/>
        </w:rPr>
        <w:t>116</w:t>
      </w:r>
      <w:r>
        <w:rPr>
          <w:noProof/>
        </w:rPr>
        <w:fldChar w:fldCharType="end"/>
      </w:r>
    </w:p>
    <w:p w14:paraId="69AEBA84" w14:textId="1D6D61D3"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22.1</w:t>
      </w:r>
      <w:r>
        <w:rPr>
          <w:rFonts w:asciiTheme="minorHAnsi" w:eastAsiaTheme="minorEastAsia" w:hAnsiTheme="minorHAnsi" w:cstheme="minorBidi"/>
          <w:noProof/>
          <w:kern w:val="2"/>
          <w:sz w:val="24"/>
          <w:szCs w:val="24"/>
          <w:lang w:eastAsia="en-AU"/>
          <w14:ligatures w14:val="standardContextual"/>
        </w:rPr>
        <w:tab/>
      </w:r>
      <w:r>
        <w:rPr>
          <w:noProof/>
        </w:rPr>
        <w:t>Automatic termination for failure to achieve a Milestone</w:t>
      </w:r>
      <w:r>
        <w:rPr>
          <w:noProof/>
        </w:rPr>
        <w:tab/>
      </w:r>
      <w:r>
        <w:rPr>
          <w:noProof/>
        </w:rPr>
        <w:fldChar w:fldCharType="begin"/>
      </w:r>
      <w:r>
        <w:rPr>
          <w:noProof/>
        </w:rPr>
        <w:instrText xml:space="preserve"> PAGEREF _Toc207309670 \h </w:instrText>
      </w:r>
      <w:r>
        <w:rPr>
          <w:noProof/>
        </w:rPr>
      </w:r>
      <w:r>
        <w:rPr>
          <w:noProof/>
        </w:rPr>
        <w:fldChar w:fldCharType="separate"/>
      </w:r>
      <w:r>
        <w:rPr>
          <w:noProof/>
        </w:rPr>
        <w:t>116</w:t>
      </w:r>
      <w:r>
        <w:rPr>
          <w:noProof/>
        </w:rPr>
        <w:fldChar w:fldCharType="end"/>
      </w:r>
    </w:p>
    <w:p w14:paraId="6F364925" w14:textId="4D959FF4"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22.2</w:t>
      </w:r>
      <w:r>
        <w:rPr>
          <w:rFonts w:asciiTheme="minorHAnsi" w:eastAsiaTheme="minorEastAsia" w:hAnsiTheme="minorHAnsi" w:cstheme="minorBidi"/>
          <w:noProof/>
          <w:kern w:val="2"/>
          <w:sz w:val="24"/>
          <w:szCs w:val="24"/>
          <w:lang w:eastAsia="en-AU"/>
          <w14:ligatures w14:val="standardContextual"/>
        </w:rPr>
        <w:tab/>
      </w:r>
      <w:r>
        <w:rPr>
          <w:noProof/>
        </w:rPr>
        <w:t>Termination by Project Operator</w:t>
      </w:r>
      <w:r>
        <w:rPr>
          <w:noProof/>
        </w:rPr>
        <w:tab/>
      </w:r>
      <w:r>
        <w:rPr>
          <w:noProof/>
        </w:rPr>
        <w:fldChar w:fldCharType="begin"/>
      </w:r>
      <w:r>
        <w:rPr>
          <w:noProof/>
        </w:rPr>
        <w:instrText xml:space="preserve"> PAGEREF _Toc207309671 \h </w:instrText>
      </w:r>
      <w:r>
        <w:rPr>
          <w:noProof/>
        </w:rPr>
      </w:r>
      <w:r>
        <w:rPr>
          <w:noProof/>
        </w:rPr>
        <w:fldChar w:fldCharType="separate"/>
      </w:r>
      <w:r>
        <w:rPr>
          <w:noProof/>
        </w:rPr>
        <w:t>116</w:t>
      </w:r>
      <w:r>
        <w:rPr>
          <w:noProof/>
        </w:rPr>
        <w:fldChar w:fldCharType="end"/>
      </w:r>
    </w:p>
    <w:p w14:paraId="10A0FF90" w14:textId="56D35504"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22.3</w:t>
      </w:r>
      <w:r>
        <w:rPr>
          <w:rFonts w:asciiTheme="minorHAnsi" w:eastAsiaTheme="minorEastAsia" w:hAnsiTheme="minorHAnsi" w:cstheme="minorBidi"/>
          <w:noProof/>
          <w:kern w:val="2"/>
          <w:sz w:val="24"/>
          <w:szCs w:val="24"/>
          <w:lang w:eastAsia="en-AU"/>
          <w14:ligatures w14:val="standardContextual"/>
        </w:rPr>
        <w:tab/>
      </w:r>
      <w:r>
        <w:rPr>
          <w:noProof/>
        </w:rPr>
        <w:t>Termination by the Commonwealth for default</w:t>
      </w:r>
      <w:r>
        <w:rPr>
          <w:noProof/>
        </w:rPr>
        <w:tab/>
      </w:r>
      <w:r>
        <w:rPr>
          <w:noProof/>
        </w:rPr>
        <w:fldChar w:fldCharType="begin"/>
      </w:r>
      <w:r>
        <w:rPr>
          <w:noProof/>
        </w:rPr>
        <w:instrText xml:space="preserve"> PAGEREF _Toc207309672 \h </w:instrText>
      </w:r>
      <w:r>
        <w:rPr>
          <w:noProof/>
        </w:rPr>
      </w:r>
      <w:r>
        <w:rPr>
          <w:noProof/>
        </w:rPr>
        <w:fldChar w:fldCharType="separate"/>
      </w:r>
      <w:r>
        <w:rPr>
          <w:noProof/>
        </w:rPr>
        <w:t>117</w:t>
      </w:r>
      <w:r>
        <w:rPr>
          <w:noProof/>
        </w:rPr>
        <w:fldChar w:fldCharType="end"/>
      </w:r>
    </w:p>
    <w:p w14:paraId="0B78F92E" w14:textId="09994E5F"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22.4</w:t>
      </w:r>
      <w:r>
        <w:rPr>
          <w:rFonts w:asciiTheme="minorHAnsi" w:eastAsiaTheme="minorEastAsia" w:hAnsiTheme="minorHAnsi" w:cstheme="minorBidi"/>
          <w:noProof/>
          <w:kern w:val="2"/>
          <w:sz w:val="24"/>
          <w:szCs w:val="24"/>
          <w:lang w:eastAsia="en-AU"/>
          <w14:ligatures w14:val="standardContextual"/>
        </w:rPr>
        <w:tab/>
      </w:r>
      <w:r>
        <w:rPr>
          <w:noProof/>
        </w:rPr>
        <w:t>Termination for convenience by the Commonwealth</w:t>
      </w:r>
      <w:r>
        <w:rPr>
          <w:noProof/>
        </w:rPr>
        <w:tab/>
      </w:r>
      <w:r>
        <w:rPr>
          <w:noProof/>
        </w:rPr>
        <w:fldChar w:fldCharType="begin"/>
      </w:r>
      <w:r>
        <w:rPr>
          <w:noProof/>
        </w:rPr>
        <w:instrText xml:space="preserve"> PAGEREF _Toc207309673 \h </w:instrText>
      </w:r>
      <w:r>
        <w:rPr>
          <w:noProof/>
        </w:rPr>
      </w:r>
      <w:r>
        <w:rPr>
          <w:noProof/>
        </w:rPr>
        <w:fldChar w:fldCharType="separate"/>
      </w:r>
      <w:r>
        <w:rPr>
          <w:noProof/>
        </w:rPr>
        <w:t>121</w:t>
      </w:r>
      <w:r>
        <w:rPr>
          <w:noProof/>
        </w:rPr>
        <w:fldChar w:fldCharType="end"/>
      </w:r>
    </w:p>
    <w:p w14:paraId="3AFC003A" w14:textId="5BC33F97"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22.5</w:t>
      </w:r>
      <w:r>
        <w:rPr>
          <w:rFonts w:asciiTheme="minorHAnsi" w:eastAsiaTheme="minorEastAsia" w:hAnsiTheme="minorHAnsi" w:cstheme="minorBidi"/>
          <w:noProof/>
          <w:kern w:val="2"/>
          <w:sz w:val="24"/>
          <w:szCs w:val="24"/>
          <w:lang w:eastAsia="en-AU"/>
          <w14:ligatures w14:val="standardContextual"/>
        </w:rPr>
        <w:tab/>
      </w:r>
      <w:r>
        <w:rPr>
          <w:noProof/>
        </w:rPr>
        <w:t>Termination payments</w:t>
      </w:r>
      <w:r>
        <w:rPr>
          <w:noProof/>
        </w:rPr>
        <w:tab/>
      </w:r>
      <w:r>
        <w:rPr>
          <w:noProof/>
        </w:rPr>
        <w:fldChar w:fldCharType="begin"/>
      </w:r>
      <w:r>
        <w:rPr>
          <w:noProof/>
        </w:rPr>
        <w:instrText xml:space="preserve"> PAGEREF _Toc207309674 \h </w:instrText>
      </w:r>
      <w:r>
        <w:rPr>
          <w:noProof/>
        </w:rPr>
      </w:r>
      <w:r>
        <w:rPr>
          <w:noProof/>
        </w:rPr>
        <w:fldChar w:fldCharType="separate"/>
      </w:r>
      <w:r>
        <w:rPr>
          <w:noProof/>
        </w:rPr>
        <w:t>121</w:t>
      </w:r>
      <w:r>
        <w:rPr>
          <w:noProof/>
        </w:rPr>
        <w:fldChar w:fldCharType="end"/>
      </w:r>
    </w:p>
    <w:p w14:paraId="70A1727B" w14:textId="727133BB"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22.6</w:t>
      </w:r>
      <w:r>
        <w:rPr>
          <w:rFonts w:asciiTheme="minorHAnsi" w:eastAsiaTheme="minorEastAsia" w:hAnsiTheme="minorHAnsi" w:cstheme="minorBidi"/>
          <w:noProof/>
          <w:kern w:val="2"/>
          <w:sz w:val="24"/>
          <w:szCs w:val="24"/>
          <w:lang w:eastAsia="en-AU"/>
          <w14:ligatures w14:val="standardContextual"/>
        </w:rPr>
        <w:tab/>
      </w:r>
      <w:r>
        <w:rPr>
          <w:noProof/>
        </w:rPr>
        <w:t>Invoice</w:t>
      </w:r>
      <w:r>
        <w:rPr>
          <w:noProof/>
        </w:rPr>
        <w:tab/>
      </w:r>
      <w:r>
        <w:rPr>
          <w:noProof/>
        </w:rPr>
        <w:fldChar w:fldCharType="begin"/>
      </w:r>
      <w:r>
        <w:rPr>
          <w:noProof/>
        </w:rPr>
        <w:instrText xml:space="preserve"> PAGEREF _Toc207309675 \h </w:instrText>
      </w:r>
      <w:r>
        <w:rPr>
          <w:noProof/>
        </w:rPr>
      </w:r>
      <w:r>
        <w:rPr>
          <w:noProof/>
        </w:rPr>
        <w:fldChar w:fldCharType="separate"/>
      </w:r>
      <w:r>
        <w:rPr>
          <w:noProof/>
        </w:rPr>
        <w:t>123</w:t>
      </w:r>
      <w:r>
        <w:rPr>
          <w:noProof/>
        </w:rPr>
        <w:fldChar w:fldCharType="end"/>
      </w:r>
    </w:p>
    <w:p w14:paraId="7CB1C879" w14:textId="0B2300EE"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22.7</w:t>
      </w:r>
      <w:r>
        <w:rPr>
          <w:rFonts w:asciiTheme="minorHAnsi" w:eastAsiaTheme="minorEastAsia" w:hAnsiTheme="minorHAnsi" w:cstheme="minorBidi"/>
          <w:noProof/>
          <w:kern w:val="2"/>
          <w:sz w:val="24"/>
          <w:szCs w:val="24"/>
          <w:lang w:eastAsia="en-AU"/>
          <w14:ligatures w14:val="standardContextual"/>
        </w:rPr>
        <w:tab/>
      </w:r>
      <w:r>
        <w:rPr>
          <w:noProof/>
        </w:rPr>
        <w:t>Preservation of rights</w:t>
      </w:r>
      <w:r>
        <w:rPr>
          <w:noProof/>
        </w:rPr>
        <w:tab/>
      </w:r>
      <w:r>
        <w:rPr>
          <w:noProof/>
        </w:rPr>
        <w:fldChar w:fldCharType="begin"/>
      </w:r>
      <w:r>
        <w:rPr>
          <w:noProof/>
        </w:rPr>
        <w:instrText xml:space="preserve"> PAGEREF _Toc207309676 \h </w:instrText>
      </w:r>
      <w:r>
        <w:rPr>
          <w:noProof/>
        </w:rPr>
      </w:r>
      <w:r>
        <w:rPr>
          <w:noProof/>
        </w:rPr>
        <w:fldChar w:fldCharType="separate"/>
      </w:r>
      <w:r>
        <w:rPr>
          <w:noProof/>
        </w:rPr>
        <w:t>123</w:t>
      </w:r>
      <w:r>
        <w:rPr>
          <w:noProof/>
        </w:rPr>
        <w:fldChar w:fldCharType="end"/>
      </w:r>
    </w:p>
    <w:p w14:paraId="4B64CA75" w14:textId="3F844C6E"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22.8</w:t>
      </w:r>
      <w:r>
        <w:rPr>
          <w:rFonts w:asciiTheme="minorHAnsi" w:eastAsiaTheme="minorEastAsia" w:hAnsiTheme="minorHAnsi" w:cstheme="minorBidi"/>
          <w:noProof/>
          <w:kern w:val="2"/>
          <w:sz w:val="24"/>
          <w:szCs w:val="24"/>
          <w:lang w:eastAsia="en-AU"/>
          <w14:ligatures w14:val="standardContextual"/>
        </w:rPr>
        <w:tab/>
      </w:r>
      <w:r>
        <w:rPr>
          <w:noProof/>
        </w:rPr>
        <w:t>Exclusion of rights</w:t>
      </w:r>
      <w:r>
        <w:rPr>
          <w:noProof/>
        </w:rPr>
        <w:tab/>
      </w:r>
      <w:r>
        <w:rPr>
          <w:noProof/>
        </w:rPr>
        <w:fldChar w:fldCharType="begin"/>
      </w:r>
      <w:r>
        <w:rPr>
          <w:noProof/>
        </w:rPr>
        <w:instrText xml:space="preserve"> PAGEREF _Toc207309677 \h </w:instrText>
      </w:r>
      <w:r>
        <w:rPr>
          <w:noProof/>
        </w:rPr>
      </w:r>
      <w:r>
        <w:rPr>
          <w:noProof/>
        </w:rPr>
        <w:fldChar w:fldCharType="separate"/>
      </w:r>
      <w:r>
        <w:rPr>
          <w:noProof/>
        </w:rPr>
        <w:t>124</w:t>
      </w:r>
      <w:r>
        <w:rPr>
          <w:noProof/>
        </w:rPr>
        <w:fldChar w:fldCharType="end"/>
      </w:r>
    </w:p>
    <w:p w14:paraId="74B7D81F" w14:textId="0B6AB9CF"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22.9</w:t>
      </w:r>
      <w:r>
        <w:rPr>
          <w:rFonts w:asciiTheme="minorHAnsi" w:eastAsiaTheme="minorEastAsia" w:hAnsiTheme="minorHAnsi" w:cstheme="minorBidi"/>
          <w:noProof/>
          <w:kern w:val="2"/>
          <w:sz w:val="24"/>
          <w:szCs w:val="24"/>
          <w:lang w:eastAsia="en-AU"/>
          <w14:ligatures w14:val="standardContextual"/>
        </w:rPr>
        <w:tab/>
      </w:r>
      <w:r>
        <w:rPr>
          <w:noProof/>
        </w:rPr>
        <w:t>Survival</w:t>
      </w:r>
      <w:r>
        <w:rPr>
          <w:noProof/>
        </w:rPr>
        <w:tab/>
      </w:r>
      <w:r>
        <w:rPr>
          <w:noProof/>
        </w:rPr>
        <w:fldChar w:fldCharType="begin"/>
      </w:r>
      <w:r>
        <w:rPr>
          <w:noProof/>
        </w:rPr>
        <w:instrText xml:space="preserve"> PAGEREF _Toc207309678 \h </w:instrText>
      </w:r>
      <w:r>
        <w:rPr>
          <w:noProof/>
        </w:rPr>
      </w:r>
      <w:r>
        <w:rPr>
          <w:noProof/>
        </w:rPr>
        <w:fldChar w:fldCharType="separate"/>
      </w:r>
      <w:r>
        <w:rPr>
          <w:noProof/>
        </w:rPr>
        <w:t>124</w:t>
      </w:r>
      <w:r>
        <w:rPr>
          <w:noProof/>
        </w:rPr>
        <w:fldChar w:fldCharType="end"/>
      </w:r>
    </w:p>
    <w:p w14:paraId="4BEB1380" w14:textId="3E712643" w:rsidR="00537D9A" w:rsidRDefault="00537D9A">
      <w:pPr>
        <w:pStyle w:val="TOC1"/>
        <w:rPr>
          <w:rFonts w:asciiTheme="minorHAnsi" w:eastAsiaTheme="minorEastAsia" w:hAnsiTheme="minorHAnsi" w:cstheme="minorBidi"/>
          <w:b w:val="0"/>
          <w:noProof/>
          <w:kern w:val="2"/>
          <w:sz w:val="24"/>
          <w:szCs w:val="24"/>
          <w:lang w:eastAsia="en-AU"/>
          <w14:ligatures w14:val="standardContextual"/>
        </w:rPr>
      </w:pPr>
      <w:r>
        <w:rPr>
          <w:noProof/>
        </w:rPr>
        <w:t>23</w:t>
      </w:r>
      <w:r>
        <w:rPr>
          <w:rFonts w:asciiTheme="minorHAnsi" w:eastAsiaTheme="minorEastAsia" w:hAnsiTheme="minorHAnsi" w:cstheme="minorBidi"/>
          <w:b w:val="0"/>
          <w:noProof/>
          <w:kern w:val="2"/>
          <w:sz w:val="24"/>
          <w:szCs w:val="24"/>
          <w:lang w:eastAsia="en-AU"/>
          <w14:ligatures w14:val="standardContextual"/>
        </w:rPr>
        <w:tab/>
      </w:r>
      <w:r>
        <w:rPr>
          <w:noProof/>
        </w:rPr>
        <w:t>Assignment and Change in Control</w:t>
      </w:r>
      <w:r>
        <w:rPr>
          <w:noProof/>
        </w:rPr>
        <w:tab/>
      </w:r>
      <w:r>
        <w:rPr>
          <w:noProof/>
        </w:rPr>
        <w:fldChar w:fldCharType="begin"/>
      </w:r>
      <w:r>
        <w:rPr>
          <w:noProof/>
        </w:rPr>
        <w:instrText xml:space="preserve"> PAGEREF _Toc207309679 \h </w:instrText>
      </w:r>
      <w:r>
        <w:rPr>
          <w:noProof/>
        </w:rPr>
      </w:r>
      <w:r>
        <w:rPr>
          <w:noProof/>
        </w:rPr>
        <w:fldChar w:fldCharType="separate"/>
      </w:r>
      <w:r>
        <w:rPr>
          <w:noProof/>
        </w:rPr>
        <w:t>124</w:t>
      </w:r>
      <w:r>
        <w:rPr>
          <w:noProof/>
        </w:rPr>
        <w:fldChar w:fldCharType="end"/>
      </w:r>
    </w:p>
    <w:p w14:paraId="1457E141" w14:textId="437A50DD"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23.1</w:t>
      </w:r>
      <w:r>
        <w:rPr>
          <w:rFonts w:asciiTheme="minorHAnsi" w:eastAsiaTheme="minorEastAsia" w:hAnsiTheme="minorHAnsi" w:cstheme="minorBidi"/>
          <w:noProof/>
          <w:kern w:val="2"/>
          <w:sz w:val="24"/>
          <w:szCs w:val="24"/>
          <w:lang w:eastAsia="en-AU"/>
          <w14:ligatures w14:val="standardContextual"/>
        </w:rPr>
        <w:tab/>
      </w:r>
      <w:r>
        <w:rPr>
          <w:noProof/>
        </w:rPr>
        <w:t>Assignment by Project Operator</w:t>
      </w:r>
      <w:r>
        <w:rPr>
          <w:noProof/>
        </w:rPr>
        <w:tab/>
      </w:r>
      <w:r>
        <w:rPr>
          <w:noProof/>
        </w:rPr>
        <w:fldChar w:fldCharType="begin"/>
      </w:r>
      <w:r>
        <w:rPr>
          <w:noProof/>
        </w:rPr>
        <w:instrText xml:space="preserve"> PAGEREF _Toc207309680 \h </w:instrText>
      </w:r>
      <w:r>
        <w:rPr>
          <w:noProof/>
        </w:rPr>
      </w:r>
      <w:r>
        <w:rPr>
          <w:noProof/>
        </w:rPr>
        <w:fldChar w:fldCharType="separate"/>
      </w:r>
      <w:r>
        <w:rPr>
          <w:noProof/>
        </w:rPr>
        <w:t>124</w:t>
      </w:r>
      <w:r>
        <w:rPr>
          <w:noProof/>
        </w:rPr>
        <w:fldChar w:fldCharType="end"/>
      </w:r>
    </w:p>
    <w:p w14:paraId="0A694698" w14:textId="463D3ED5"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23.2</w:t>
      </w:r>
      <w:r>
        <w:rPr>
          <w:rFonts w:asciiTheme="minorHAnsi" w:eastAsiaTheme="minorEastAsia" w:hAnsiTheme="minorHAnsi" w:cstheme="minorBidi"/>
          <w:noProof/>
          <w:kern w:val="2"/>
          <w:sz w:val="24"/>
          <w:szCs w:val="24"/>
          <w:lang w:eastAsia="en-AU"/>
          <w14:ligatures w14:val="standardContextual"/>
        </w:rPr>
        <w:tab/>
      </w:r>
      <w:r>
        <w:rPr>
          <w:noProof/>
        </w:rPr>
        <w:t>Assignment by the Commonwealth</w:t>
      </w:r>
      <w:r>
        <w:rPr>
          <w:noProof/>
        </w:rPr>
        <w:tab/>
      </w:r>
      <w:r>
        <w:rPr>
          <w:noProof/>
        </w:rPr>
        <w:fldChar w:fldCharType="begin"/>
      </w:r>
      <w:r>
        <w:rPr>
          <w:noProof/>
        </w:rPr>
        <w:instrText xml:space="preserve"> PAGEREF _Toc207309681 \h </w:instrText>
      </w:r>
      <w:r>
        <w:rPr>
          <w:noProof/>
        </w:rPr>
      </w:r>
      <w:r>
        <w:rPr>
          <w:noProof/>
        </w:rPr>
        <w:fldChar w:fldCharType="separate"/>
      </w:r>
      <w:r>
        <w:rPr>
          <w:noProof/>
        </w:rPr>
        <w:t>126</w:t>
      </w:r>
      <w:r>
        <w:rPr>
          <w:noProof/>
        </w:rPr>
        <w:fldChar w:fldCharType="end"/>
      </w:r>
    </w:p>
    <w:p w14:paraId="03C5EFBE" w14:textId="3C3F0E5D"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23.3</w:t>
      </w:r>
      <w:r>
        <w:rPr>
          <w:rFonts w:asciiTheme="minorHAnsi" w:eastAsiaTheme="minorEastAsia" w:hAnsiTheme="minorHAnsi" w:cstheme="minorBidi"/>
          <w:noProof/>
          <w:kern w:val="2"/>
          <w:sz w:val="24"/>
          <w:szCs w:val="24"/>
          <w:lang w:eastAsia="en-AU"/>
          <w14:ligatures w14:val="standardContextual"/>
        </w:rPr>
        <w:tab/>
      </w:r>
      <w:r>
        <w:rPr>
          <w:noProof/>
        </w:rPr>
        <w:t>Release</w:t>
      </w:r>
      <w:r>
        <w:rPr>
          <w:noProof/>
        </w:rPr>
        <w:tab/>
      </w:r>
      <w:r>
        <w:rPr>
          <w:noProof/>
        </w:rPr>
        <w:fldChar w:fldCharType="begin"/>
      </w:r>
      <w:r>
        <w:rPr>
          <w:noProof/>
        </w:rPr>
        <w:instrText xml:space="preserve"> PAGEREF _Toc207309682 \h </w:instrText>
      </w:r>
      <w:r>
        <w:rPr>
          <w:noProof/>
        </w:rPr>
      </w:r>
      <w:r>
        <w:rPr>
          <w:noProof/>
        </w:rPr>
        <w:fldChar w:fldCharType="separate"/>
      </w:r>
      <w:r>
        <w:rPr>
          <w:noProof/>
        </w:rPr>
        <w:t>126</w:t>
      </w:r>
      <w:r>
        <w:rPr>
          <w:noProof/>
        </w:rPr>
        <w:fldChar w:fldCharType="end"/>
      </w:r>
    </w:p>
    <w:p w14:paraId="5B8AFA2E" w14:textId="3ACD0BF4"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23.4</w:t>
      </w:r>
      <w:r>
        <w:rPr>
          <w:rFonts w:asciiTheme="minorHAnsi" w:eastAsiaTheme="minorEastAsia" w:hAnsiTheme="minorHAnsi" w:cstheme="minorBidi"/>
          <w:noProof/>
          <w:kern w:val="2"/>
          <w:sz w:val="24"/>
          <w:szCs w:val="24"/>
          <w:lang w:eastAsia="en-AU"/>
          <w14:ligatures w14:val="standardContextual"/>
        </w:rPr>
        <w:tab/>
      </w:r>
      <w:r>
        <w:rPr>
          <w:noProof/>
        </w:rPr>
        <w:t>Change in Control</w:t>
      </w:r>
      <w:r>
        <w:rPr>
          <w:noProof/>
        </w:rPr>
        <w:tab/>
      </w:r>
      <w:r>
        <w:rPr>
          <w:noProof/>
        </w:rPr>
        <w:fldChar w:fldCharType="begin"/>
      </w:r>
      <w:r>
        <w:rPr>
          <w:noProof/>
        </w:rPr>
        <w:instrText xml:space="preserve"> PAGEREF _Toc207309683 \h </w:instrText>
      </w:r>
      <w:r>
        <w:rPr>
          <w:noProof/>
        </w:rPr>
      </w:r>
      <w:r>
        <w:rPr>
          <w:noProof/>
        </w:rPr>
        <w:fldChar w:fldCharType="separate"/>
      </w:r>
      <w:r>
        <w:rPr>
          <w:noProof/>
        </w:rPr>
        <w:t>127</w:t>
      </w:r>
      <w:r>
        <w:rPr>
          <w:noProof/>
        </w:rPr>
        <w:fldChar w:fldCharType="end"/>
      </w:r>
    </w:p>
    <w:p w14:paraId="7DAC8C5A" w14:textId="10C37E30"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23.5</w:t>
      </w:r>
      <w:r>
        <w:rPr>
          <w:rFonts w:asciiTheme="minorHAnsi" w:eastAsiaTheme="minorEastAsia" w:hAnsiTheme="minorHAnsi" w:cstheme="minorBidi"/>
          <w:noProof/>
          <w:kern w:val="2"/>
          <w:sz w:val="24"/>
          <w:szCs w:val="24"/>
          <w:lang w:eastAsia="en-AU"/>
          <w14:ligatures w14:val="standardContextual"/>
        </w:rPr>
        <w:tab/>
      </w:r>
      <w:r>
        <w:rPr>
          <w:noProof/>
        </w:rPr>
        <w:t>Tripartite Deed</w:t>
      </w:r>
      <w:r>
        <w:rPr>
          <w:noProof/>
        </w:rPr>
        <w:tab/>
      </w:r>
      <w:r>
        <w:rPr>
          <w:noProof/>
        </w:rPr>
        <w:fldChar w:fldCharType="begin"/>
      </w:r>
      <w:r>
        <w:rPr>
          <w:noProof/>
        </w:rPr>
        <w:instrText xml:space="preserve"> PAGEREF _Toc207309684 \h </w:instrText>
      </w:r>
      <w:r>
        <w:rPr>
          <w:noProof/>
        </w:rPr>
      </w:r>
      <w:r>
        <w:rPr>
          <w:noProof/>
        </w:rPr>
        <w:fldChar w:fldCharType="separate"/>
      </w:r>
      <w:r>
        <w:rPr>
          <w:noProof/>
        </w:rPr>
        <w:t>127</w:t>
      </w:r>
      <w:r>
        <w:rPr>
          <w:noProof/>
        </w:rPr>
        <w:fldChar w:fldCharType="end"/>
      </w:r>
    </w:p>
    <w:p w14:paraId="5F914A23" w14:textId="684C3C12" w:rsidR="00537D9A" w:rsidRDefault="00537D9A">
      <w:pPr>
        <w:pStyle w:val="TOC1"/>
        <w:rPr>
          <w:rFonts w:asciiTheme="minorHAnsi" w:eastAsiaTheme="minorEastAsia" w:hAnsiTheme="minorHAnsi" w:cstheme="minorBidi"/>
          <w:b w:val="0"/>
          <w:noProof/>
          <w:kern w:val="2"/>
          <w:sz w:val="24"/>
          <w:szCs w:val="24"/>
          <w:lang w:eastAsia="en-AU"/>
          <w14:ligatures w14:val="standardContextual"/>
        </w:rPr>
      </w:pPr>
      <w:r>
        <w:rPr>
          <w:noProof/>
        </w:rPr>
        <w:t>24</w:t>
      </w:r>
      <w:r>
        <w:rPr>
          <w:rFonts w:asciiTheme="minorHAnsi" w:eastAsiaTheme="minorEastAsia" w:hAnsiTheme="minorHAnsi" w:cstheme="minorBidi"/>
          <w:b w:val="0"/>
          <w:noProof/>
          <w:kern w:val="2"/>
          <w:sz w:val="24"/>
          <w:szCs w:val="24"/>
          <w:lang w:eastAsia="en-AU"/>
          <w14:ligatures w14:val="standardContextual"/>
        </w:rPr>
        <w:tab/>
      </w:r>
      <w:r>
        <w:rPr>
          <w:noProof/>
        </w:rPr>
        <w:t>Liability</w:t>
      </w:r>
      <w:r>
        <w:rPr>
          <w:noProof/>
        </w:rPr>
        <w:tab/>
      </w:r>
      <w:r>
        <w:rPr>
          <w:noProof/>
        </w:rPr>
        <w:fldChar w:fldCharType="begin"/>
      </w:r>
      <w:r>
        <w:rPr>
          <w:noProof/>
        </w:rPr>
        <w:instrText xml:space="preserve"> PAGEREF _Toc207309685 \h </w:instrText>
      </w:r>
      <w:r>
        <w:rPr>
          <w:noProof/>
        </w:rPr>
      </w:r>
      <w:r>
        <w:rPr>
          <w:noProof/>
        </w:rPr>
        <w:fldChar w:fldCharType="separate"/>
      </w:r>
      <w:r>
        <w:rPr>
          <w:noProof/>
        </w:rPr>
        <w:t>127</w:t>
      </w:r>
      <w:r>
        <w:rPr>
          <w:noProof/>
        </w:rPr>
        <w:fldChar w:fldCharType="end"/>
      </w:r>
    </w:p>
    <w:p w14:paraId="63D5FADA" w14:textId="302BC1D7"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24.1</w:t>
      </w:r>
      <w:r>
        <w:rPr>
          <w:rFonts w:asciiTheme="minorHAnsi" w:eastAsiaTheme="minorEastAsia" w:hAnsiTheme="minorHAnsi" w:cstheme="minorBidi"/>
          <w:noProof/>
          <w:kern w:val="2"/>
          <w:sz w:val="24"/>
          <w:szCs w:val="24"/>
          <w:lang w:eastAsia="en-AU"/>
          <w14:ligatures w14:val="standardContextual"/>
        </w:rPr>
        <w:tab/>
      </w:r>
      <w:r>
        <w:rPr>
          <w:noProof/>
        </w:rPr>
        <w:t>Excluded Loss</w:t>
      </w:r>
      <w:r>
        <w:rPr>
          <w:noProof/>
        </w:rPr>
        <w:tab/>
      </w:r>
      <w:r>
        <w:rPr>
          <w:noProof/>
        </w:rPr>
        <w:fldChar w:fldCharType="begin"/>
      </w:r>
      <w:r>
        <w:rPr>
          <w:noProof/>
        </w:rPr>
        <w:instrText xml:space="preserve"> PAGEREF _Toc207309686 \h </w:instrText>
      </w:r>
      <w:r>
        <w:rPr>
          <w:noProof/>
        </w:rPr>
      </w:r>
      <w:r>
        <w:rPr>
          <w:noProof/>
        </w:rPr>
        <w:fldChar w:fldCharType="separate"/>
      </w:r>
      <w:r>
        <w:rPr>
          <w:noProof/>
        </w:rPr>
        <w:t>127</w:t>
      </w:r>
      <w:r>
        <w:rPr>
          <w:noProof/>
        </w:rPr>
        <w:fldChar w:fldCharType="end"/>
      </w:r>
    </w:p>
    <w:p w14:paraId="23056ABE" w14:textId="48D41842"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24.2</w:t>
      </w:r>
      <w:r>
        <w:rPr>
          <w:rFonts w:asciiTheme="minorHAnsi" w:eastAsiaTheme="minorEastAsia" w:hAnsiTheme="minorHAnsi" w:cstheme="minorBidi"/>
          <w:noProof/>
          <w:kern w:val="2"/>
          <w:sz w:val="24"/>
          <w:szCs w:val="24"/>
          <w:lang w:eastAsia="en-AU"/>
          <w14:ligatures w14:val="standardContextual"/>
        </w:rPr>
        <w:tab/>
      </w:r>
      <w:r>
        <w:rPr>
          <w:noProof/>
        </w:rPr>
        <w:t>Limitation of liability</w:t>
      </w:r>
      <w:r>
        <w:rPr>
          <w:noProof/>
        </w:rPr>
        <w:tab/>
      </w:r>
      <w:r>
        <w:rPr>
          <w:noProof/>
        </w:rPr>
        <w:fldChar w:fldCharType="begin"/>
      </w:r>
      <w:r>
        <w:rPr>
          <w:noProof/>
        </w:rPr>
        <w:instrText xml:space="preserve"> PAGEREF _Toc207309687 \h </w:instrText>
      </w:r>
      <w:r>
        <w:rPr>
          <w:noProof/>
        </w:rPr>
      </w:r>
      <w:r>
        <w:rPr>
          <w:noProof/>
        </w:rPr>
        <w:fldChar w:fldCharType="separate"/>
      </w:r>
      <w:r>
        <w:rPr>
          <w:noProof/>
        </w:rPr>
        <w:t>128</w:t>
      </w:r>
      <w:r>
        <w:rPr>
          <w:noProof/>
        </w:rPr>
        <w:fldChar w:fldCharType="end"/>
      </w:r>
    </w:p>
    <w:p w14:paraId="21DCC3EE" w14:textId="01B28276"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24.3</w:t>
      </w:r>
      <w:r>
        <w:rPr>
          <w:rFonts w:asciiTheme="minorHAnsi" w:eastAsiaTheme="minorEastAsia" w:hAnsiTheme="minorHAnsi" w:cstheme="minorBidi"/>
          <w:noProof/>
          <w:kern w:val="2"/>
          <w:sz w:val="24"/>
          <w:szCs w:val="24"/>
          <w:lang w:eastAsia="en-AU"/>
          <w14:ligatures w14:val="standardContextual"/>
        </w:rPr>
        <w:tab/>
      </w:r>
      <w:r>
        <w:rPr>
          <w:noProof/>
        </w:rPr>
        <w:t>No exclusion</w:t>
      </w:r>
      <w:r>
        <w:rPr>
          <w:noProof/>
        </w:rPr>
        <w:tab/>
      </w:r>
      <w:r>
        <w:rPr>
          <w:noProof/>
        </w:rPr>
        <w:fldChar w:fldCharType="begin"/>
      </w:r>
      <w:r>
        <w:rPr>
          <w:noProof/>
        </w:rPr>
        <w:instrText xml:space="preserve"> PAGEREF _Toc207309688 \h </w:instrText>
      </w:r>
      <w:r>
        <w:rPr>
          <w:noProof/>
        </w:rPr>
      </w:r>
      <w:r>
        <w:rPr>
          <w:noProof/>
        </w:rPr>
        <w:fldChar w:fldCharType="separate"/>
      </w:r>
      <w:r>
        <w:rPr>
          <w:noProof/>
        </w:rPr>
        <w:t>128</w:t>
      </w:r>
      <w:r>
        <w:rPr>
          <w:noProof/>
        </w:rPr>
        <w:fldChar w:fldCharType="end"/>
      </w:r>
    </w:p>
    <w:p w14:paraId="2D555130" w14:textId="12AF8638"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24.4</w:t>
      </w:r>
      <w:r>
        <w:rPr>
          <w:rFonts w:asciiTheme="minorHAnsi" w:eastAsiaTheme="minorEastAsia" w:hAnsiTheme="minorHAnsi" w:cstheme="minorBidi"/>
          <w:noProof/>
          <w:kern w:val="2"/>
          <w:sz w:val="24"/>
          <w:szCs w:val="24"/>
          <w:lang w:eastAsia="en-AU"/>
          <w14:ligatures w14:val="standardContextual"/>
        </w:rPr>
        <w:tab/>
      </w:r>
      <w:r>
        <w:rPr>
          <w:noProof/>
        </w:rPr>
        <w:t>Indemnity by Project Operator</w:t>
      </w:r>
      <w:r>
        <w:rPr>
          <w:noProof/>
        </w:rPr>
        <w:tab/>
      </w:r>
      <w:r>
        <w:rPr>
          <w:noProof/>
        </w:rPr>
        <w:fldChar w:fldCharType="begin"/>
      </w:r>
      <w:r>
        <w:rPr>
          <w:noProof/>
        </w:rPr>
        <w:instrText xml:space="preserve"> PAGEREF _Toc207309689 \h </w:instrText>
      </w:r>
      <w:r>
        <w:rPr>
          <w:noProof/>
        </w:rPr>
      </w:r>
      <w:r>
        <w:rPr>
          <w:noProof/>
        </w:rPr>
        <w:fldChar w:fldCharType="separate"/>
      </w:r>
      <w:r>
        <w:rPr>
          <w:noProof/>
        </w:rPr>
        <w:t>129</w:t>
      </w:r>
      <w:r>
        <w:rPr>
          <w:noProof/>
        </w:rPr>
        <w:fldChar w:fldCharType="end"/>
      </w:r>
    </w:p>
    <w:p w14:paraId="3D185C1B" w14:textId="4EFAFB17"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24.5</w:t>
      </w:r>
      <w:r>
        <w:rPr>
          <w:rFonts w:asciiTheme="minorHAnsi" w:eastAsiaTheme="minorEastAsia" w:hAnsiTheme="minorHAnsi" w:cstheme="minorBidi"/>
          <w:noProof/>
          <w:kern w:val="2"/>
          <w:sz w:val="24"/>
          <w:szCs w:val="24"/>
          <w:lang w:eastAsia="en-AU"/>
          <w14:ligatures w14:val="standardContextual"/>
        </w:rPr>
        <w:tab/>
      </w:r>
      <w:r>
        <w:rPr>
          <w:noProof/>
        </w:rPr>
        <w:t>Proportionate Liability</w:t>
      </w:r>
      <w:r>
        <w:rPr>
          <w:noProof/>
        </w:rPr>
        <w:tab/>
      </w:r>
      <w:r>
        <w:rPr>
          <w:noProof/>
        </w:rPr>
        <w:fldChar w:fldCharType="begin"/>
      </w:r>
      <w:r>
        <w:rPr>
          <w:noProof/>
        </w:rPr>
        <w:instrText xml:space="preserve"> PAGEREF _Toc207309690 \h </w:instrText>
      </w:r>
      <w:r>
        <w:rPr>
          <w:noProof/>
        </w:rPr>
      </w:r>
      <w:r>
        <w:rPr>
          <w:noProof/>
        </w:rPr>
        <w:fldChar w:fldCharType="separate"/>
      </w:r>
      <w:r>
        <w:rPr>
          <w:noProof/>
        </w:rPr>
        <w:t>129</w:t>
      </w:r>
      <w:r>
        <w:rPr>
          <w:noProof/>
        </w:rPr>
        <w:fldChar w:fldCharType="end"/>
      </w:r>
    </w:p>
    <w:p w14:paraId="6A923E17" w14:textId="6F35B85E" w:rsidR="00537D9A" w:rsidRDefault="00537D9A">
      <w:pPr>
        <w:pStyle w:val="TOC1"/>
        <w:rPr>
          <w:rFonts w:asciiTheme="minorHAnsi" w:eastAsiaTheme="minorEastAsia" w:hAnsiTheme="minorHAnsi" w:cstheme="minorBidi"/>
          <w:b w:val="0"/>
          <w:noProof/>
          <w:kern w:val="2"/>
          <w:sz w:val="24"/>
          <w:szCs w:val="24"/>
          <w:lang w:eastAsia="en-AU"/>
          <w14:ligatures w14:val="standardContextual"/>
        </w:rPr>
      </w:pPr>
      <w:r>
        <w:rPr>
          <w:noProof/>
        </w:rPr>
        <w:t>25</w:t>
      </w:r>
      <w:r>
        <w:rPr>
          <w:rFonts w:asciiTheme="minorHAnsi" w:eastAsiaTheme="minorEastAsia" w:hAnsiTheme="minorHAnsi" w:cstheme="minorBidi"/>
          <w:b w:val="0"/>
          <w:noProof/>
          <w:kern w:val="2"/>
          <w:sz w:val="24"/>
          <w:szCs w:val="24"/>
          <w:lang w:eastAsia="en-AU"/>
          <w14:ligatures w14:val="standardContextual"/>
        </w:rPr>
        <w:tab/>
      </w:r>
      <w:r>
        <w:rPr>
          <w:noProof/>
        </w:rPr>
        <w:t>Representations and warranties</w:t>
      </w:r>
      <w:r>
        <w:rPr>
          <w:noProof/>
        </w:rPr>
        <w:tab/>
      </w:r>
      <w:r>
        <w:rPr>
          <w:noProof/>
        </w:rPr>
        <w:fldChar w:fldCharType="begin"/>
      </w:r>
      <w:r>
        <w:rPr>
          <w:noProof/>
        </w:rPr>
        <w:instrText xml:space="preserve"> PAGEREF _Toc207309691 \h </w:instrText>
      </w:r>
      <w:r>
        <w:rPr>
          <w:noProof/>
        </w:rPr>
      </w:r>
      <w:r>
        <w:rPr>
          <w:noProof/>
        </w:rPr>
        <w:fldChar w:fldCharType="separate"/>
      </w:r>
      <w:r>
        <w:rPr>
          <w:noProof/>
        </w:rPr>
        <w:t>130</w:t>
      </w:r>
      <w:r>
        <w:rPr>
          <w:noProof/>
        </w:rPr>
        <w:fldChar w:fldCharType="end"/>
      </w:r>
    </w:p>
    <w:p w14:paraId="0764E0BC" w14:textId="39075DCA"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25.1</w:t>
      </w:r>
      <w:r>
        <w:rPr>
          <w:rFonts w:asciiTheme="minorHAnsi" w:eastAsiaTheme="minorEastAsia" w:hAnsiTheme="minorHAnsi" w:cstheme="minorBidi"/>
          <w:noProof/>
          <w:kern w:val="2"/>
          <w:sz w:val="24"/>
          <w:szCs w:val="24"/>
          <w:lang w:eastAsia="en-AU"/>
          <w14:ligatures w14:val="standardContextual"/>
        </w:rPr>
        <w:tab/>
      </w:r>
      <w:r>
        <w:rPr>
          <w:noProof/>
        </w:rPr>
        <w:t>General representations and warranties</w:t>
      </w:r>
      <w:r>
        <w:rPr>
          <w:noProof/>
        </w:rPr>
        <w:tab/>
      </w:r>
      <w:r>
        <w:rPr>
          <w:noProof/>
        </w:rPr>
        <w:fldChar w:fldCharType="begin"/>
      </w:r>
      <w:r>
        <w:rPr>
          <w:noProof/>
        </w:rPr>
        <w:instrText xml:space="preserve"> PAGEREF _Toc207309692 \h </w:instrText>
      </w:r>
      <w:r>
        <w:rPr>
          <w:noProof/>
        </w:rPr>
      </w:r>
      <w:r>
        <w:rPr>
          <w:noProof/>
        </w:rPr>
        <w:fldChar w:fldCharType="separate"/>
      </w:r>
      <w:r>
        <w:rPr>
          <w:noProof/>
        </w:rPr>
        <w:t>130</w:t>
      </w:r>
      <w:r>
        <w:rPr>
          <w:noProof/>
        </w:rPr>
        <w:fldChar w:fldCharType="end"/>
      </w:r>
    </w:p>
    <w:p w14:paraId="440E40BF" w14:textId="7B181560"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25.2</w:t>
      </w:r>
      <w:r>
        <w:rPr>
          <w:rFonts w:asciiTheme="minorHAnsi" w:eastAsiaTheme="minorEastAsia" w:hAnsiTheme="minorHAnsi" w:cstheme="minorBidi"/>
          <w:noProof/>
          <w:kern w:val="2"/>
          <w:sz w:val="24"/>
          <w:szCs w:val="24"/>
          <w:lang w:eastAsia="en-AU"/>
          <w14:ligatures w14:val="standardContextual"/>
        </w:rPr>
        <w:tab/>
      </w:r>
      <w:r>
        <w:rPr>
          <w:noProof/>
        </w:rPr>
        <w:t>Project Operator representations and warranties</w:t>
      </w:r>
      <w:r>
        <w:rPr>
          <w:noProof/>
        </w:rPr>
        <w:tab/>
      </w:r>
      <w:r>
        <w:rPr>
          <w:noProof/>
        </w:rPr>
        <w:fldChar w:fldCharType="begin"/>
      </w:r>
      <w:r>
        <w:rPr>
          <w:noProof/>
        </w:rPr>
        <w:instrText xml:space="preserve"> PAGEREF _Toc207309693 \h </w:instrText>
      </w:r>
      <w:r>
        <w:rPr>
          <w:noProof/>
        </w:rPr>
      </w:r>
      <w:r>
        <w:rPr>
          <w:noProof/>
        </w:rPr>
        <w:fldChar w:fldCharType="separate"/>
      </w:r>
      <w:r>
        <w:rPr>
          <w:noProof/>
        </w:rPr>
        <w:t>130</w:t>
      </w:r>
      <w:r>
        <w:rPr>
          <w:noProof/>
        </w:rPr>
        <w:fldChar w:fldCharType="end"/>
      </w:r>
    </w:p>
    <w:p w14:paraId="71D6BEEB" w14:textId="1A66A450"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25.3</w:t>
      </w:r>
      <w:r>
        <w:rPr>
          <w:rFonts w:asciiTheme="minorHAnsi" w:eastAsiaTheme="minorEastAsia" w:hAnsiTheme="minorHAnsi" w:cstheme="minorBidi"/>
          <w:noProof/>
          <w:kern w:val="2"/>
          <w:sz w:val="24"/>
          <w:szCs w:val="24"/>
          <w:lang w:eastAsia="en-AU"/>
          <w14:ligatures w14:val="standardContextual"/>
        </w:rPr>
        <w:tab/>
      </w:r>
      <w:r>
        <w:rPr>
          <w:noProof/>
        </w:rPr>
        <w:t>Anti-bribery and anti-corruption</w:t>
      </w:r>
      <w:r>
        <w:rPr>
          <w:noProof/>
        </w:rPr>
        <w:tab/>
      </w:r>
      <w:r>
        <w:rPr>
          <w:noProof/>
        </w:rPr>
        <w:fldChar w:fldCharType="begin"/>
      </w:r>
      <w:r>
        <w:rPr>
          <w:noProof/>
        </w:rPr>
        <w:instrText xml:space="preserve"> PAGEREF _Toc207309694 \h </w:instrText>
      </w:r>
      <w:r>
        <w:rPr>
          <w:noProof/>
        </w:rPr>
      </w:r>
      <w:r>
        <w:rPr>
          <w:noProof/>
        </w:rPr>
        <w:fldChar w:fldCharType="separate"/>
      </w:r>
      <w:r>
        <w:rPr>
          <w:noProof/>
        </w:rPr>
        <w:t>132</w:t>
      </w:r>
      <w:r>
        <w:rPr>
          <w:noProof/>
        </w:rPr>
        <w:fldChar w:fldCharType="end"/>
      </w:r>
    </w:p>
    <w:p w14:paraId="56672DEA" w14:textId="7BD888CF"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25.4</w:t>
      </w:r>
      <w:r>
        <w:rPr>
          <w:rFonts w:asciiTheme="minorHAnsi" w:eastAsiaTheme="minorEastAsia" w:hAnsiTheme="minorHAnsi" w:cstheme="minorBidi"/>
          <w:noProof/>
          <w:kern w:val="2"/>
          <w:sz w:val="24"/>
          <w:szCs w:val="24"/>
          <w:lang w:eastAsia="en-AU"/>
          <w14:ligatures w14:val="standardContextual"/>
        </w:rPr>
        <w:tab/>
      </w:r>
      <w:r>
        <w:rPr>
          <w:noProof/>
        </w:rPr>
        <w:t>Tender representations and warranties from Project Operator</w:t>
      </w:r>
      <w:r>
        <w:rPr>
          <w:noProof/>
        </w:rPr>
        <w:tab/>
      </w:r>
      <w:r>
        <w:rPr>
          <w:noProof/>
        </w:rPr>
        <w:fldChar w:fldCharType="begin"/>
      </w:r>
      <w:r>
        <w:rPr>
          <w:noProof/>
        </w:rPr>
        <w:instrText xml:space="preserve"> PAGEREF _Toc207309695 \h </w:instrText>
      </w:r>
      <w:r>
        <w:rPr>
          <w:noProof/>
        </w:rPr>
      </w:r>
      <w:r>
        <w:rPr>
          <w:noProof/>
        </w:rPr>
        <w:fldChar w:fldCharType="separate"/>
      </w:r>
      <w:r>
        <w:rPr>
          <w:noProof/>
        </w:rPr>
        <w:t>132</w:t>
      </w:r>
      <w:r>
        <w:rPr>
          <w:noProof/>
        </w:rPr>
        <w:fldChar w:fldCharType="end"/>
      </w:r>
    </w:p>
    <w:p w14:paraId="4F593D41" w14:textId="1373E37B"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25.5</w:t>
      </w:r>
      <w:r>
        <w:rPr>
          <w:rFonts w:asciiTheme="minorHAnsi" w:eastAsiaTheme="minorEastAsia" w:hAnsiTheme="minorHAnsi" w:cstheme="minorBidi"/>
          <w:noProof/>
          <w:kern w:val="2"/>
          <w:sz w:val="24"/>
          <w:szCs w:val="24"/>
          <w:lang w:eastAsia="en-AU"/>
          <w14:ligatures w14:val="standardContextual"/>
        </w:rPr>
        <w:tab/>
      </w:r>
      <w:r>
        <w:rPr>
          <w:noProof/>
        </w:rPr>
        <w:t>Repetition</w:t>
      </w:r>
      <w:r>
        <w:rPr>
          <w:noProof/>
        </w:rPr>
        <w:tab/>
      </w:r>
      <w:r>
        <w:rPr>
          <w:noProof/>
        </w:rPr>
        <w:fldChar w:fldCharType="begin"/>
      </w:r>
      <w:r>
        <w:rPr>
          <w:noProof/>
        </w:rPr>
        <w:instrText xml:space="preserve"> PAGEREF _Toc207309696 \h </w:instrText>
      </w:r>
      <w:r>
        <w:rPr>
          <w:noProof/>
        </w:rPr>
      </w:r>
      <w:r>
        <w:rPr>
          <w:noProof/>
        </w:rPr>
        <w:fldChar w:fldCharType="separate"/>
      </w:r>
      <w:r>
        <w:rPr>
          <w:noProof/>
        </w:rPr>
        <w:t>132</w:t>
      </w:r>
      <w:r>
        <w:rPr>
          <w:noProof/>
        </w:rPr>
        <w:fldChar w:fldCharType="end"/>
      </w:r>
    </w:p>
    <w:p w14:paraId="2D8FB8E3" w14:textId="4575B1E7"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25.6</w:t>
      </w:r>
      <w:r>
        <w:rPr>
          <w:rFonts w:asciiTheme="minorHAnsi" w:eastAsiaTheme="minorEastAsia" w:hAnsiTheme="minorHAnsi" w:cstheme="minorBidi"/>
          <w:noProof/>
          <w:kern w:val="2"/>
          <w:sz w:val="24"/>
          <w:szCs w:val="24"/>
          <w:lang w:eastAsia="en-AU"/>
          <w14:ligatures w14:val="standardContextual"/>
        </w:rPr>
        <w:tab/>
      </w:r>
      <w:r>
        <w:rPr>
          <w:noProof/>
        </w:rPr>
        <w:t>No reliance</w:t>
      </w:r>
      <w:r>
        <w:rPr>
          <w:noProof/>
        </w:rPr>
        <w:tab/>
      </w:r>
      <w:r>
        <w:rPr>
          <w:noProof/>
        </w:rPr>
        <w:fldChar w:fldCharType="begin"/>
      </w:r>
      <w:r>
        <w:rPr>
          <w:noProof/>
        </w:rPr>
        <w:instrText xml:space="preserve"> PAGEREF _Toc207309697 \h </w:instrText>
      </w:r>
      <w:r>
        <w:rPr>
          <w:noProof/>
        </w:rPr>
      </w:r>
      <w:r>
        <w:rPr>
          <w:noProof/>
        </w:rPr>
        <w:fldChar w:fldCharType="separate"/>
      </w:r>
      <w:r>
        <w:rPr>
          <w:noProof/>
        </w:rPr>
        <w:t>132</w:t>
      </w:r>
      <w:r>
        <w:rPr>
          <w:noProof/>
        </w:rPr>
        <w:fldChar w:fldCharType="end"/>
      </w:r>
    </w:p>
    <w:p w14:paraId="7DB4A0DF" w14:textId="0499E778" w:rsidR="00537D9A" w:rsidRDefault="00537D9A">
      <w:pPr>
        <w:pStyle w:val="TOC1"/>
        <w:rPr>
          <w:rFonts w:asciiTheme="minorHAnsi" w:eastAsiaTheme="minorEastAsia" w:hAnsiTheme="minorHAnsi" w:cstheme="minorBidi"/>
          <w:b w:val="0"/>
          <w:noProof/>
          <w:kern w:val="2"/>
          <w:sz w:val="24"/>
          <w:szCs w:val="24"/>
          <w:lang w:eastAsia="en-AU"/>
          <w14:ligatures w14:val="standardContextual"/>
        </w:rPr>
      </w:pPr>
      <w:r>
        <w:rPr>
          <w:noProof/>
        </w:rPr>
        <w:t>26</w:t>
      </w:r>
      <w:r>
        <w:rPr>
          <w:rFonts w:asciiTheme="minorHAnsi" w:eastAsiaTheme="minorEastAsia" w:hAnsiTheme="minorHAnsi" w:cstheme="minorBidi"/>
          <w:b w:val="0"/>
          <w:noProof/>
          <w:kern w:val="2"/>
          <w:sz w:val="24"/>
          <w:szCs w:val="24"/>
          <w:lang w:eastAsia="en-AU"/>
          <w14:ligatures w14:val="standardContextual"/>
        </w:rPr>
        <w:tab/>
      </w:r>
      <w:r>
        <w:rPr>
          <w:noProof/>
        </w:rPr>
        <w:t>[Trustee provisions</w:t>
      </w:r>
      <w:r>
        <w:rPr>
          <w:noProof/>
        </w:rPr>
        <w:tab/>
      </w:r>
      <w:r>
        <w:rPr>
          <w:noProof/>
        </w:rPr>
        <w:fldChar w:fldCharType="begin"/>
      </w:r>
      <w:r>
        <w:rPr>
          <w:noProof/>
        </w:rPr>
        <w:instrText xml:space="preserve"> PAGEREF _Toc207309698 \h </w:instrText>
      </w:r>
      <w:r>
        <w:rPr>
          <w:noProof/>
        </w:rPr>
      </w:r>
      <w:r>
        <w:rPr>
          <w:noProof/>
        </w:rPr>
        <w:fldChar w:fldCharType="separate"/>
      </w:r>
      <w:r>
        <w:rPr>
          <w:noProof/>
        </w:rPr>
        <w:t>132</w:t>
      </w:r>
      <w:r>
        <w:rPr>
          <w:noProof/>
        </w:rPr>
        <w:fldChar w:fldCharType="end"/>
      </w:r>
    </w:p>
    <w:p w14:paraId="158C84FF" w14:textId="19510D8C"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26.1</w:t>
      </w:r>
      <w:r>
        <w:rPr>
          <w:rFonts w:asciiTheme="minorHAnsi" w:eastAsiaTheme="minorEastAsia" w:hAnsiTheme="minorHAnsi" w:cstheme="minorBidi"/>
          <w:noProof/>
          <w:kern w:val="2"/>
          <w:sz w:val="24"/>
          <w:szCs w:val="24"/>
          <w:lang w:eastAsia="en-AU"/>
          <w14:ligatures w14:val="standardContextual"/>
        </w:rPr>
        <w:tab/>
      </w:r>
      <w:r>
        <w:rPr>
          <w:noProof/>
        </w:rPr>
        <w:t>Trustee representations and warranties</w:t>
      </w:r>
      <w:r>
        <w:rPr>
          <w:noProof/>
        </w:rPr>
        <w:tab/>
      </w:r>
      <w:r>
        <w:rPr>
          <w:noProof/>
        </w:rPr>
        <w:fldChar w:fldCharType="begin"/>
      </w:r>
      <w:r>
        <w:rPr>
          <w:noProof/>
        </w:rPr>
        <w:instrText xml:space="preserve"> PAGEREF _Toc207309699 \h </w:instrText>
      </w:r>
      <w:r>
        <w:rPr>
          <w:noProof/>
        </w:rPr>
      </w:r>
      <w:r>
        <w:rPr>
          <w:noProof/>
        </w:rPr>
        <w:fldChar w:fldCharType="separate"/>
      </w:r>
      <w:r>
        <w:rPr>
          <w:noProof/>
        </w:rPr>
        <w:t>132</w:t>
      </w:r>
      <w:r>
        <w:rPr>
          <w:noProof/>
        </w:rPr>
        <w:fldChar w:fldCharType="end"/>
      </w:r>
    </w:p>
    <w:p w14:paraId="4AD6F963" w14:textId="64F24B89"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sidRPr="007F6767">
        <w:rPr>
          <w:rFonts w:eastAsia="Arial Unicode MS"/>
          <w:noProof/>
          <w:lang w:eastAsia="en-AU"/>
        </w:rPr>
        <w:t>26.2</w:t>
      </w:r>
      <w:r>
        <w:rPr>
          <w:rFonts w:asciiTheme="minorHAnsi" w:eastAsiaTheme="minorEastAsia" w:hAnsiTheme="minorHAnsi" w:cstheme="minorBidi"/>
          <w:noProof/>
          <w:kern w:val="2"/>
          <w:sz w:val="24"/>
          <w:szCs w:val="24"/>
          <w:lang w:eastAsia="en-AU"/>
          <w14:ligatures w14:val="standardContextual"/>
        </w:rPr>
        <w:tab/>
      </w:r>
      <w:r w:rsidRPr="007F6767">
        <w:rPr>
          <w:rFonts w:eastAsia="Arial Unicode MS"/>
          <w:noProof/>
          <w:lang w:eastAsia="en-AU"/>
        </w:rPr>
        <w:t>Trustee undertakings</w:t>
      </w:r>
      <w:r>
        <w:rPr>
          <w:noProof/>
        </w:rPr>
        <w:tab/>
      </w:r>
      <w:r>
        <w:rPr>
          <w:noProof/>
        </w:rPr>
        <w:fldChar w:fldCharType="begin"/>
      </w:r>
      <w:r>
        <w:rPr>
          <w:noProof/>
        </w:rPr>
        <w:instrText xml:space="preserve"> PAGEREF _Toc207309700 \h </w:instrText>
      </w:r>
      <w:r>
        <w:rPr>
          <w:noProof/>
        </w:rPr>
      </w:r>
      <w:r>
        <w:rPr>
          <w:noProof/>
        </w:rPr>
        <w:fldChar w:fldCharType="separate"/>
      </w:r>
      <w:r>
        <w:rPr>
          <w:noProof/>
        </w:rPr>
        <w:t>133</w:t>
      </w:r>
      <w:r>
        <w:rPr>
          <w:noProof/>
        </w:rPr>
        <w:fldChar w:fldCharType="end"/>
      </w:r>
    </w:p>
    <w:p w14:paraId="342A2122" w14:textId="060C5267"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26.3</w:t>
      </w:r>
      <w:r>
        <w:rPr>
          <w:rFonts w:asciiTheme="minorHAnsi" w:eastAsiaTheme="minorEastAsia" w:hAnsiTheme="minorHAnsi" w:cstheme="minorBidi"/>
          <w:noProof/>
          <w:kern w:val="2"/>
          <w:sz w:val="24"/>
          <w:szCs w:val="24"/>
          <w:lang w:eastAsia="en-AU"/>
          <w14:ligatures w14:val="standardContextual"/>
        </w:rPr>
        <w:tab/>
      </w:r>
      <w:r>
        <w:rPr>
          <w:noProof/>
        </w:rPr>
        <w:t>Restrictions on trustee</w:t>
      </w:r>
      <w:r>
        <w:rPr>
          <w:noProof/>
        </w:rPr>
        <w:tab/>
      </w:r>
      <w:r>
        <w:rPr>
          <w:noProof/>
        </w:rPr>
        <w:fldChar w:fldCharType="begin"/>
      </w:r>
      <w:r>
        <w:rPr>
          <w:noProof/>
        </w:rPr>
        <w:instrText xml:space="preserve"> PAGEREF _Toc207309701 \h </w:instrText>
      </w:r>
      <w:r>
        <w:rPr>
          <w:noProof/>
        </w:rPr>
      </w:r>
      <w:r>
        <w:rPr>
          <w:noProof/>
        </w:rPr>
        <w:fldChar w:fldCharType="separate"/>
      </w:r>
      <w:r>
        <w:rPr>
          <w:noProof/>
        </w:rPr>
        <w:t>133</w:t>
      </w:r>
      <w:r>
        <w:rPr>
          <w:noProof/>
        </w:rPr>
        <w:fldChar w:fldCharType="end"/>
      </w:r>
    </w:p>
    <w:p w14:paraId="4F45EAD8" w14:textId="2A47A0BB"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26.4</w:t>
      </w:r>
      <w:r>
        <w:rPr>
          <w:rFonts w:asciiTheme="minorHAnsi" w:eastAsiaTheme="minorEastAsia" w:hAnsiTheme="minorHAnsi" w:cstheme="minorBidi"/>
          <w:noProof/>
          <w:kern w:val="2"/>
          <w:sz w:val="24"/>
          <w:szCs w:val="24"/>
          <w:lang w:eastAsia="en-AU"/>
          <w14:ligatures w14:val="standardContextual"/>
        </w:rPr>
        <w:tab/>
      </w:r>
      <w:r>
        <w:rPr>
          <w:noProof/>
        </w:rPr>
        <w:t>Trustee limitation of liability</w:t>
      </w:r>
      <w:r>
        <w:rPr>
          <w:noProof/>
        </w:rPr>
        <w:tab/>
      </w:r>
      <w:r>
        <w:rPr>
          <w:noProof/>
        </w:rPr>
        <w:fldChar w:fldCharType="begin"/>
      </w:r>
      <w:r>
        <w:rPr>
          <w:noProof/>
        </w:rPr>
        <w:instrText xml:space="preserve"> PAGEREF _Toc207309702 \h </w:instrText>
      </w:r>
      <w:r>
        <w:rPr>
          <w:noProof/>
        </w:rPr>
      </w:r>
      <w:r>
        <w:rPr>
          <w:noProof/>
        </w:rPr>
        <w:fldChar w:fldCharType="separate"/>
      </w:r>
      <w:r>
        <w:rPr>
          <w:noProof/>
        </w:rPr>
        <w:t>134</w:t>
      </w:r>
      <w:r>
        <w:rPr>
          <w:noProof/>
        </w:rPr>
        <w:fldChar w:fldCharType="end"/>
      </w:r>
    </w:p>
    <w:p w14:paraId="484F43F9" w14:textId="7D3DC350" w:rsidR="00537D9A" w:rsidRDefault="00537D9A">
      <w:pPr>
        <w:pStyle w:val="TOC1"/>
        <w:rPr>
          <w:rFonts w:asciiTheme="minorHAnsi" w:eastAsiaTheme="minorEastAsia" w:hAnsiTheme="minorHAnsi" w:cstheme="minorBidi"/>
          <w:b w:val="0"/>
          <w:noProof/>
          <w:kern w:val="2"/>
          <w:sz w:val="24"/>
          <w:szCs w:val="24"/>
          <w:lang w:eastAsia="en-AU"/>
          <w14:ligatures w14:val="standardContextual"/>
        </w:rPr>
      </w:pPr>
      <w:r>
        <w:rPr>
          <w:noProof/>
        </w:rPr>
        <w:t>27</w:t>
      </w:r>
      <w:r>
        <w:rPr>
          <w:rFonts w:asciiTheme="minorHAnsi" w:eastAsiaTheme="minorEastAsia" w:hAnsiTheme="minorHAnsi" w:cstheme="minorBidi"/>
          <w:b w:val="0"/>
          <w:noProof/>
          <w:kern w:val="2"/>
          <w:sz w:val="24"/>
          <w:szCs w:val="24"/>
          <w:lang w:eastAsia="en-AU"/>
          <w14:ligatures w14:val="standardContextual"/>
        </w:rPr>
        <w:tab/>
      </w:r>
      <w:r>
        <w:rPr>
          <w:noProof/>
        </w:rPr>
        <w:t>Dispute Resolution</w:t>
      </w:r>
      <w:r>
        <w:rPr>
          <w:noProof/>
        </w:rPr>
        <w:tab/>
      </w:r>
      <w:r>
        <w:rPr>
          <w:noProof/>
        </w:rPr>
        <w:fldChar w:fldCharType="begin"/>
      </w:r>
      <w:r>
        <w:rPr>
          <w:noProof/>
        </w:rPr>
        <w:instrText xml:space="preserve"> PAGEREF _Toc207309703 \h </w:instrText>
      </w:r>
      <w:r>
        <w:rPr>
          <w:noProof/>
        </w:rPr>
      </w:r>
      <w:r>
        <w:rPr>
          <w:noProof/>
        </w:rPr>
        <w:fldChar w:fldCharType="separate"/>
      </w:r>
      <w:r>
        <w:rPr>
          <w:noProof/>
        </w:rPr>
        <w:t>134</w:t>
      </w:r>
      <w:r>
        <w:rPr>
          <w:noProof/>
        </w:rPr>
        <w:fldChar w:fldCharType="end"/>
      </w:r>
    </w:p>
    <w:p w14:paraId="23EF89B1" w14:textId="15955636"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27.1</w:t>
      </w:r>
      <w:r>
        <w:rPr>
          <w:rFonts w:asciiTheme="minorHAnsi" w:eastAsiaTheme="minorEastAsia" w:hAnsiTheme="minorHAnsi" w:cstheme="minorBidi"/>
          <w:noProof/>
          <w:kern w:val="2"/>
          <w:sz w:val="24"/>
          <w:szCs w:val="24"/>
          <w:lang w:eastAsia="en-AU"/>
          <w14:ligatures w14:val="standardContextual"/>
        </w:rPr>
        <w:tab/>
      </w:r>
      <w:r>
        <w:rPr>
          <w:noProof/>
        </w:rPr>
        <w:t>Dispute mechanism</w:t>
      </w:r>
      <w:r>
        <w:rPr>
          <w:noProof/>
        </w:rPr>
        <w:tab/>
      </w:r>
      <w:r>
        <w:rPr>
          <w:noProof/>
        </w:rPr>
        <w:fldChar w:fldCharType="begin"/>
      </w:r>
      <w:r>
        <w:rPr>
          <w:noProof/>
        </w:rPr>
        <w:instrText xml:space="preserve"> PAGEREF _Toc207309704 \h </w:instrText>
      </w:r>
      <w:r>
        <w:rPr>
          <w:noProof/>
        </w:rPr>
      </w:r>
      <w:r>
        <w:rPr>
          <w:noProof/>
        </w:rPr>
        <w:fldChar w:fldCharType="separate"/>
      </w:r>
      <w:r>
        <w:rPr>
          <w:noProof/>
        </w:rPr>
        <w:t>134</w:t>
      </w:r>
      <w:r>
        <w:rPr>
          <w:noProof/>
        </w:rPr>
        <w:fldChar w:fldCharType="end"/>
      </w:r>
    </w:p>
    <w:p w14:paraId="378203CC" w14:textId="67B7AA46"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27.2</w:t>
      </w:r>
      <w:r>
        <w:rPr>
          <w:rFonts w:asciiTheme="minorHAnsi" w:eastAsiaTheme="minorEastAsia" w:hAnsiTheme="minorHAnsi" w:cstheme="minorBidi"/>
          <w:noProof/>
          <w:kern w:val="2"/>
          <w:sz w:val="24"/>
          <w:szCs w:val="24"/>
          <w:lang w:eastAsia="en-AU"/>
          <w14:ligatures w14:val="standardContextual"/>
        </w:rPr>
        <w:tab/>
      </w:r>
      <w:r>
        <w:rPr>
          <w:noProof/>
        </w:rPr>
        <w:t>No proceedings</w:t>
      </w:r>
      <w:r>
        <w:rPr>
          <w:noProof/>
        </w:rPr>
        <w:tab/>
      </w:r>
      <w:r>
        <w:rPr>
          <w:noProof/>
        </w:rPr>
        <w:fldChar w:fldCharType="begin"/>
      </w:r>
      <w:r>
        <w:rPr>
          <w:noProof/>
        </w:rPr>
        <w:instrText xml:space="preserve"> PAGEREF _Toc207309705 \h </w:instrText>
      </w:r>
      <w:r>
        <w:rPr>
          <w:noProof/>
        </w:rPr>
      </w:r>
      <w:r>
        <w:rPr>
          <w:noProof/>
        </w:rPr>
        <w:fldChar w:fldCharType="separate"/>
      </w:r>
      <w:r>
        <w:rPr>
          <w:noProof/>
        </w:rPr>
        <w:t>134</w:t>
      </w:r>
      <w:r>
        <w:rPr>
          <w:noProof/>
        </w:rPr>
        <w:fldChar w:fldCharType="end"/>
      </w:r>
    </w:p>
    <w:p w14:paraId="11D8814E" w14:textId="481B1343"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27.3</w:t>
      </w:r>
      <w:r>
        <w:rPr>
          <w:rFonts w:asciiTheme="minorHAnsi" w:eastAsiaTheme="minorEastAsia" w:hAnsiTheme="minorHAnsi" w:cstheme="minorBidi"/>
          <w:noProof/>
          <w:kern w:val="2"/>
          <w:sz w:val="24"/>
          <w:szCs w:val="24"/>
          <w:lang w:eastAsia="en-AU"/>
          <w14:ligatures w14:val="standardContextual"/>
        </w:rPr>
        <w:tab/>
      </w:r>
      <w:r>
        <w:rPr>
          <w:noProof/>
        </w:rPr>
        <w:t>Disputes</w:t>
      </w:r>
      <w:r>
        <w:rPr>
          <w:noProof/>
        </w:rPr>
        <w:tab/>
      </w:r>
      <w:r>
        <w:rPr>
          <w:noProof/>
        </w:rPr>
        <w:fldChar w:fldCharType="begin"/>
      </w:r>
      <w:r>
        <w:rPr>
          <w:noProof/>
        </w:rPr>
        <w:instrText xml:space="preserve"> PAGEREF _Toc207309706 \h </w:instrText>
      </w:r>
      <w:r>
        <w:rPr>
          <w:noProof/>
        </w:rPr>
      </w:r>
      <w:r>
        <w:rPr>
          <w:noProof/>
        </w:rPr>
        <w:fldChar w:fldCharType="separate"/>
      </w:r>
      <w:r>
        <w:rPr>
          <w:noProof/>
        </w:rPr>
        <w:t>134</w:t>
      </w:r>
      <w:r>
        <w:rPr>
          <w:noProof/>
        </w:rPr>
        <w:fldChar w:fldCharType="end"/>
      </w:r>
    </w:p>
    <w:p w14:paraId="39E538CC" w14:textId="212C0260"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27.4</w:t>
      </w:r>
      <w:r>
        <w:rPr>
          <w:rFonts w:asciiTheme="minorHAnsi" w:eastAsiaTheme="minorEastAsia" w:hAnsiTheme="minorHAnsi" w:cstheme="minorBidi"/>
          <w:noProof/>
          <w:kern w:val="2"/>
          <w:sz w:val="24"/>
          <w:szCs w:val="24"/>
          <w:lang w:eastAsia="en-AU"/>
          <w14:ligatures w14:val="standardContextual"/>
        </w:rPr>
        <w:tab/>
      </w:r>
      <w:r>
        <w:rPr>
          <w:noProof/>
        </w:rPr>
        <w:t>Procedure to resolve Disputes</w:t>
      </w:r>
      <w:r>
        <w:rPr>
          <w:noProof/>
        </w:rPr>
        <w:tab/>
      </w:r>
      <w:r>
        <w:rPr>
          <w:noProof/>
        </w:rPr>
        <w:fldChar w:fldCharType="begin"/>
      </w:r>
      <w:r>
        <w:rPr>
          <w:noProof/>
        </w:rPr>
        <w:instrText xml:space="preserve"> PAGEREF _Toc207309707 \h </w:instrText>
      </w:r>
      <w:r>
        <w:rPr>
          <w:noProof/>
        </w:rPr>
      </w:r>
      <w:r>
        <w:rPr>
          <w:noProof/>
        </w:rPr>
        <w:fldChar w:fldCharType="separate"/>
      </w:r>
      <w:r>
        <w:rPr>
          <w:noProof/>
        </w:rPr>
        <w:t>135</w:t>
      </w:r>
      <w:r>
        <w:rPr>
          <w:noProof/>
        </w:rPr>
        <w:fldChar w:fldCharType="end"/>
      </w:r>
    </w:p>
    <w:p w14:paraId="29C0AB13" w14:textId="015F314F"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27.5</w:t>
      </w:r>
      <w:r>
        <w:rPr>
          <w:rFonts w:asciiTheme="minorHAnsi" w:eastAsiaTheme="minorEastAsia" w:hAnsiTheme="minorHAnsi" w:cstheme="minorBidi"/>
          <w:noProof/>
          <w:kern w:val="2"/>
          <w:sz w:val="24"/>
          <w:szCs w:val="24"/>
          <w:lang w:eastAsia="en-AU"/>
          <w14:ligatures w14:val="standardContextual"/>
        </w:rPr>
        <w:tab/>
      </w:r>
      <w:r>
        <w:rPr>
          <w:noProof/>
        </w:rPr>
        <w:t>Negotiation</w:t>
      </w:r>
      <w:r>
        <w:rPr>
          <w:noProof/>
        </w:rPr>
        <w:tab/>
      </w:r>
      <w:r>
        <w:rPr>
          <w:noProof/>
        </w:rPr>
        <w:fldChar w:fldCharType="begin"/>
      </w:r>
      <w:r>
        <w:rPr>
          <w:noProof/>
        </w:rPr>
        <w:instrText xml:space="preserve"> PAGEREF _Toc207309708 \h </w:instrText>
      </w:r>
      <w:r>
        <w:rPr>
          <w:noProof/>
        </w:rPr>
      </w:r>
      <w:r>
        <w:rPr>
          <w:noProof/>
        </w:rPr>
        <w:fldChar w:fldCharType="separate"/>
      </w:r>
      <w:r>
        <w:rPr>
          <w:noProof/>
        </w:rPr>
        <w:t>135</w:t>
      </w:r>
      <w:r>
        <w:rPr>
          <w:noProof/>
        </w:rPr>
        <w:fldChar w:fldCharType="end"/>
      </w:r>
    </w:p>
    <w:p w14:paraId="5F6FBDE2" w14:textId="023041D8"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27.6</w:t>
      </w:r>
      <w:r>
        <w:rPr>
          <w:rFonts w:asciiTheme="minorHAnsi" w:eastAsiaTheme="minorEastAsia" w:hAnsiTheme="minorHAnsi" w:cstheme="minorBidi"/>
          <w:noProof/>
          <w:kern w:val="2"/>
          <w:sz w:val="24"/>
          <w:szCs w:val="24"/>
          <w:lang w:eastAsia="en-AU"/>
          <w14:ligatures w14:val="standardContextual"/>
        </w:rPr>
        <w:tab/>
      </w:r>
      <w:r>
        <w:rPr>
          <w:noProof/>
        </w:rPr>
        <w:t>Independent Expert</w:t>
      </w:r>
      <w:r>
        <w:rPr>
          <w:noProof/>
        </w:rPr>
        <w:tab/>
      </w:r>
      <w:r>
        <w:rPr>
          <w:noProof/>
        </w:rPr>
        <w:fldChar w:fldCharType="begin"/>
      </w:r>
      <w:r>
        <w:rPr>
          <w:noProof/>
        </w:rPr>
        <w:instrText xml:space="preserve"> PAGEREF _Toc207309709 \h </w:instrText>
      </w:r>
      <w:r>
        <w:rPr>
          <w:noProof/>
        </w:rPr>
      </w:r>
      <w:r>
        <w:rPr>
          <w:noProof/>
        </w:rPr>
        <w:fldChar w:fldCharType="separate"/>
      </w:r>
      <w:r>
        <w:rPr>
          <w:noProof/>
        </w:rPr>
        <w:t>135</w:t>
      </w:r>
      <w:r>
        <w:rPr>
          <w:noProof/>
        </w:rPr>
        <w:fldChar w:fldCharType="end"/>
      </w:r>
    </w:p>
    <w:p w14:paraId="5CD479F7" w14:textId="00022218"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27.7</w:t>
      </w:r>
      <w:r>
        <w:rPr>
          <w:rFonts w:asciiTheme="minorHAnsi" w:eastAsiaTheme="minorEastAsia" w:hAnsiTheme="minorHAnsi" w:cstheme="minorBidi"/>
          <w:noProof/>
          <w:kern w:val="2"/>
          <w:sz w:val="24"/>
          <w:szCs w:val="24"/>
          <w:lang w:eastAsia="en-AU"/>
          <w14:ligatures w14:val="standardContextual"/>
        </w:rPr>
        <w:tab/>
      </w:r>
      <w:r>
        <w:rPr>
          <w:noProof/>
        </w:rPr>
        <w:t>Other relief</w:t>
      </w:r>
      <w:r>
        <w:rPr>
          <w:noProof/>
        </w:rPr>
        <w:tab/>
      </w:r>
      <w:r>
        <w:rPr>
          <w:noProof/>
        </w:rPr>
        <w:fldChar w:fldCharType="begin"/>
      </w:r>
      <w:r>
        <w:rPr>
          <w:noProof/>
        </w:rPr>
        <w:instrText xml:space="preserve"> PAGEREF _Toc207309710 \h </w:instrText>
      </w:r>
      <w:r>
        <w:rPr>
          <w:noProof/>
        </w:rPr>
      </w:r>
      <w:r>
        <w:rPr>
          <w:noProof/>
        </w:rPr>
        <w:fldChar w:fldCharType="separate"/>
      </w:r>
      <w:r>
        <w:rPr>
          <w:noProof/>
        </w:rPr>
        <w:t>136</w:t>
      </w:r>
      <w:r>
        <w:rPr>
          <w:noProof/>
        </w:rPr>
        <w:fldChar w:fldCharType="end"/>
      </w:r>
    </w:p>
    <w:p w14:paraId="5E57E407" w14:textId="4FA9AB58"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27.8</w:t>
      </w:r>
      <w:r>
        <w:rPr>
          <w:rFonts w:asciiTheme="minorHAnsi" w:eastAsiaTheme="minorEastAsia" w:hAnsiTheme="minorHAnsi" w:cstheme="minorBidi"/>
          <w:noProof/>
          <w:kern w:val="2"/>
          <w:sz w:val="24"/>
          <w:szCs w:val="24"/>
          <w:lang w:eastAsia="en-AU"/>
          <w14:ligatures w14:val="standardContextual"/>
        </w:rPr>
        <w:tab/>
      </w:r>
      <w:r>
        <w:rPr>
          <w:noProof/>
        </w:rPr>
        <w:t>Continued performance following a Dispute</w:t>
      </w:r>
      <w:r>
        <w:rPr>
          <w:noProof/>
        </w:rPr>
        <w:tab/>
      </w:r>
      <w:r>
        <w:rPr>
          <w:noProof/>
        </w:rPr>
        <w:fldChar w:fldCharType="begin"/>
      </w:r>
      <w:r>
        <w:rPr>
          <w:noProof/>
        </w:rPr>
        <w:instrText xml:space="preserve"> PAGEREF _Toc207309711 \h </w:instrText>
      </w:r>
      <w:r>
        <w:rPr>
          <w:noProof/>
        </w:rPr>
      </w:r>
      <w:r>
        <w:rPr>
          <w:noProof/>
        </w:rPr>
        <w:fldChar w:fldCharType="separate"/>
      </w:r>
      <w:r>
        <w:rPr>
          <w:noProof/>
        </w:rPr>
        <w:t>137</w:t>
      </w:r>
      <w:r>
        <w:rPr>
          <w:noProof/>
        </w:rPr>
        <w:fldChar w:fldCharType="end"/>
      </w:r>
    </w:p>
    <w:p w14:paraId="6CD3BE93" w14:textId="355C1FA6"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27.9</w:t>
      </w:r>
      <w:r>
        <w:rPr>
          <w:rFonts w:asciiTheme="minorHAnsi" w:eastAsiaTheme="minorEastAsia" w:hAnsiTheme="minorHAnsi" w:cstheme="minorBidi"/>
          <w:noProof/>
          <w:kern w:val="2"/>
          <w:sz w:val="24"/>
          <w:szCs w:val="24"/>
          <w:lang w:eastAsia="en-AU"/>
          <w14:ligatures w14:val="standardContextual"/>
        </w:rPr>
        <w:tab/>
      </w:r>
      <w:r>
        <w:rPr>
          <w:noProof/>
        </w:rPr>
        <w:t>Interim relief</w:t>
      </w:r>
      <w:r>
        <w:rPr>
          <w:noProof/>
        </w:rPr>
        <w:tab/>
      </w:r>
      <w:r>
        <w:rPr>
          <w:noProof/>
        </w:rPr>
        <w:fldChar w:fldCharType="begin"/>
      </w:r>
      <w:r>
        <w:rPr>
          <w:noProof/>
        </w:rPr>
        <w:instrText xml:space="preserve"> PAGEREF _Toc207309712 \h </w:instrText>
      </w:r>
      <w:r>
        <w:rPr>
          <w:noProof/>
        </w:rPr>
      </w:r>
      <w:r>
        <w:rPr>
          <w:noProof/>
        </w:rPr>
        <w:fldChar w:fldCharType="separate"/>
      </w:r>
      <w:r>
        <w:rPr>
          <w:noProof/>
        </w:rPr>
        <w:t>137</w:t>
      </w:r>
      <w:r>
        <w:rPr>
          <w:noProof/>
        </w:rPr>
        <w:fldChar w:fldCharType="end"/>
      </w:r>
    </w:p>
    <w:p w14:paraId="12430C09" w14:textId="187DDE6E" w:rsidR="00537D9A" w:rsidRDefault="00537D9A">
      <w:pPr>
        <w:pStyle w:val="TOC1"/>
        <w:rPr>
          <w:rFonts w:asciiTheme="minorHAnsi" w:eastAsiaTheme="minorEastAsia" w:hAnsiTheme="minorHAnsi" w:cstheme="minorBidi"/>
          <w:b w:val="0"/>
          <w:noProof/>
          <w:kern w:val="2"/>
          <w:sz w:val="24"/>
          <w:szCs w:val="24"/>
          <w:lang w:eastAsia="en-AU"/>
          <w14:ligatures w14:val="standardContextual"/>
        </w:rPr>
      </w:pPr>
      <w:r>
        <w:rPr>
          <w:noProof/>
        </w:rPr>
        <w:t>28</w:t>
      </w:r>
      <w:r>
        <w:rPr>
          <w:rFonts w:asciiTheme="minorHAnsi" w:eastAsiaTheme="minorEastAsia" w:hAnsiTheme="minorHAnsi" w:cstheme="minorBidi"/>
          <w:b w:val="0"/>
          <w:noProof/>
          <w:kern w:val="2"/>
          <w:sz w:val="24"/>
          <w:szCs w:val="24"/>
          <w:lang w:eastAsia="en-AU"/>
          <w14:ligatures w14:val="standardContextual"/>
        </w:rPr>
        <w:tab/>
      </w:r>
      <w:r>
        <w:rPr>
          <w:noProof/>
        </w:rPr>
        <w:t>Pooled Disputes</w:t>
      </w:r>
      <w:r>
        <w:rPr>
          <w:noProof/>
        </w:rPr>
        <w:tab/>
      </w:r>
      <w:r>
        <w:rPr>
          <w:noProof/>
        </w:rPr>
        <w:fldChar w:fldCharType="begin"/>
      </w:r>
      <w:r>
        <w:rPr>
          <w:noProof/>
        </w:rPr>
        <w:instrText xml:space="preserve"> PAGEREF _Toc207309713 \h </w:instrText>
      </w:r>
      <w:r>
        <w:rPr>
          <w:noProof/>
        </w:rPr>
      </w:r>
      <w:r>
        <w:rPr>
          <w:noProof/>
        </w:rPr>
        <w:fldChar w:fldCharType="separate"/>
      </w:r>
      <w:r>
        <w:rPr>
          <w:noProof/>
        </w:rPr>
        <w:t>137</w:t>
      </w:r>
      <w:r>
        <w:rPr>
          <w:noProof/>
        </w:rPr>
        <w:fldChar w:fldCharType="end"/>
      </w:r>
    </w:p>
    <w:p w14:paraId="313167D9" w14:textId="14792F35"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28.1</w:t>
      </w:r>
      <w:r>
        <w:rPr>
          <w:rFonts w:asciiTheme="minorHAnsi" w:eastAsiaTheme="minorEastAsia" w:hAnsiTheme="minorHAnsi" w:cstheme="minorBidi"/>
          <w:noProof/>
          <w:kern w:val="2"/>
          <w:sz w:val="24"/>
          <w:szCs w:val="24"/>
          <w:lang w:eastAsia="en-AU"/>
          <w14:ligatures w14:val="standardContextual"/>
        </w:rPr>
        <w:tab/>
      </w:r>
      <w:r>
        <w:rPr>
          <w:noProof/>
        </w:rPr>
        <w:t>Referral of Pooled Disputes</w:t>
      </w:r>
      <w:r>
        <w:rPr>
          <w:noProof/>
        </w:rPr>
        <w:tab/>
      </w:r>
      <w:r>
        <w:rPr>
          <w:noProof/>
        </w:rPr>
        <w:fldChar w:fldCharType="begin"/>
      </w:r>
      <w:r>
        <w:rPr>
          <w:noProof/>
        </w:rPr>
        <w:instrText xml:space="preserve"> PAGEREF _Toc207309714 \h </w:instrText>
      </w:r>
      <w:r>
        <w:rPr>
          <w:noProof/>
        </w:rPr>
      </w:r>
      <w:r>
        <w:rPr>
          <w:noProof/>
        </w:rPr>
        <w:fldChar w:fldCharType="separate"/>
      </w:r>
      <w:r>
        <w:rPr>
          <w:noProof/>
        </w:rPr>
        <w:t>137</w:t>
      </w:r>
      <w:r>
        <w:rPr>
          <w:noProof/>
        </w:rPr>
        <w:fldChar w:fldCharType="end"/>
      </w:r>
    </w:p>
    <w:p w14:paraId="4F69BA9C" w14:textId="1D3859DA"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28.2</w:t>
      </w:r>
      <w:r>
        <w:rPr>
          <w:rFonts w:asciiTheme="minorHAnsi" w:eastAsiaTheme="minorEastAsia" w:hAnsiTheme="minorHAnsi" w:cstheme="minorBidi"/>
          <w:noProof/>
          <w:kern w:val="2"/>
          <w:sz w:val="24"/>
          <w:szCs w:val="24"/>
          <w:lang w:eastAsia="en-AU"/>
          <w14:ligatures w14:val="standardContextual"/>
        </w:rPr>
        <w:tab/>
      </w:r>
      <w:r>
        <w:rPr>
          <w:noProof/>
        </w:rPr>
        <w:t>Resolution by Pooled Dispute Panel</w:t>
      </w:r>
      <w:r>
        <w:rPr>
          <w:noProof/>
        </w:rPr>
        <w:tab/>
      </w:r>
      <w:r>
        <w:rPr>
          <w:noProof/>
        </w:rPr>
        <w:fldChar w:fldCharType="begin"/>
      </w:r>
      <w:r>
        <w:rPr>
          <w:noProof/>
        </w:rPr>
        <w:instrText xml:space="preserve"> PAGEREF _Toc207309715 \h </w:instrText>
      </w:r>
      <w:r>
        <w:rPr>
          <w:noProof/>
        </w:rPr>
      </w:r>
      <w:r>
        <w:rPr>
          <w:noProof/>
        </w:rPr>
        <w:fldChar w:fldCharType="separate"/>
      </w:r>
      <w:r>
        <w:rPr>
          <w:noProof/>
        </w:rPr>
        <w:t>137</w:t>
      </w:r>
      <w:r>
        <w:rPr>
          <w:noProof/>
        </w:rPr>
        <w:fldChar w:fldCharType="end"/>
      </w:r>
    </w:p>
    <w:p w14:paraId="2628D727" w14:textId="288E5EE6"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28.3</w:t>
      </w:r>
      <w:r>
        <w:rPr>
          <w:rFonts w:asciiTheme="minorHAnsi" w:eastAsiaTheme="minorEastAsia" w:hAnsiTheme="minorHAnsi" w:cstheme="minorBidi"/>
          <w:noProof/>
          <w:kern w:val="2"/>
          <w:sz w:val="24"/>
          <w:szCs w:val="24"/>
          <w:lang w:eastAsia="en-AU"/>
          <w14:ligatures w14:val="standardContextual"/>
        </w:rPr>
        <w:tab/>
      </w:r>
      <w:r>
        <w:rPr>
          <w:noProof/>
        </w:rPr>
        <w:t>Bilateral resolution</w:t>
      </w:r>
      <w:r>
        <w:rPr>
          <w:noProof/>
        </w:rPr>
        <w:tab/>
      </w:r>
      <w:r>
        <w:rPr>
          <w:noProof/>
        </w:rPr>
        <w:fldChar w:fldCharType="begin"/>
      </w:r>
      <w:r>
        <w:rPr>
          <w:noProof/>
        </w:rPr>
        <w:instrText xml:space="preserve"> PAGEREF _Toc207309716 \h </w:instrText>
      </w:r>
      <w:r>
        <w:rPr>
          <w:noProof/>
        </w:rPr>
      </w:r>
      <w:r>
        <w:rPr>
          <w:noProof/>
        </w:rPr>
        <w:fldChar w:fldCharType="separate"/>
      </w:r>
      <w:r>
        <w:rPr>
          <w:noProof/>
        </w:rPr>
        <w:t>138</w:t>
      </w:r>
      <w:r>
        <w:rPr>
          <w:noProof/>
        </w:rPr>
        <w:fldChar w:fldCharType="end"/>
      </w:r>
    </w:p>
    <w:p w14:paraId="07D2BCE7" w14:textId="1532BE5E" w:rsidR="00537D9A" w:rsidRDefault="00537D9A">
      <w:pPr>
        <w:pStyle w:val="TOC1"/>
        <w:rPr>
          <w:rFonts w:asciiTheme="minorHAnsi" w:eastAsiaTheme="minorEastAsia" w:hAnsiTheme="minorHAnsi" w:cstheme="minorBidi"/>
          <w:b w:val="0"/>
          <w:noProof/>
          <w:kern w:val="2"/>
          <w:sz w:val="24"/>
          <w:szCs w:val="24"/>
          <w:lang w:eastAsia="en-AU"/>
          <w14:ligatures w14:val="standardContextual"/>
        </w:rPr>
      </w:pPr>
      <w:r>
        <w:rPr>
          <w:noProof/>
        </w:rPr>
        <w:t>29</w:t>
      </w:r>
      <w:r>
        <w:rPr>
          <w:rFonts w:asciiTheme="minorHAnsi" w:eastAsiaTheme="minorEastAsia" w:hAnsiTheme="minorHAnsi" w:cstheme="minorBidi"/>
          <w:b w:val="0"/>
          <w:noProof/>
          <w:kern w:val="2"/>
          <w:sz w:val="24"/>
          <w:szCs w:val="24"/>
          <w:lang w:eastAsia="en-AU"/>
          <w14:ligatures w14:val="standardContextual"/>
        </w:rPr>
        <w:tab/>
      </w:r>
      <w:r>
        <w:rPr>
          <w:noProof/>
        </w:rPr>
        <w:t>Intellectual Property</w:t>
      </w:r>
      <w:r>
        <w:rPr>
          <w:noProof/>
        </w:rPr>
        <w:tab/>
      </w:r>
      <w:r>
        <w:rPr>
          <w:noProof/>
        </w:rPr>
        <w:fldChar w:fldCharType="begin"/>
      </w:r>
      <w:r>
        <w:rPr>
          <w:noProof/>
        </w:rPr>
        <w:instrText xml:space="preserve"> PAGEREF _Toc207309717 \h </w:instrText>
      </w:r>
      <w:r>
        <w:rPr>
          <w:noProof/>
        </w:rPr>
      </w:r>
      <w:r>
        <w:rPr>
          <w:noProof/>
        </w:rPr>
        <w:fldChar w:fldCharType="separate"/>
      </w:r>
      <w:r>
        <w:rPr>
          <w:noProof/>
        </w:rPr>
        <w:t>138</w:t>
      </w:r>
      <w:r>
        <w:rPr>
          <w:noProof/>
        </w:rPr>
        <w:fldChar w:fldCharType="end"/>
      </w:r>
    </w:p>
    <w:p w14:paraId="3AA59334" w14:textId="4D6DE0CB"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29.1</w:t>
      </w:r>
      <w:r>
        <w:rPr>
          <w:rFonts w:asciiTheme="minorHAnsi" w:eastAsiaTheme="minorEastAsia" w:hAnsiTheme="minorHAnsi" w:cstheme="minorBidi"/>
          <w:noProof/>
          <w:kern w:val="2"/>
          <w:sz w:val="24"/>
          <w:szCs w:val="24"/>
          <w:lang w:eastAsia="en-AU"/>
          <w14:ligatures w14:val="standardContextual"/>
        </w:rPr>
        <w:tab/>
      </w:r>
      <w:r>
        <w:rPr>
          <w:noProof/>
        </w:rPr>
        <w:t>Project Intellectual Property</w:t>
      </w:r>
      <w:r>
        <w:rPr>
          <w:noProof/>
        </w:rPr>
        <w:tab/>
      </w:r>
      <w:r>
        <w:rPr>
          <w:noProof/>
        </w:rPr>
        <w:fldChar w:fldCharType="begin"/>
      </w:r>
      <w:r>
        <w:rPr>
          <w:noProof/>
        </w:rPr>
        <w:instrText xml:space="preserve"> PAGEREF _Toc207309718 \h </w:instrText>
      </w:r>
      <w:r>
        <w:rPr>
          <w:noProof/>
        </w:rPr>
      </w:r>
      <w:r>
        <w:rPr>
          <w:noProof/>
        </w:rPr>
        <w:fldChar w:fldCharType="separate"/>
      </w:r>
      <w:r>
        <w:rPr>
          <w:noProof/>
        </w:rPr>
        <w:t>138</w:t>
      </w:r>
      <w:r>
        <w:rPr>
          <w:noProof/>
        </w:rPr>
        <w:fldChar w:fldCharType="end"/>
      </w:r>
    </w:p>
    <w:p w14:paraId="7D0D0EF3" w14:textId="701FF8C4"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29.2</w:t>
      </w:r>
      <w:r>
        <w:rPr>
          <w:rFonts w:asciiTheme="minorHAnsi" w:eastAsiaTheme="minorEastAsia" w:hAnsiTheme="minorHAnsi" w:cstheme="minorBidi"/>
          <w:noProof/>
          <w:kern w:val="2"/>
          <w:sz w:val="24"/>
          <w:szCs w:val="24"/>
          <w:lang w:eastAsia="en-AU"/>
          <w14:ligatures w14:val="standardContextual"/>
        </w:rPr>
        <w:tab/>
      </w:r>
      <w:r>
        <w:rPr>
          <w:noProof/>
        </w:rPr>
        <w:t>Licence of Specified Material</w:t>
      </w:r>
      <w:r>
        <w:rPr>
          <w:noProof/>
        </w:rPr>
        <w:tab/>
      </w:r>
      <w:r>
        <w:rPr>
          <w:noProof/>
        </w:rPr>
        <w:fldChar w:fldCharType="begin"/>
      </w:r>
      <w:r>
        <w:rPr>
          <w:noProof/>
        </w:rPr>
        <w:instrText xml:space="preserve"> PAGEREF _Toc207309719 \h </w:instrText>
      </w:r>
      <w:r>
        <w:rPr>
          <w:noProof/>
        </w:rPr>
      </w:r>
      <w:r>
        <w:rPr>
          <w:noProof/>
        </w:rPr>
        <w:fldChar w:fldCharType="separate"/>
      </w:r>
      <w:r>
        <w:rPr>
          <w:noProof/>
        </w:rPr>
        <w:t>139</w:t>
      </w:r>
      <w:r>
        <w:rPr>
          <w:noProof/>
        </w:rPr>
        <w:fldChar w:fldCharType="end"/>
      </w:r>
    </w:p>
    <w:p w14:paraId="7903710B" w14:textId="6AFB4E7F"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29.3</w:t>
      </w:r>
      <w:r>
        <w:rPr>
          <w:rFonts w:asciiTheme="minorHAnsi" w:eastAsiaTheme="minorEastAsia" w:hAnsiTheme="minorHAnsi" w:cstheme="minorBidi"/>
          <w:noProof/>
          <w:kern w:val="2"/>
          <w:sz w:val="24"/>
          <w:szCs w:val="24"/>
          <w:lang w:eastAsia="en-AU"/>
          <w14:ligatures w14:val="standardContextual"/>
        </w:rPr>
        <w:tab/>
      </w:r>
      <w:r>
        <w:rPr>
          <w:noProof/>
        </w:rPr>
        <w:t>Moral rights</w:t>
      </w:r>
      <w:r>
        <w:rPr>
          <w:noProof/>
        </w:rPr>
        <w:tab/>
      </w:r>
      <w:r>
        <w:rPr>
          <w:noProof/>
        </w:rPr>
        <w:fldChar w:fldCharType="begin"/>
      </w:r>
      <w:r>
        <w:rPr>
          <w:noProof/>
        </w:rPr>
        <w:instrText xml:space="preserve"> PAGEREF _Toc207309720 \h </w:instrText>
      </w:r>
      <w:r>
        <w:rPr>
          <w:noProof/>
        </w:rPr>
      </w:r>
      <w:r>
        <w:rPr>
          <w:noProof/>
        </w:rPr>
        <w:fldChar w:fldCharType="separate"/>
      </w:r>
      <w:r>
        <w:rPr>
          <w:noProof/>
        </w:rPr>
        <w:t>139</w:t>
      </w:r>
      <w:r>
        <w:rPr>
          <w:noProof/>
        </w:rPr>
        <w:fldChar w:fldCharType="end"/>
      </w:r>
    </w:p>
    <w:p w14:paraId="14149B13" w14:textId="6F0FB5BB"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29.4</w:t>
      </w:r>
      <w:r>
        <w:rPr>
          <w:rFonts w:asciiTheme="minorHAnsi" w:eastAsiaTheme="minorEastAsia" w:hAnsiTheme="minorHAnsi" w:cstheme="minorBidi"/>
          <w:noProof/>
          <w:kern w:val="2"/>
          <w:sz w:val="24"/>
          <w:szCs w:val="24"/>
          <w:lang w:eastAsia="en-AU"/>
          <w14:ligatures w14:val="standardContextual"/>
        </w:rPr>
        <w:tab/>
      </w:r>
      <w:r>
        <w:rPr>
          <w:noProof/>
        </w:rPr>
        <w:t>Warranties</w:t>
      </w:r>
      <w:r>
        <w:rPr>
          <w:noProof/>
        </w:rPr>
        <w:tab/>
      </w:r>
      <w:r>
        <w:rPr>
          <w:noProof/>
        </w:rPr>
        <w:fldChar w:fldCharType="begin"/>
      </w:r>
      <w:r>
        <w:rPr>
          <w:noProof/>
        </w:rPr>
        <w:instrText xml:space="preserve"> PAGEREF _Toc207309721 \h </w:instrText>
      </w:r>
      <w:r>
        <w:rPr>
          <w:noProof/>
        </w:rPr>
      </w:r>
      <w:r>
        <w:rPr>
          <w:noProof/>
        </w:rPr>
        <w:fldChar w:fldCharType="separate"/>
      </w:r>
      <w:r>
        <w:rPr>
          <w:noProof/>
        </w:rPr>
        <w:t>139</w:t>
      </w:r>
      <w:r>
        <w:rPr>
          <w:noProof/>
        </w:rPr>
        <w:fldChar w:fldCharType="end"/>
      </w:r>
    </w:p>
    <w:p w14:paraId="758DE6EA" w14:textId="6252AF65"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29.5</w:t>
      </w:r>
      <w:r>
        <w:rPr>
          <w:rFonts w:asciiTheme="minorHAnsi" w:eastAsiaTheme="minorEastAsia" w:hAnsiTheme="minorHAnsi" w:cstheme="minorBidi"/>
          <w:noProof/>
          <w:kern w:val="2"/>
          <w:sz w:val="24"/>
          <w:szCs w:val="24"/>
          <w:lang w:eastAsia="en-AU"/>
          <w14:ligatures w14:val="standardContextual"/>
        </w:rPr>
        <w:tab/>
      </w:r>
      <w:r>
        <w:rPr>
          <w:noProof/>
        </w:rPr>
        <w:t>Intellectual Property indemnity</w:t>
      </w:r>
      <w:r>
        <w:rPr>
          <w:noProof/>
        </w:rPr>
        <w:tab/>
      </w:r>
      <w:r>
        <w:rPr>
          <w:noProof/>
        </w:rPr>
        <w:fldChar w:fldCharType="begin"/>
      </w:r>
      <w:r>
        <w:rPr>
          <w:noProof/>
        </w:rPr>
        <w:instrText xml:space="preserve"> PAGEREF _Toc207309722 \h </w:instrText>
      </w:r>
      <w:r>
        <w:rPr>
          <w:noProof/>
        </w:rPr>
      </w:r>
      <w:r>
        <w:rPr>
          <w:noProof/>
        </w:rPr>
        <w:fldChar w:fldCharType="separate"/>
      </w:r>
      <w:r>
        <w:rPr>
          <w:noProof/>
        </w:rPr>
        <w:t>139</w:t>
      </w:r>
      <w:r>
        <w:rPr>
          <w:noProof/>
        </w:rPr>
        <w:fldChar w:fldCharType="end"/>
      </w:r>
    </w:p>
    <w:p w14:paraId="5FE095FE" w14:textId="6D47A9C1"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29.6</w:t>
      </w:r>
      <w:r>
        <w:rPr>
          <w:rFonts w:asciiTheme="minorHAnsi" w:eastAsiaTheme="minorEastAsia" w:hAnsiTheme="minorHAnsi" w:cstheme="minorBidi"/>
          <w:noProof/>
          <w:kern w:val="2"/>
          <w:sz w:val="24"/>
          <w:szCs w:val="24"/>
          <w:lang w:eastAsia="en-AU"/>
          <w14:ligatures w14:val="standardContextual"/>
        </w:rPr>
        <w:tab/>
      </w:r>
      <w:r>
        <w:rPr>
          <w:noProof/>
        </w:rPr>
        <w:t>Remedy for breach of warranty</w:t>
      </w:r>
      <w:r>
        <w:rPr>
          <w:noProof/>
        </w:rPr>
        <w:tab/>
      </w:r>
      <w:r>
        <w:rPr>
          <w:noProof/>
        </w:rPr>
        <w:fldChar w:fldCharType="begin"/>
      </w:r>
      <w:r>
        <w:rPr>
          <w:noProof/>
        </w:rPr>
        <w:instrText xml:space="preserve"> PAGEREF _Toc207309723 \h </w:instrText>
      </w:r>
      <w:r>
        <w:rPr>
          <w:noProof/>
        </w:rPr>
      </w:r>
      <w:r>
        <w:rPr>
          <w:noProof/>
        </w:rPr>
        <w:fldChar w:fldCharType="separate"/>
      </w:r>
      <w:r>
        <w:rPr>
          <w:noProof/>
        </w:rPr>
        <w:t>140</w:t>
      </w:r>
      <w:r>
        <w:rPr>
          <w:noProof/>
        </w:rPr>
        <w:fldChar w:fldCharType="end"/>
      </w:r>
    </w:p>
    <w:p w14:paraId="45E71C32" w14:textId="7B4DE5A9" w:rsidR="00537D9A" w:rsidRDefault="00537D9A">
      <w:pPr>
        <w:pStyle w:val="TOC1"/>
        <w:rPr>
          <w:rFonts w:asciiTheme="minorHAnsi" w:eastAsiaTheme="minorEastAsia" w:hAnsiTheme="minorHAnsi" w:cstheme="minorBidi"/>
          <w:b w:val="0"/>
          <w:noProof/>
          <w:kern w:val="2"/>
          <w:sz w:val="24"/>
          <w:szCs w:val="24"/>
          <w:lang w:eastAsia="en-AU"/>
          <w14:ligatures w14:val="standardContextual"/>
        </w:rPr>
      </w:pPr>
      <w:r>
        <w:rPr>
          <w:noProof/>
        </w:rPr>
        <w:t>30</w:t>
      </w:r>
      <w:r>
        <w:rPr>
          <w:rFonts w:asciiTheme="minorHAnsi" w:eastAsiaTheme="minorEastAsia" w:hAnsiTheme="minorHAnsi" w:cstheme="minorBidi"/>
          <w:b w:val="0"/>
          <w:noProof/>
          <w:kern w:val="2"/>
          <w:sz w:val="24"/>
          <w:szCs w:val="24"/>
          <w:lang w:eastAsia="en-AU"/>
          <w14:ligatures w14:val="standardContextual"/>
        </w:rPr>
        <w:tab/>
      </w:r>
      <w:r>
        <w:rPr>
          <w:noProof/>
        </w:rPr>
        <w:t>Subcontracting</w:t>
      </w:r>
      <w:r>
        <w:rPr>
          <w:noProof/>
        </w:rPr>
        <w:tab/>
      </w:r>
      <w:r>
        <w:rPr>
          <w:noProof/>
        </w:rPr>
        <w:fldChar w:fldCharType="begin"/>
      </w:r>
      <w:r>
        <w:rPr>
          <w:noProof/>
        </w:rPr>
        <w:instrText xml:space="preserve"> PAGEREF _Toc207309724 \h </w:instrText>
      </w:r>
      <w:r>
        <w:rPr>
          <w:noProof/>
        </w:rPr>
      </w:r>
      <w:r>
        <w:rPr>
          <w:noProof/>
        </w:rPr>
        <w:fldChar w:fldCharType="separate"/>
      </w:r>
      <w:r>
        <w:rPr>
          <w:noProof/>
        </w:rPr>
        <w:t>140</w:t>
      </w:r>
      <w:r>
        <w:rPr>
          <w:noProof/>
        </w:rPr>
        <w:fldChar w:fldCharType="end"/>
      </w:r>
    </w:p>
    <w:p w14:paraId="4E318BB8" w14:textId="52E9D25E"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30.1</w:t>
      </w:r>
      <w:r>
        <w:rPr>
          <w:rFonts w:asciiTheme="minorHAnsi" w:eastAsiaTheme="minorEastAsia" w:hAnsiTheme="minorHAnsi" w:cstheme="minorBidi"/>
          <w:noProof/>
          <w:kern w:val="2"/>
          <w:sz w:val="24"/>
          <w:szCs w:val="24"/>
          <w:lang w:eastAsia="en-AU"/>
          <w14:ligatures w14:val="standardContextual"/>
        </w:rPr>
        <w:tab/>
      </w:r>
      <w:r>
        <w:rPr>
          <w:noProof/>
        </w:rPr>
        <w:t>Project Operator remains responsible</w:t>
      </w:r>
      <w:r>
        <w:rPr>
          <w:noProof/>
        </w:rPr>
        <w:tab/>
      </w:r>
      <w:r>
        <w:rPr>
          <w:noProof/>
        </w:rPr>
        <w:fldChar w:fldCharType="begin"/>
      </w:r>
      <w:r>
        <w:rPr>
          <w:noProof/>
        </w:rPr>
        <w:instrText xml:space="preserve"> PAGEREF _Toc207309725 \h </w:instrText>
      </w:r>
      <w:r>
        <w:rPr>
          <w:noProof/>
        </w:rPr>
      </w:r>
      <w:r>
        <w:rPr>
          <w:noProof/>
        </w:rPr>
        <w:fldChar w:fldCharType="separate"/>
      </w:r>
      <w:r>
        <w:rPr>
          <w:noProof/>
        </w:rPr>
        <w:t>140</w:t>
      </w:r>
      <w:r>
        <w:rPr>
          <w:noProof/>
        </w:rPr>
        <w:fldChar w:fldCharType="end"/>
      </w:r>
    </w:p>
    <w:p w14:paraId="5DC9FEB7" w14:textId="5AD073AF"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30.2</w:t>
      </w:r>
      <w:r>
        <w:rPr>
          <w:rFonts w:asciiTheme="minorHAnsi" w:eastAsiaTheme="minorEastAsia" w:hAnsiTheme="minorHAnsi" w:cstheme="minorBidi"/>
          <w:noProof/>
          <w:kern w:val="2"/>
          <w:sz w:val="24"/>
          <w:szCs w:val="24"/>
          <w:lang w:eastAsia="en-AU"/>
          <w14:ligatures w14:val="standardContextual"/>
        </w:rPr>
        <w:tab/>
      </w:r>
      <w:r>
        <w:rPr>
          <w:noProof/>
        </w:rPr>
        <w:t>Key Subcontractors</w:t>
      </w:r>
      <w:r>
        <w:rPr>
          <w:noProof/>
        </w:rPr>
        <w:tab/>
      </w:r>
      <w:r>
        <w:rPr>
          <w:noProof/>
        </w:rPr>
        <w:fldChar w:fldCharType="begin"/>
      </w:r>
      <w:r>
        <w:rPr>
          <w:noProof/>
        </w:rPr>
        <w:instrText xml:space="preserve"> PAGEREF _Toc207309726 \h </w:instrText>
      </w:r>
      <w:r>
        <w:rPr>
          <w:noProof/>
        </w:rPr>
      </w:r>
      <w:r>
        <w:rPr>
          <w:noProof/>
        </w:rPr>
        <w:fldChar w:fldCharType="separate"/>
      </w:r>
      <w:r>
        <w:rPr>
          <w:noProof/>
        </w:rPr>
        <w:t>141</w:t>
      </w:r>
      <w:r>
        <w:rPr>
          <w:noProof/>
        </w:rPr>
        <w:fldChar w:fldCharType="end"/>
      </w:r>
    </w:p>
    <w:p w14:paraId="293D8966" w14:textId="47F9406B" w:rsidR="00537D9A" w:rsidRDefault="00537D9A">
      <w:pPr>
        <w:pStyle w:val="TOC1"/>
        <w:rPr>
          <w:rFonts w:asciiTheme="minorHAnsi" w:eastAsiaTheme="minorEastAsia" w:hAnsiTheme="minorHAnsi" w:cstheme="minorBidi"/>
          <w:b w:val="0"/>
          <w:noProof/>
          <w:kern w:val="2"/>
          <w:sz w:val="24"/>
          <w:szCs w:val="24"/>
          <w:lang w:eastAsia="en-AU"/>
          <w14:ligatures w14:val="standardContextual"/>
        </w:rPr>
      </w:pPr>
      <w:r>
        <w:rPr>
          <w:noProof/>
        </w:rPr>
        <w:t>31</w:t>
      </w:r>
      <w:r>
        <w:rPr>
          <w:rFonts w:asciiTheme="minorHAnsi" w:eastAsiaTheme="minorEastAsia" w:hAnsiTheme="minorHAnsi" w:cstheme="minorBidi"/>
          <w:b w:val="0"/>
          <w:noProof/>
          <w:kern w:val="2"/>
          <w:sz w:val="24"/>
          <w:szCs w:val="24"/>
          <w:lang w:eastAsia="en-AU"/>
          <w14:ligatures w14:val="standardContextual"/>
        </w:rPr>
        <w:tab/>
      </w:r>
      <w:r>
        <w:rPr>
          <w:noProof/>
        </w:rPr>
        <w:t>Confidentiality</w:t>
      </w:r>
      <w:r>
        <w:rPr>
          <w:noProof/>
        </w:rPr>
        <w:tab/>
      </w:r>
      <w:r>
        <w:rPr>
          <w:noProof/>
        </w:rPr>
        <w:fldChar w:fldCharType="begin"/>
      </w:r>
      <w:r>
        <w:rPr>
          <w:noProof/>
        </w:rPr>
        <w:instrText xml:space="preserve"> PAGEREF _Toc207309727 \h </w:instrText>
      </w:r>
      <w:r>
        <w:rPr>
          <w:noProof/>
        </w:rPr>
      </w:r>
      <w:r>
        <w:rPr>
          <w:noProof/>
        </w:rPr>
        <w:fldChar w:fldCharType="separate"/>
      </w:r>
      <w:r>
        <w:rPr>
          <w:noProof/>
        </w:rPr>
        <w:t>142</w:t>
      </w:r>
      <w:r>
        <w:rPr>
          <w:noProof/>
        </w:rPr>
        <w:fldChar w:fldCharType="end"/>
      </w:r>
    </w:p>
    <w:p w14:paraId="38CCDC81" w14:textId="02F7CAE2"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31.1</w:t>
      </w:r>
      <w:r>
        <w:rPr>
          <w:rFonts w:asciiTheme="minorHAnsi" w:eastAsiaTheme="minorEastAsia" w:hAnsiTheme="minorHAnsi" w:cstheme="minorBidi"/>
          <w:noProof/>
          <w:kern w:val="2"/>
          <w:sz w:val="24"/>
          <w:szCs w:val="24"/>
          <w:lang w:eastAsia="en-AU"/>
          <w14:ligatures w14:val="standardContextual"/>
        </w:rPr>
        <w:tab/>
      </w:r>
      <w:r>
        <w:rPr>
          <w:noProof/>
        </w:rPr>
        <w:t>Disclosure of information</w:t>
      </w:r>
      <w:r>
        <w:rPr>
          <w:noProof/>
        </w:rPr>
        <w:tab/>
      </w:r>
      <w:r>
        <w:rPr>
          <w:noProof/>
        </w:rPr>
        <w:fldChar w:fldCharType="begin"/>
      </w:r>
      <w:r>
        <w:rPr>
          <w:noProof/>
        </w:rPr>
        <w:instrText xml:space="preserve"> PAGEREF _Toc207309728 \h </w:instrText>
      </w:r>
      <w:r>
        <w:rPr>
          <w:noProof/>
        </w:rPr>
      </w:r>
      <w:r>
        <w:rPr>
          <w:noProof/>
        </w:rPr>
        <w:fldChar w:fldCharType="separate"/>
      </w:r>
      <w:r>
        <w:rPr>
          <w:noProof/>
        </w:rPr>
        <w:t>142</w:t>
      </w:r>
      <w:r>
        <w:rPr>
          <w:noProof/>
        </w:rPr>
        <w:fldChar w:fldCharType="end"/>
      </w:r>
    </w:p>
    <w:p w14:paraId="26342186" w14:textId="5E4651D2"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31.2</w:t>
      </w:r>
      <w:r>
        <w:rPr>
          <w:rFonts w:asciiTheme="minorHAnsi" w:eastAsiaTheme="minorEastAsia" w:hAnsiTheme="minorHAnsi" w:cstheme="minorBidi"/>
          <w:noProof/>
          <w:kern w:val="2"/>
          <w:sz w:val="24"/>
          <w:szCs w:val="24"/>
          <w:lang w:eastAsia="en-AU"/>
          <w14:ligatures w14:val="standardContextual"/>
        </w:rPr>
        <w:tab/>
      </w:r>
      <w:r>
        <w:rPr>
          <w:noProof/>
        </w:rPr>
        <w:t>Publicity</w:t>
      </w:r>
      <w:r>
        <w:rPr>
          <w:noProof/>
        </w:rPr>
        <w:tab/>
      </w:r>
      <w:r>
        <w:rPr>
          <w:noProof/>
        </w:rPr>
        <w:fldChar w:fldCharType="begin"/>
      </w:r>
      <w:r>
        <w:rPr>
          <w:noProof/>
        </w:rPr>
        <w:instrText xml:space="preserve"> PAGEREF _Toc207309729 \h </w:instrText>
      </w:r>
      <w:r>
        <w:rPr>
          <w:noProof/>
        </w:rPr>
      </w:r>
      <w:r>
        <w:rPr>
          <w:noProof/>
        </w:rPr>
        <w:fldChar w:fldCharType="separate"/>
      </w:r>
      <w:r>
        <w:rPr>
          <w:noProof/>
        </w:rPr>
        <w:t>143</w:t>
      </w:r>
      <w:r>
        <w:rPr>
          <w:noProof/>
        </w:rPr>
        <w:fldChar w:fldCharType="end"/>
      </w:r>
    </w:p>
    <w:p w14:paraId="38F6D14B" w14:textId="6C9963D0"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31.3</w:t>
      </w:r>
      <w:r>
        <w:rPr>
          <w:rFonts w:asciiTheme="minorHAnsi" w:eastAsiaTheme="minorEastAsia" w:hAnsiTheme="minorHAnsi" w:cstheme="minorBidi"/>
          <w:noProof/>
          <w:kern w:val="2"/>
          <w:sz w:val="24"/>
          <w:szCs w:val="24"/>
          <w:lang w:eastAsia="en-AU"/>
          <w14:ligatures w14:val="standardContextual"/>
        </w:rPr>
        <w:tab/>
      </w:r>
      <w:r>
        <w:rPr>
          <w:noProof/>
        </w:rPr>
        <w:t>Freedom of information</w:t>
      </w:r>
      <w:r>
        <w:rPr>
          <w:noProof/>
        </w:rPr>
        <w:tab/>
      </w:r>
      <w:r>
        <w:rPr>
          <w:noProof/>
        </w:rPr>
        <w:fldChar w:fldCharType="begin"/>
      </w:r>
      <w:r>
        <w:rPr>
          <w:noProof/>
        </w:rPr>
        <w:instrText xml:space="preserve"> PAGEREF _Toc207309730 \h </w:instrText>
      </w:r>
      <w:r>
        <w:rPr>
          <w:noProof/>
        </w:rPr>
      </w:r>
      <w:r>
        <w:rPr>
          <w:noProof/>
        </w:rPr>
        <w:fldChar w:fldCharType="separate"/>
      </w:r>
      <w:r>
        <w:rPr>
          <w:noProof/>
        </w:rPr>
        <w:t>144</w:t>
      </w:r>
      <w:r>
        <w:rPr>
          <w:noProof/>
        </w:rPr>
        <w:fldChar w:fldCharType="end"/>
      </w:r>
    </w:p>
    <w:p w14:paraId="6FC80C40" w14:textId="65F5A3C7" w:rsidR="00537D9A" w:rsidRDefault="00537D9A">
      <w:pPr>
        <w:pStyle w:val="TOC1"/>
        <w:rPr>
          <w:rFonts w:asciiTheme="minorHAnsi" w:eastAsiaTheme="minorEastAsia" w:hAnsiTheme="minorHAnsi" w:cstheme="minorBidi"/>
          <w:b w:val="0"/>
          <w:noProof/>
          <w:kern w:val="2"/>
          <w:sz w:val="24"/>
          <w:szCs w:val="24"/>
          <w:lang w:eastAsia="en-AU"/>
          <w14:ligatures w14:val="standardContextual"/>
        </w:rPr>
      </w:pPr>
      <w:r>
        <w:rPr>
          <w:noProof/>
        </w:rPr>
        <w:t>32</w:t>
      </w:r>
      <w:r>
        <w:rPr>
          <w:rFonts w:asciiTheme="minorHAnsi" w:eastAsiaTheme="minorEastAsia" w:hAnsiTheme="minorHAnsi" w:cstheme="minorBidi"/>
          <w:b w:val="0"/>
          <w:noProof/>
          <w:kern w:val="2"/>
          <w:sz w:val="24"/>
          <w:szCs w:val="24"/>
          <w:lang w:eastAsia="en-AU"/>
          <w14:ligatures w14:val="standardContextual"/>
        </w:rPr>
        <w:tab/>
      </w:r>
      <w:r>
        <w:rPr>
          <w:noProof/>
        </w:rPr>
        <w:t>Access, records and reporting</w:t>
      </w:r>
      <w:r>
        <w:rPr>
          <w:noProof/>
        </w:rPr>
        <w:tab/>
      </w:r>
      <w:r>
        <w:rPr>
          <w:noProof/>
        </w:rPr>
        <w:fldChar w:fldCharType="begin"/>
      </w:r>
      <w:r>
        <w:rPr>
          <w:noProof/>
        </w:rPr>
        <w:instrText xml:space="preserve"> PAGEREF _Toc207309731 \h </w:instrText>
      </w:r>
      <w:r>
        <w:rPr>
          <w:noProof/>
        </w:rPr>
      </w:r>
      <w:r>
        <w:rPr>
          <w:noProof/>
        </w:rPr>
        <w:fldChar w:fldCharType="separate"/>
      </w:r>
      <w:r>
        <w:rPr>
          <w:noProof/>
        </w:rPr>
        <w:t>144</w:t>
      </w:r>
      <w:r>
        <w:rPr>
          <w:noProof/>
        </w:rPr>
        <w:fldChar w:fldCharType="end"/>
      </w:r>
    </w:p>
    <w:p w14:paraId="688AE391" w14:textId="57E04C63"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32.1</w:t>
      </w:r>
      <w:r>
        <w:rPr>
          <w:rFonts w:asciiTheme="minorHAnsi" w:eastAsiaTheme="minorEastAsia" w:hAnsiTheme="minorHAnsi" w:cstheme="minorBidi"/>
          <w:noProof/>
          <w:kern w:val="2"/>
          <w:sz w:val="24"/>
          <w:szCs w:val="24"/>
          <w:lang w:eastAsia="en-AU"/>
          <w14:ligatures w14:val="standardContextual"/>
        </w:rPr>
        <w:tab/>
      </w:r>
      <w:r>
        <w:rPr>
          <w:noProof/>
        </w:rPr>
        <w:t>Project Operator to retain records</w:t>
      </w:r>
      <w:r>
        <w:rPr>
          <w:noProof/>
        </w:rPr>
        <w:tab/>
      </w:r>
      <w:r>
        <w:rPr>
          <w:noProof/>
        </w:rPr>
        <w:fldChar w:fldCharType="begin"/>
      </w:r>
      <w:r>
        <w:rPr>
          <w:noProof/>
        </w:rPr>
        <w:instrText xml:space="preserve"> PAGEREF _Toc207309732 \h </w:instrText>
      </w:r>
      <w:r>
        <w:rPr>
          <w:noProof/>
        </w:rPr>
      </w:r>
      <w:r>
        <w:rPr>
          <w:noProof/>
        </w:rPr>
        <w:fldChar w:fldCharType="separate"/>
      </w:r>
      <w:r>
        <w:rPr>
          <w:noProof/>
        </w:rPr>
        <w:t>144</w:t>
      </w:r>
      <w:r>
        <w:rPr>
          <w:noProof/>
        </w:rPr>
        <w:fldChar w:fldCharType="end"/>
      </w:r>
    </w:p>
    <w:p w14:paraId="3349164E" w14:textId="5CF5BDCA"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32.2</w:t>
      </w:r>
      <w:r>
        <w:rPr>
          <w:rFonts w:asciiTheme="minorHAnsi" w:eastAsiaTheme="minorEastAsia" w:hAnsiTheme="minorHAnsi" w:cstheme="minorBidi"/>
          <w:noProof/>
          <w:kern w:val="2"/>
          <w:sz w:val="24"/>
          <w:szCs w:val="24"/>
          <w:lang w:eastAsia="en-AU"/>
          <w14:ligatures w14:val="standardContextual"/>
        </w:rPr>
        <w:tab/>
      </w:r>
      <w:r>
        <w:rPr>
          <w:noProof/>
        </w:rPr>
        <w:t>Access to records</w:t>
      </w:r>
      <w:r>
        <w:rPr>
          <w:noProof/>
        </w:rPr>
        <w:tab/>
      </w:r>
      <w:r>
        <w:rPr>
          <w:noProof/>
        </w:rPr>
        <w:fldChar w:fldCharType="begin"/>
      </w:r>
      <w:r>
        <w:rPr>
          <w:noProof/>
        </w:rPr>
        <w:instrText xml:space="preserve"> PAGEREF _Toc207309733 \h </w:instrText>
      </w:r>
      <w:r>
        <w:rPr>
          <w:noProof/>
        </w:rPr>
      </w:r>
      <w:r>
        <w:rPr>
          <w:noProof/>
        </w:rPr>
        <w:fldChar w:fldCharType="separate"/>
      </w:r>
      <w:r>
        <w:rPr>
          <w:noProof/>
        </w:rPr>
        <w:t>145</w:t>
      </w:r>
      <w:r>
        <w:rPr>
          <w:noProof/>
        </w:rPr>
        <w:fldChar w:fldCharType="end"/>
      </w:r>
    </w:p>
    <w:p w14:paraId="15E98601" w14:textId="4E639267"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32.3</w:t>
      </w:r>
      <w:r>
        <w:rPr>
          <w:rFonts w:asciiTheme="minorHAnsi" w:eastAsiaTheme="minorEastAsia" w:hAnsiTheme="minorHAnsi" w:cstheme="minorBidi"/>
          <w:noProof/>
          <w:kern w:val="2"/>
          <w:sz w:val="24"/>
          <w:szCs w:val="24"/>
          <w:lang w:eastAsia="en-AU"/>
          <w14:ligatures w14:val="standardContextual"/>
        </w:rPr>
        <w:tab/>
      </w:r>
      <w:r>
        <w:rPr>
          <w:noProof/>
        </w:rPr>
        <w:t>Other information</w:t>
      </w:r>
      <w:r>
        <w:rPr>
          <w:noProof/>
        </w:rPr>
        <w:tab/>
      </w:r>
      <w:r>
        <w:rPr>
          <w:noProof/>
        </w:rPr>
        <w:fldChar w:fldCharType="begin"/>
      </w:r>
      <w:r>
        <w:rPr>
          <w:noProof/>
        </w:rPr>
        <w:instrText xml:space="preserve"> PAGEREF _Toc207309734 \h </w:instrText>
      </w:r>
      <w:r>
        <w:rPr>
          <w:noProof/>
        </w:rPr>
      </w:r>
      <w:r>
        <w:rPr>
          <w:noProof/>
        </w:rPr>
        <w:fldChar w:fldCharType="separate"/>
      </w:r>
      <w:r>
        <w:rPr>
          <w:noProof/>
        </w:rPr>
        <w:t>146</w:t>
      </w:r>
      <w:r>
        <w:rPr>
          <w:noProof/>
        </w:rPr>
        <w:fldChar w:fldCharType="end"/>
      </w:r>
    </w:p>
    <w:p w14:paraId="3AC69BC5" w14:textId="247E38E6"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32.4</w:t>
      </w:r>
      <w:r>
        <w:rPr>
          <w:rFonts w:asciiTheme="minorHAnsi" w:eastAsiaTheme="minorEastAsia" w:hAnsiTheme="minorHAnsi" w:cstheme="minorBidi"/>
          <w:noProof/>
          <w:kern w:val="2"/>
          <w:sz w:val="24"/>
          <w:szCs w:val="24"/>
          <w:lang w:eastAsia="en-AU"/>
          <w14:ligatures w14:val="standardContextual"/>
        </w:rPr>
        <w:tab/>
      </w:r>
      <w:r>
        <w:rPr>
          <w:noProof/>
        </w:rPr>
        <w:t>Right to access and audit</w:t>
      </w:r>
      <w:r>
        <w:rPr>
          <w:noProof/>
        </w:rPr>
        <w:tab/>
      </w:r>
      <w:r>
        <w:rPr>
          <w:noProof/>
        </w:rPr>
        <w:fldChar w:fldCharType="begin"/>
      </w:r>
      <w:r>
        <w:rPr>
          <w:noProof/>
        </w:rPr>
        <w:instrText xml:space="preserve"> PAGEREF _Toc207309735 \h </w:instrText>
      </w:r>
      <w:r>
        <w:rPr>
          <w:noProof/>
        </w:rPr>
      </w:r>
      <w:r>
        <w:rPr>
          <w:noProof/>
        </w:rPr>
        <w:fldChar w:fldCharType="separate"/>
      </w:r>
      <w:r>
        <w:rPr>
          <w:noProof/>
        </w:rPr>
        <w:t>146</w:t>
      </w:r>
      <w:r>
        <w:rPr>
          <w:noProof/>
        </w:rPr>
        <w:fldChar w:fldCharType="end"/>
      </w:r>
    </w:p>
    <w:p w14:paraId="7052B260" w14:textId="1F0981C6"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32.5</w:t>
      </w:r>
      <w:r>
        <w:rPr>
          <w:rFonts w:asciiTheme="minorHAnsi" w:eastAsiaTheme="minorEastAsia" w:hAnsiTheme="minorHAnsi" w:cstheme="minorBidi"/>
          <w:noProof/>
          <w:kern w:val="2"/>
          <w:sz w:val="24"/>
          <w:szCs w:val="24"/>
          <w:lang w:eastAsia="en-AU"/>
          <w14:ligatures w14:val="standardContextual"/>
        </w:rPr>
        <w:tab/>
      </w:r>
      <w:r>
        <w:rPr>
          <w:noProof/>
        </w:rPr>
        <w:t>Site inspection</w:t>
      </w:r>
      <w:r>
        <w:rPr>
          <w:noProof/>
        </w:rPr>
        <w:tab/>
      </w:r>
      <w:r>
        <w:rPr>
          <w:noProof/>
        </w:rPr>
        <w:fldChar w:fldCharType="begin"/>
      </w:r>
      <w:r>
        <w:rPr>
          <w:noProof/>
        </w:rPr>
        <w:instrText xml:space="preserve"> PAGEREF _Toc207309736 \h </w:instrText>
      </w:r>
      <w:r>
        <w:rPr>
          <w:noProof/>
        </w:rPr>
      </w:r>
      <w:r>
        <w:rPr>
          <w:noProof/>
        </w:rPr>
        <w:fldChar w:fldCharType="separate"/>
      </w:r>
      <w:r>
        <w:rPr>
          <w:noProof/>
        </w:rPr>
        <w:t>148</w:t>
      </w:r>
      <w:r>
        <w:rPr>
          <w:noProof/>
        </w:rPr>
        <w:fldChar w:fldCharType="end"/>
      </w:r>
    </w:p>
    <w:p w14:paraId="2F91F69A" w14:textId="65231564"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32.6</w:t>
      </w:r>
      <w:r>
        <w:rPr>
          <w:rFonts w:asciiTheme="minorHAnsi" w:eastAsiaTheme="minorEastAsia" w:hAnsiTheme="minorHAnsi" w:cstheme="minorBidi"/>
          <w:noProof/>
          <w:kern w:val="2"/>
          <w:sz w:val="24"/>
          <w:szCs w:val="24"/>
          <w:lang w:eastAsia="en-AU"/>
          <w14:ligatures w14:val="standardContextual"/>
        </w:rPr>
        <w:tab/>
      </w:r>
      <w:r>
        <w:rPr>
          <w:noProof/>
        </w:rPr>
        <w:t>Legal Professional Privilege</w:t>
      </w:r>
      <w:r>
        <w:rPr>
          <w:noProof/>
        </w:rPr>
        <w:tab/>
      </w:r>
      <w:r>
        <w:rPr>
          <w:noProof/>
        </w:rPr>
        <w:fldChar w:fldCharType="begin"/>
      </w:r>
      <w:r>
        <w:rPr>
          <w:noProof/>
        </w:rPr>
        <w:instrText xml:space="preserve"> PAGEREF _Toc207309737 \h </w:instrText>
      </w:r>
      <w:r>
        <w:rPr>
          <w:noProof/>
        </w:rPr>
      </w:r>
      <w:r>
        <w:rPr>
          <w:noProof/>
        </w:rPr>
        <w:fldChar w:fldCharType="separate"/>
      </w:r>
      <w:r>
        <w:rPr>
          <w:noProof/>
        </w:rPr>
        <w:t>149</w:t>
      </w:r>
      <w:r>
        <w:rPr>
          <w:noProof/>
        </w:rPr>
        <w:fldChar w:fldCharType="end"/>
      </w:r>
    </w:p>
    <w:p w14:paraId="0DAE30D0" w14:textId="1372F698" w:rsidR="00537D9A" w:rsidRDefault="00537D9A">
      <w:pPr>
        <w:pStyle w:val="TOC1"/>
        <w:rPr>
          <w:rFonts w:asciiTheme="minorHAnsi" w:eastAsiaTheme="minorEastAsia" w:hAnsiTheme="minorHAnsi" w:cstheme="minorBidi"/>
          <w:b w:val="0"/>
          <w:noProof/>
          <w:kern w:val="2"/>
          <w:sz w:val="24"/>
          <w:szCs w:val="24"/>
          <w:lang w:eastAsia="en-AU"/>
          <w14:ligatures w14:val="standardContextual"/>
        </w:rPr>
      </w:pPr>
      <w:r>
        <w:rPr>
          <w:noProof/>
        </w:rPr>
        <w:t>33</w:t>
      </w:r>
      <w:r>
        <w:rPr>
          <w:rFonts w:asciiTheme="minorHAnsi" w:eastAsiaTheme="minorEastAsia" w:hAnsiTheme="minorHAnsi" w:cstheme="minorBidi"/>
          <w:b w:val="0"/>
          <w:noProof/>
          <w:kern w:val="2"/>
          <w:sz w:val="24"/>
          <w:szCs w:val="24"/>
          <w:lang w:eastAsia="en-AU"/>
          <w14:ligatures w14:val="standardContextual"/>
        </w:rPr>
        <w:tab/>
      </w:r>
      <w:r>
        <w:rPr>
          <w:noProof/>
        </w:rPr>
        <w:t>Costs</w:t>
      </w:r>
      <w:r>
        <w:rPr>
          <w:noProof/>
        </w:rPr>
        <w:tab/>
      </w:r>
      <w:r>
        <w:rPr>
          <w:noProof/>
        </w:rPr>
        <w:fldChar w:fldCharType="begin"/>
      </w:r>
      <w:r>
        <w:rPr>
          <w:noProof/>
        </w:rPr>
        <w:instrText xml:space="preserve"> PAGEREF _Toc207309738 \h </w:instrText>
      </w:r>
      <w:r>
        <w:rPr>
          <w:noProof/>
        </w:rPr>
      </w:r>
      <w:r>
        <w:rPr>
          <w:noProof/>
        </w:rPr>
        <w:fldChar w:fldCharType="separate"/>
      </w:r>
      <w:r>
        <w:rPr>
          <w:noProof/>
        </w:rPr>
        <w:t>149</w:t>
      </w:r>
      <w:r>
        <w:rPr>
          <w:noProof/>
        </w:rPr>
        <w:fldChar w:fldCharType="end"/>
      </w:r>
    </w:p>
    <w:p w14:paraId="6E935E3F" w14:textId="6A1655B0" w:rsidR="00537D9A" w:rsidRDefault="00537D9A">
      <w:pPr>
        <w:pStyle w:val="TOC1"/>
        <w:rPr>
          <w:rFonts w:asciiTheme="minorHAnsi" w:eastAsiaTheme="minorEastAsia" w:hAnsiTheme="minorHAnsi" w:cstheme="minorBidi"/>
          <w:b w:val="0"/>
          <w:noProof/>
          <w:kern w:val="2"/>
          <w:sz w:val="24"/>
          <w:szCs w:val="24"/>
          <w:lang w:eastAsia="en-AU"/>
          <w14:ligatures w14:val="standardContextual"/>
        </w:rPr>
      </w:pPr>
      <w:r>
        <w:rPr>
          <w:noProof/>
        </w:rPr>
        <w:t>34</w:t>
      </w:r>
      <w:r>
        <w:rPr>
          <w:rFonts w:asciiTheme="minorHAnsi" w:eastAsiaTheme="minorEastAsia" w:hAnsiTheme="minorHAnsi" w:cstheme="minorBidi"/>
          <w:b w:val="0"/>
          <w:noProof/>
          <w:kern w:val="2"/>
          <w:sz w:val="24"/>
          <w:szCs w:val="24"/>
          <w:lang w:eastAsia="en-AU"/>
          <w14:ligatures w14:val="standardContextual"/>
        </w:rPr>
        <w:tab/>
      </w:r>
      <w:r>
        <w:rPr>
          <w:noProof/>
        </w:rPr>
        <w:t>Relevant Commonwealth Policies and other requirements</w:t>
      </w:r>
      <w:r>
        <w:rPr>
          <w:noProof/>
        </w:rPr>
        <w:tab/>
      </w:r>
      <w:r>
        <w:rPr>
          <w:noProof/>
        </w:rPr>
        <w:fldChar w:fldCharType="begin"/>
      </w:r>
      <w:r>
        <w:rPr>
          <w:noProof/>
        </w:rPr>
        <w:instrText xml:space="preserve"> PAGEREF _Toc207309739 \h </w:instrText>
      </w:r>
      <w:r>
        <w:rPr>
          <w:noProof/>
        </w:rPr>
      </w:r>
      <w:r>
        <w:rPr>
          <w:noProof/>
        </w:rPr>
        <w:fldChar w:fldCharType="separate"/>
      </w:r>
      <w:r>
        <w:rPr>
          <w:noProof/>
        </w:rPr>
        <w:t>149</w:t>
      </w:r>
      <w:r>
        <w:rPr>
          <w:noProof/>
        </w:rPr>
        <w:fldChar w:fldCharType="end"/>
      </w:r>
    </w:p>
    <w:p w14:paraId="26938A0E" w14:textId="00C21818" w:rsidR="00537D9A" w:rsidRDefault="00537D9A">
      <w:pPr>
        <w:pStyle w:val="TOC1"/>
        <w:rPr>
          <w:rFonts w:asciiTheme="minorHAnsi" w:eastAsiaTheme="minorEastAsia" w:hAnsiTheme="minorHAnsi" w:cstheme="minorBidi"/>
          <w:b w:val="0"/>
          <w:noProof/>
          <w:kern w:val="2"/>
          <w:sz w:val="24"/>
          <w:szCs w:val="24"/>
          <w:lang w:eastAsia="en-AU"/>
          <w14:ligatures w14:val="standardContextual"/>
        </w:rPr>
      </w:pPr>
      <w:r>
        <w:rPr>
          <w:noProof/>
        </w:rPr>
        <w:t>35</w:t>
      </w:r>
      <w:r>
        <w:rPr>
          <w:rFonts w:asciiTheme="minorHAnsi" w:eastAsiaTheme="minorEastAsia" w:hAnsiTheme="minorHAnsi" w:cstheme="minorBidi"/>
          <w:b w:val="0"/>
          <w:noProof/>
          <w:kern w:val="2"/>
          <w:sz w:val="24"/>
          <w:szCs w:val="24"/>
          <w:lang w:eastAsia="en-AU"/>
          <w14:ligatures w14:val="standardContextual"/>
        </w:rPr>
        <w:tab/>
      </w:r>
      <w:r>
        <w:rPr>
          <w:noProof/>
        </w:rPr>
        <w:t>Contract Representative</w:t>
      </w:r>
      <w:r>
        <w:rPr>
          <w:noProof/>
        </w:rPr>
        <w:tab/>
      </w:r>
      <w:r>
        <w:rPr>
          <w:noProof/>
        </w:rPr>
        <w:fldChar w:fldCharType="begin"/>
      </w:r>
      <w:r>
        <w:rPr>
          <w:noProof/>
        </w:rPr>
        <w:instrText xml:space="preserve"> PAGEREF _Toc207309740 \h </w:instrText>
      </w:r>
      <w:r>
        <w:rPr>
          <w:noProof/>
        </w:rPr>
      </w:r>
      <w:r>
        <w:rPr>
          <w:noProof/>
        </w:rPr>
        <w:fldChar w:fldCharType="separate"/>
      </w:r>
      <w:r>
        <w:rPr>
          <w:noProof/>
        </w:rPr>
        <w:t>149</w:t>
      </w:r>
      <w:r>
        <w:rPr>
          <w:noProof/>
        </w:rPr>
        <w:fldChar w:fldCharType="end"/>
      </w:r>
    </w:p>
    <w:p w14:paraId="0523F59C" w14:textId="28677833" w:rsidR="00537D9A" w:rsidRDefault="00537D9A">
      <w:pPr>
        <w:pStyle w:val="TOC1"/>
        <w:rPr>
          <w:rFonts w:asciiTheme="minorHAnsi" w:eastAsiaTheme="minorEastAsia" w:hAnsiTheme="minorHAnsi" w:cstheme="minorBidi"/>
          <w:b w:val="0"/>
          <w:noProof/>
          <w:kern w:val="2"/>
          <w:sz w:val="24"/>
          <w:szCs w:val="24"/>
          <w:lang w:eastAsia="en-AU"/>
          <w14:ligatures w14:val="standardContextual"/>
        </w:rPr>
      </w:pPr>
      <w:r>
        <w:rPr>
          <w:noProof/>
        </w:rPr>
        <w:t>36</w:t>
      </w:r>
      <w:r>
        <w:rPr>
          <w:rFonts w:asciiTheme="minorHAnsi" w:eastAsiaTheme="minorEastAsia" w:hAnsiTheme="minorHAnsi" w:cstheme="minorBidi"/>
          <w:b w:val="0"/>
          <w:noProof/>
          <w:kern w:val="2"/>
          <w:sz w:val="24"/>
          <w:szCs w:val="24"/>
          <w:lang w:eastAsia="en-AU"/>
          <w14:ligatures w14:val="standardContextual"/>
        </w:rPr>
        <w:tab/>
      </w:r>
      <w:r>
        <w:rPr>
          <w:noProof/>
        </w:rPr>
        <w:t>Notices</w:t>
      </w:r>
      <w:r>
        <w:rPr>
          <w:noProof/>
        </w:rPr>
        <w:tab/>
      </w:r>
      <w:r>
        <w:rPr>
          <w:noProof/>
        </w:rPr>
        <w:fldChar w:fldCharType="begin"/>
      </w:r>
      <w:r>
        <w:rPr>
          <w:noProof/>
        </w:rPr>
        <w:instrText xml:space="preserve"> PAGEREF _Toc207309741 \h </w:instrText>
      </w:r>
      <w:r>
        <w:rPr>
          <w:noProof/>
        </w:rPr>
      </w:r>
      <w:r>
        <w:rPr>
          <w:noProof/>
        </w:rPr>
        <w:fldChar w:fldCharType="separate"/>
      </w:r>
      <w:r>
        <w:rPr>
          <w:noProof/>
        </w:rPr>
        <w:t>150</w:t>
      </w:r>
      <w:r>
        <w:rPr>
          <w:noProof/>
        </w:rPr>
        <w:fldChar w:fldCharType="end"/>
      </w:r>
    </w:p>
    <w:p w14:paraId="4F920FD4" w14:textId="1EE6CEFA"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36.1</w:t>
      </w:r>
      <w:r>
        <w:rPr>
          <w:rFonts w:asciiTheme="minorHAnsi" w:eastAsiaTheme="minorEastAsia" w:hAnsiTheme="minorHAnsi" w:cstheme="minorBidi"/>
          <w:noProof/>
          <w:kern w:val="2"/>
          <w:sz w:val="24"/>
          <w:szCs w:val="24"/>
          <w:lang w:eastAsia="en-AU"/>
          <w14:ligatures w14:val="standardContextual"/>
        </w:rPr>
        <w:tab/>
      </w:r>
      <w:r>
        <w:rPr>
          <w:noProof/>
        </w:rPr>
        <w:t>Form</w:t>
      </w:r>
      <w:r>
        <w:rPr>
          <w:noProof/>
        </w:rPr>
        <w:tab/>
      </w:r>
      <w:r>
        <w:rPr>
          <w:noProof/>
        </w:rPr>
        <w:fldChar w:fldCharType="begin"/>
      </w:r>
      <w:r>
        <w:rPr>
          <w:noProof/>
        </w:rPr>
        <w:instrText xml:space="preserve"> PAGEREF _Toc207309742 \h </w:instrText>
      </w:r>
      <w:r>
        <w:rPr>
          <w:noProof/>
        </w:rPr>
      </w:r>
      <w:r>
        <w:rPr>
          <w:noProof/>
        </w:rPr>
        <w:fldChar w:fldCharType="separate"/>
      </w:r>
      <w:r>
        <w:rPr>
          <w:noProof/>
        </w:rPr>
        <w:t>150</w:t>
      </w:r>
      <w:r>
        <w:rPr>
          <w:noProof/>
        </w:rPr>
        <w:fldChar w:fldCharType="end"/>
      </w:r>
    </w:p>
    <w:p w14:paraId="31760DA9" w14:textId="4C0D2BFF"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36.2</w:t>
      </w:r>
      <w:r>
        <w:rPr>
          <w:rFonts w:asciiTheme="minorHAnsi" w:eastAsiaTheme="minorEastAsia" w:hAnsiTheme="minorHAnsi" w:cstheme="minorBidi"/>
          <w:noProof/>
          <w:kern w:val="2"/>
          <w:sz w:val="24"/>
          <w:szCs w:val="24"/>
          <w:lang w:eastAsia="en-AU"/>
          <w14:ligatures w14:val="standardContextual"/>
        </w:rPr>
        <w:tab/>
      </w:r>
      <w:r>
        <w:rPr>
          <w:noProof/>
        </w:rPr>
        <w:t>Delivery</w:t>
      </w:r>
      <w:r>
        <w:rPr>
          <w:noProof/>
        </w:rPr>
        <w:tab/>
      </w:r>
      <w:r>
        <w:rPr>
          <w:noProof/>
        </w:rPr>
        <w:fldChar w:fldCharType="begin"/>
      </w:r>
      <w:r>
        <w:rPr>
          <w:noProof/>
        </w:rPr>
        <w:instrText xml:space="preserve"> PAGEREF _Toc207309743 \h </w:instrText>
      </w:r>
      <w:r>
        <w:rPr>
          <w:noProof/>
        </w:rPr>
      </w:r>
      <w:r>
        <w:rPr>
          <w:noProof/>
        </w:rPr>
        <w:fldChar w:fldCharType="separate"/>
      </w:r>
      <w:r>
        <w:rPr>
          <w:noProof/>
        </w:rPr>
        <w:t>150</w:t>
      </w:r>
      <w:r>
        <w:rPr>
          <w:noProof/>
        </w:rPr>
        <w:fldChar w:fldCharType="end"/>
      </w:r>
    </w:p>
    <w:p w14:paraId="18F6D77A" w14:textId="17EEDCC4"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36.3</w:t>
      </w:r>
      <w:r>
        <w:rPr>
          <w:rFonts w:asciiTheme="minorHAnsi" w:eastAsiaTheme="minorEastAsia" w:hAnsiTheme="minorHAnsi" w:cstheme="minorBidi"/>
          <w:noProof/>
          <w:kern w:val="2"/>
          <w:sz w:val="24"/>
          <w:szCs w:val="24"/>
          <w:lang w:eastAsia="en-AU"/>
          <w14:ligatures w14:val="standardContextual"/>
        </w:rPr>
        <w:tab/>
      </w:r>
      <w:r>
        <w:rPr>
          <w:noProof/>
        </w:rPr>
        <w:t>When effective</w:t>
      </w:r>
      <w:r>
        <w:rPr>
          <w:noProof/>
        </w:rPr>
        <w:tab/>
      </w:r>
      <w:r>
        <w:rPr>
          <w:noProof/>
        </w:rPr>
        <w:fldChar w:fldCharType="begin"/>
      </w:r>
      <w:r>
        <w:rPr>
          <w:noProof/>
        </w:rPr>
        <w:instrText xml:space="preserve"> PAGEREF _Toc207309744 \h </w:instrText>
      </w:r>
      <w:r>
        <w:rPr>
          <w:noProof/>
        </w:rPr>
      </w:r>
      <w:r>
        <w:rPr>
          <w:noProof/>
        </w:rPr>
        <w:fldChar w:fldCharType="separate"/>
      </w:r>
      <w:r>
        <w:rPr>
          <w:noProof/>
        </w:rPr>
        <w:t>150</w:t>
      </w:r>
      <w:r>
        <w:rPr>
          <w:noProof/>
        </w:rPr>
        <w:fldChar w:fldCharType="end"/>
      </w:r>
    </w:p>
    <w:p w14:paraId="50B516F2" w14:textId="00AA5886"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36.4</w:t>
      </w:r>
      <w:r>
        <w:rPr>
          <w:rFonts w:asciiTheme="minorHAnsi" w:eastAsiaTheme="minorEastAsia" w:hAnsiTheme="minorHAnsi" w:cstheme="minorBidi"/>
          <w:noProof/>
          <w:kern w:val="2"/>
          <w:sz w:val="24"/>
          <w:szCs w:val="24"/>
          <w:lang w:eastAsia="en-AU"/>
          <w14:ligatures w14:val="standardContextual"/>
        </w:rPr>
        <w:tab/>
      </w:r>
      <w:r>
        <w:rPr>
          <w:noProof/>
        </w:rPr>
        <w:t>When taken to be received</w:t>
      </w:r>
      <w:r>
        <w:rPr>
          <w:noProof/>
        </w:rPr>
        <w:tab/>
      </w:r>
      <w:r>
        <w:rPr>
          <w:noProof/>
        </w:rPr>
        <w:fldChar w:fldCharType="begin"/>
      </w:r>
      <w:r>
        <w:rPr>
          <w:noProof/>
        </w:rPr>
        <w:instrText xml:space="preserve"> PAGEREF _Toc207309745 \h </w:instrText>
      </w:r>
      <w:r>
        <w:rPr>
          <w:noProof/>
        </w:rPr>
      </w:r>
      <w:r>
        <w:rPr>
          <w:noProof/>
        </w:rPr>
        <w:fldChar w:fldCharType="separate"/>
      </w:r>
      <w:r>
        <w:rPr>
          <w:noProof/>
        </w:rPr>
        <w:t>150</w:t>
      </w:r>
      <w:r>
        <w:rPr>
          <w:noProof/>
        </w:rPr>
        <w:fldChar w:fldCharType="end"/>
      </w:r>
    </w:p>
    <w:p w14:paraId="4E3E2186" w14:textId="42DBA1CB"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36.5</w:t>
      </w:r>
      <w:r>
        <w:rPr>
          <w:rFonts w:asciiTheme="minorHAnsi" w:eastAsiaTheme="minorEastAsia" w:hAnsiTheme="minorHAnsi" w:cstheme="minorBidi"/>
          <w:noProof/>
          <w:kern w:val="2"/>
          <w:sz w:val="24"/>
          <w:szCs w:val="24"/>
          <w:lang w:eastAsia="en-AU"/>
          <w14:ligatures w14:val="standardContextual"/>
        </w:rPr>
        <w:tab/>
      </w:r>
      <w:r>
        <w:rPr>
          <w:noProof/>
        </w:rPr>
        <w:t>Receipt outside business hours</w:t>
      </w:r>
      <w:r>
        <w:rPr>
          <w:noProof/>
        </w:rPr>
        <w:tab/>
      </w:r>
      <w:r>
        <w:rPr>
          <w:noProof/>
        </w:rPr>
        <w:fldChar w:fldCharType="begin"/>
      </w:r>
      <w:r>
        <w:rPr>
          <w:noProof/>
        </w:rPr>
        <w:instrText xml:space="preserve"> PAGEREF _Toc207309746 \h </w:instrText>
      </w:r>
      <w:r>
        <w:rPr>
          <w:noProof/>
        </w:rPr>
      </w:r>
      <w:r>
        <w:rPr>
          <w:noProof/>
        </w:rPr>
        <w:fldChar w:fldCharType="separate"/>
      </w:r>
      <w:r>
        <w:rPr>
          <w:noProof/>
        </w:rPr>
        <w:t>151</w:t>
      </w:r>
      <w:r>
        <w:rPr>
          <w:noProof/>
        </w:rPr>
        <w:fldChar w:fldCharType="end"/>
      </w:r>
    </w:p>
    <w:p w14:paraId="4098E2D4" w14:textId="28D0DCFE" w:rsidR="00537D9A" w:rsidRDefault="00537D9A">
      <w:pPr>
        <w:pStyle w:val="TOC1"/>
        <w:rPr>
          <w:rFonts w:asciiTheme="minorHAnsi" w:eastAsiaTheme="minorEastAsia" w:hAnsiTheme="minorHAnsi" w:cstheme="minorBidi"/>
          <w:b w:val="0"/>
          <w:noProof/>
          <w:kern w:val="2"/>
          <w:sz w:val="24"/>
          <w:szCs w:val="24"/>
          <w:lang w:eastAsia="en-AU"/>
          <w14:ligatures w14:val="standardContextual"/>
        </w:rPr>
      </w:pPr>
      <w:r>
        <w:rPr>
          <w:noProof/>
        </w:rPr>
        <w:t>37</w:t>
      </w:r>
      <w:r>
        <w:rPr>
          <w:rFonts w:asciiTheme="minorHAnsi" w:eastAsiaTheme="minorEastAsia" w:hAnsiTheme="minorHAnsi" w:cstheme="minorBidi"/>
          <w:b w:val="0"/>
          <w:noProof/>
          <w:kern w:val="2"/>
          <w:sz w:val="24"/>
          <w:szCs w:val="24"/>
          <w:lang w:eastAsia="en-AU"/>
          <w14:ligatures w14:val="standardContextual"/>
        </w:rPr>
        <w:tab/>
      </w:r>
      <w:r>
        <w:rPr>
          <w:noProof/>
        </w:rPr>
        <w:t>General</w:t>
      </w:r>
      <w:r>
        <w:rPr>
          <w:noProof/>
        </w:rPr>
        <w:tab/>
      </w:r>
      <w:r>
        <w:rPr>
          <w:noProof/>
        </w:rPr>
        <w:fldChar w:fldCharType="begin"/>
      </w:r>
      <w:r>
        <w:rPr>
          <w:noProof/>
        </w:rPr>
        <w:instrText xml:space="preserve"> PAGEREF _Toc207309747 \h </w:instrText>
      </w:r>
      <w:r>
        <w:rPr>
          <w:noProof/>
        </w:rPr>
      </w:r>
      <w:r>
        <w:rPr>
          <w:noProof/>
        </w:rPr>
        <w:fldChar w:fldCharType="separate"/>
      </w:r>
      <w:r>
        <w:rPr>
          <w:noProof/>
        </w:rPr>
        <w:t>151</w:t>
      </w:r>
      <w:r>
        <w:rPr>
          <w:noProof/>
        </w:rPr>
        <w:fldChar w:fldCharType="end"/>
      </w:r>
    </w:p>
    <w:p w14:paraId="4442ADFD" w14:textId="6C16FAD4"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37.1</w:t>
      </w:r>
      <w:r>
        <w:rPr>
          <w:rFonts w:asciiTheme="minorHAnsi" w:eastAsiaTheme="minorEastAsia" w:hAnsiTheme="minorHAnsi" w:cstheme="minorBidi"/>
          <w:noProof/>
          <w:kern w:val="2"/>
          <w:sz w:val="24"/>
          <w:szCs w:val="24"/>
          <w:lang w:eastAsia="en-AU"/>
          <w14:ligatures w14:val="standardContextual"/>
        </w:rPr>
        <w:tab/>
      </w:r>
      <w:r>
        <w:rPr>
          <w:noProof/>
        </w:rPr>
        <w:t>Variation and waiver</w:t>
      </w:r>
      <w:r>
        <w:rPr>
          <w:noProof/>
        </w:rPr>
        <w:tab/>
      </w:r>
      <w:r>
        <w:rPr>
          <w:noProof/>
        </w:rPr>
        <w:fldChar w:fldCharType="begin"/>
      </w:r>
      <w:r>
        <w:rPr>
          <w:noProof/>
        </w:rPr>
        <w:instrText xml:space="preserve"> PAGEREF _Toc207309748 \h </w:instrText>
      </w:r>
      <w:r>
        <w:rPr>
          <w:noProof/>
        </w:rPr>
      </w:r>
      <w:r>
        <w:rPr>
          <w:noProof/>
        </w:rPr>
        <w:fldChar w:fldCharType="separate"/>
      </w:r>
      <w:r>
        <w:rPr>
          <w:noProof/>
        </w:rPr>
        <w:t>151</w:t>
      </w:r>
      <w:r>
        <w:rPr>
          <w:noProof/>
        </w:rPr>
        <w:fldChar w:fldCharType="end"/>
      </w:r>
    </w:p>
    <w:p w14:paraId="4D19ADFB" w14:textId="7719B4C8"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37.2</w:t>
      </w:r>
      <w:r>
        <w:rPr>
          <w:rFonts w:asciiTheme="minorHAnsi" w:eastAsiaTheme="minorEastAsia" w:hAnsiTheme="minorHAnsi" w:cstheme="minorBidi"/>
          <w:noProof/>
          <w:kern w:val="2"/>
          <w:sz w:val="24"/>
          <w:szCs w:val="24"/>
          <w:lang w:eastAsia="en-AU"/>
          <w14:ligatures w14:val="standardContextual"/>
        </w:rPr>
        <w:tab/>
      </w:r>
      <w:r>
        <w:rPr>
          <w:noProof/>
        </w:rPr>
        <w:t>Consents, approvals or waivers</w:t>
      </w:r>
      <w:r>
        <w:rPr>
          <w:noProof/>
        </w:rPr>
        <w:tab/>
      </w:r>
      <w:r>
        <w:rPr>
          <w:noProof/>
        </w:rPr>
        <w:fldChar w:fldCharType="begin"/>
      </w:r>
      <w:r>
        <w:rPr>
          <w:noProof/>
        </w:rPr>
        <w:instrText xml:space="preserve"> PAGEREF _Toc207309749 \h </w:instrText>
      </w:r>
      <w:r>
        <w:rPr>
          <w:noProof/>
        </w:rPr>
      </w:r>
      <w:r>
        <w:rPr>
          <w:noProof/>
        </w:rPr>
        <w:fldChar w:fldCharType="separate"/>
      </w:r>
      <w:r>
        <w:rPr>
          <w:noProof/>
        </w:rPr>
        <w:t>151</w:t>
      </w:r>
      <w:r>
        <w:rPr>
          <w:noProof/>
        </w:rPr>
        <w:fldChar w:fldCharType="end"/>
      </w:r>
    </w:p>
    <w:p w14:paraId="6D3465AD" w14:textId="22A0E1C6"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37.3</w:t>
      </w:r>
      <w:r>
        <w:rPr>
          <w:rFonts w:asciiTheme="minorHAnsi" w:eastAsiaTheme="minorEastAsia" w:hAnsiTheme="minorHAnsi" w:cstheme="minorBidi"/>
          <w:noProof/>
          <w:kern w:val="2"/>
          <w:sz w:val="24"/>
          <w:szCs w:val="24"/>
          <w:lang w:eastAsia="en-AU"/>
          <w14:ligatures w14:val="standardContextual"/>
        </w:rPr>
        <w:tab/>
      </w:r>
      <w:r>
        <w:rPr>
          <w:noProof/>
        </w:rPr>
        <w:t>Discretion in exercising rights</w:t>
      </w:r>
      <w:r>
        <w:rPr>
          <w:noProof/>
        </w:rPr>
        <w:tab/>
      </w:r>
      <w:r>
        <w:rPr>
          <w:noProof/>
        </w:rPr>
        <w:fldChar w:fldCharType="begin"/>
      </w:r>
      <w:r>
        <w:rPr>
          <w:noProof/>
        </w:rPr>
        <w:instrText xml:space="preserve"> PAGEREF _Toc207309750 \h </w:instrText>
      </w:r>
      <w:r>
        <w:rPr>
          <w:noProof/>
        </w:rPr>
      </w:r>
      <w:r>
        <w:rPr>
          <w:noProof/>
        </w:rPr>
        <w:fldChar w:fldCharType="separate"/>
      </w:r>
      <w:r>
        <w:rPr>
          <w:noProof/>
        </w:rPr>
        <w:t>151</w:t>
      </w:r>
      <w:r>
        <w:rPr>
          <w:noProof/>
        </w:rPr>
        <w:fldChar w:fldCharType="end"/>
      </w:r>
    </w:p>
    <w:p w14:paraId="0E2D827B" w14:textId="1AFF9CD3"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37.4</w:t>
      </w:r>
      <w:r>
        <w:rPr>
          <w:rFonts w:asciiTheme="minorHAnsi" w:eastAsiaTheme="minorEastAsia" w:hAnsiTheme="minorHAnsi" w:cstheme="minorBidi"/>
          <w:noProof/>
          <w:kern w:val="2"/>
          <w:sz w:val="24"/>
          <w:szCs w:val="24"/>
          <w:lang w:eastAsia="en-AU"/>
          <w14:ligatures w14:val="standardContextual"/>
        </w:rPr>
        <w:tab/>
      </w:r>
      <w:r>
        <w:rPr>
          <w:noProof/>
        </w:rPr>
        <w:t>Partial exercising of rights</w:t>
      </w:r>
      <w:r>
        <w:rPr>
          <w:noProof/>
        </w:rPr>
        <w:tab/>
      </w:r>
      <w:r>
        <w:rPr>
          <w:noProof/>
        </w:rPr>
        <w:fldChar w:fldCharType="begin"/>
      </w:r>
      <w:r>
        <w:rPr>
          <w:noProof/>
        </w:rPr>
        <w:instrText xml:space="preserve"> PAGEREF _Toc207309751 \h </w:instrText>
      </w:r>
      <w:r>
        <w:rPr>
          <w:noProof/>
        </w:rPr>
      </w:r>
      <w:r>
        <w:rPr>
          <w:noProof/>
        </w:rPr>
        <w:fldChar w:fldCharType="separate"/>
      </w:r>
      <w:r>
        <w:rPr>
          <w:noProof/>
        </w:rPr>
        <w:t>151</w:t>
      </w:r>
      <w:r>
        <w:rPr>
          <w:noProof/>
        </w:rPr>
        <w:fldChar w:fldCharType="end"/>
      </w:r>
    </w:p>
    <w:p w14:paraId="02F35A11" w14:textId="5C4BDD1D"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37.5</w:t>
      </w:r>
      <w:r>
        <w:rPr>
          <w:rFonts w:asciiTheme="minorHAnsi" w:eastAsiaTheme="minorEastAsia" w:hAnsiTheme="minorHAnsi" w:cstheme="minorBidi"/>
          <w:noProof/>
          <w:kern w:val="2"/>
          <w:sz w:val="24"/>
          <w:szCs w:val="24"/>
          <w:lang w:eastAsia="en-AU"/>
          <w14:ligatures w14:val="standardContextual"/>
        </w:rPr>
        <w:tab/>
      </w:r>
      <w:r>
        <w:rPr>
          <w:noProof/>
        </w:rPr>
        <w:t>Remedies cumulative</w:t>
      </w:r>
      <w:r>
        <w:rPr>
          <w:noProof/>
        </w:rPr>
        <w:tab/>
      </w:r>
      <w:r>
        <w:rPr>
          <w:noProof/>
        </w:rPr>
        <w:fldChar w:fldCharType="begin"/>
      </w:r>
      <w:r>
        <w:rPr>
          <w:noProof/>
        </w:rPr>
        <w:instrText xml:space="preserve"> PAGEREF _Toc207309752 \h </w:instrText>
      </w:r>
      <w:r>
        <w:rPr>
          <w:noProof/>
        </w:rPr>
      </w:r>
      <w:r>
        <w:rPr>
          <w:noProof/>
        </w:rPr>
        <w:fldChar w:fldCharType="separate"/>
      </w:r>
      <w:r>
        <w:rPr>
          <w:noProof/>
        </w:rPr>
        <w:t>151</w:t>
      </w:r>
      <w:r>
        <w:rPr>
          <w:noProof/>
        </w:rPr>
        <w:fldChar w:fldCharType="end"/>
      </w:r>
    </w:p>
    <w:p w14:paraId="4CD2E630" w14:textId="5DC45DE9"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37.6</w:t>
      </w:r>
      <w:r>
        <w:rPr>
          <w:rFonts w:asciiTheme="minorHAnsi" w:eastAsiaTheme="minorEastAsia" w:hAnsiTheme="minorHAnsi" w:cstheme="minorBidi"/>
          <w:noProof/>
          <w:kern w:val="2"/>
          <w:sz w:val="24"/>
          <w:szCs w:val="24"/>
          <w:lang w:eastAsia="en-AU"/>
          <w14:ligatures w14:val="standardContextual"/>
        </w:rPr>
        <w:tab/>
      </w:r>
      <w:r>
        <w:rPr>
          <w:noProof/>
        </w:rPr>
        <w:t>Indemnities and reimbursement obligations</w:t>
      </w:r>
      <w:r>
        <w:rPr>
          <w:noProof/>
        </w:rPr>
        <w:tab/>
      </w:r>
      <w:r>
        <w:rPr>
          <w:noProof/>
        </w:rPr>
        <w:fldChar w:fldCharType="begin"/>
      </w:r>
      <w:r>
        <w:rPr>
          <w:noProof/>
        </w:rPr>
        <w:instrText xml:space="preserve"> PAGEREF _Toc207309753 \h </w:instrText>
      </w:r>
      <w:r>
        <w:rPr>
          <w:noProof/>
        </w:rPr>
      </w:r>
      <w:r>
        <w:rPr>
          <w:noProof/>
        </w:rPr>
        <w:fldChar w:fldCharType="separate"/>
      </w:r>
      <w:r>
        <w:rPr>
          <w:noProof/>
        </w:rPr>
        <w:t>152</w:t>
      </w:r>
      <w:r>
        <w:rPr>
          <w:noProof/>
        </w:rPr>
        <w:fldChar w:fldCharType="end"/>
      </w:r>
    </w:p>
    <w:p w14:paraId="51D59921" w14:textId="1197CF7C"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37.7</w:t>
      </w:r>
      <w:r>
        <w:rPr>
          <w:rFonts w:asciiTheme="minorHAnsi" w:eastAsiaTheme="minorEastAsia" w:hAnsiTheme="minorHAnsi" w:cstheme="minorBidi"/>
          <w:noProof/>
          <w:kern w:val="2"/>
          <w:sz w:val="24"/>
          <w:szCs w:val="24"/>
          <w:lang w:eastAsia="en-AU"/>
          <w14:ligatures w14:val="standardContextual"/>
        </w:rPr>
        <w:tab/>
      </w:r>
      <w:r>
        <w:rPr>
          <w:noProof/>
        </w:rPr>
        <w:t>Supervening Law</w:t>
      </w:r>
      <w:r>
        <w:rPr>
          <w:noProof/>
        </w:rPr>
        <w:tab/>
      </w:r>
      <w:r>
        <w:rPr>
          <w:noProof/>
        </w:rPr>
        <w:fldChar w:fldCharType="begin"/>
      </w:r>
      <w:r>
        <w:rPr>
          <w:noProof/>
        </w:rPr>
        <w:instrText xml:space="preserve"> PAGEREF _Toc207309754 \h </w:instrText>
      </w:r>
      <w:r>
        <w:rPr>
          <w:noProof/>
        </w:rPr>
      </w:r>
      <w:r>
        <w:rPr>
          <w:noProof/>
        </w:rPr>
        <w:fldChar w:fldCharType="separate"/>
      </w:r>
      <w:r>
        <w:rPr>
          <w:noProof/>
        </w:rPr>
        <w:t>152</w:t>
      </w:r>
      <w:r>
        <w:rPr>
          <w:noProof/>
        </w:rPr>
        <w:fldChar w:fldCharType="end"/>
      </w:r>
    </w:p>
    <w:p w14:paraId="0A6061BB" w14:textId="6EBCBAA7"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37.8</w:t>
      </w:r>
      <w:r>
        <w:rPr>
          <w:rFonts w:asciiTheme="minorHAnsi" w:eastAsiaTheme="minorEastAsia" w:hAnsiTheme="minorHAnsi" w:cstheme="minorBidi"/>
          <w:noProof/>
          <w:kern w:val="2"/>
          <w:sz w:val="24"/>
          <w:szCs w:val="24"/>
          <w:lang w:eastAsia="en-AU"/>
          <w14:ligatures w14:val="standardContextual"/>
        </w:rPr>
        <w:tab/>
      </w:r>
      <w:r>
        <w:rPr>
          <w:noProof/>
        </w:rPr>
        <w:t>Counterparts</w:t>
      </w:r>
      <w:r>
        <w:rPr>
          <w:noProof/>
        </w:rPr>
        <w:tab/>
      </w:r>
      <w:r>
        <w:rPr>
          <w:noProof/>
        </w:rPr>
        <w:fldChar w:fldCharType="begin"/>
      </w:r>
      <w:r>
        <w:rPr>
          <w:noProof/>
        </w:rPr>
        <w:instrText xml:space="preserve"> PAGEREF _Toc207309755 \h </w:instrText>
      </w:r>
      <w:r>
        <w:rPr>
          <w:noProof/>
        </w:rPr>
      </w:r>
      <w:r>
        <w:rPr>
          <w:noProof/>
        </w:rPr>
        <w:fldChar w:fldCharType="separate"/>
      </w:r>
      <w:r>
        <w:rPr>
          <w:noProof/>
        </w:rPr>
        <w:t>152</w:t>
      </w:r>
      <w:r>
        <w:rPr>
          <w:noProof/>
        </w:rPr>
        <w:fldChar w:fldCharType="end"/>
      </w:r>
    </w:p>
    <w:p w14:paraId="2E91F523" w14:textId="26E47CE8"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37.9</w:t>
      </w:r>
      <w:r>
        <w:rPr>
          <w:rFonts w:asciiTheme="minorHAnsi" w:eastAsiaTheme="minorEastAsia" w:hAnsiTheme="minorHAnsi" w:cstheme="minorBidi"/>
          <w:noProof/>
          <w:kern w:val="2"/>
          <w:sz w:val="24"/>
          <w:szCs w:val="24"/>
          <w:lang w:eastAsia="en-AU"/>
          <w14:ligatures w14:val="standardContextual"/>
        </w:rPr>
        <w:tab/>
      </w:r>
      <w:r>
        <w:rPr>
          <w:noProof/>
        </w:rPr>
        <w:t>Entire agreement</w:t>
      </w:r>
      <w:r>
        <w:rPr>
          <w:noProof/>
        </w:rPr>
        <w:tab/>
      </w:r>
      <w:r>
        <w:rPr>
          <w:noProof/>
        </w:rPr>
        <w:fldChar w:fldCharType="begin"/>
      </w:r>
      <w:r>
        <w:rPr>
          <w:noProof/>
        </w:rPr>
        <w:instrText xml:space="preserve"> PAGEREF _Toc207309756 \h </w:instrText>
      </w:r>
      <w:r>
        <w:rPr>
          <w:noProof/>
        </w:rPr>
      </w:r>
      <w:r>
        <w:rPr>
          <w:noProof/>
        </w:rPr>
        <w:fldChar w:fldCharType="separate"/>
      </w:r>
      <w:r>
        <w:rPr>
          <w:noProof/>
        </w:rPr>
        <w:t>152</w:t>
      </w:r>
      <w:r>
        <w:rPr>
          <w:noProof/>
        </w:rPr>
        <w:fldChar w:fldCharType="end"/>
      </w:r>
    </w:p>
    <w:p w14:paraId="30760E04" w14:textId="464B00E5"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37.10</w:t>
      </w:r>
      <w:r>
        <w:rPr>
          <w:rFonts w:asciiTheme="minorHAnsi" w:eastAsiaTheme="minorEastAsia" w:hAnsiTheme="minorHAnsi" w:cstheme="minorBidi"/>
          <w:noProof/>
          <w:kern w:val="2"/>
          <w:sz w:val="24"/>
          <w:szCs w:val="24"/>
          <w:lang w:eastAsia="en-AU"/>
          <w14:ligatures w14:val="standardContextual"/>
        </w:rPr>
        <w:tab/>
      </w:r>
      <w:r>
        <w:rPr>
          <w:noProof/>
        </w:rPr>
        <w:t>No liability for loss</w:t>
      </w:r>
      <w:r>
        <w:rPr>
          <w:noProof/>
        </w:rPr>
        <w:tab/>
      </w:r>
      <w:r>
        <w:rPr>
          <w:noProof/>
        </w:rPr>
        <w:fldChar w:fldCharType="begin"/>
      </w:r>
      <w:r>
        <w:rPr>
          <w:noProof/>
        </w:rPr>
        <w:instrText xml:space="preserve"> PAGEREF _Toc207309757 \h </w:instrText>
      </w:r>
      <w:r>
        <w:rPr>
          <w:noProof/>
        </w:rPr>
      </w:r>
      <w:r>
        <w:rPr>
          <w:noProof/>
        </w:rPr>
        <w:fldChar w:fldCharType="separate"/>
      </w:r>
      <w:r>
        <w:rPr>
          <w:noProof/>
        </w:rPr>
        <w:t>152</w:t>
      </w:r>
      <w:r>
        <w:rPr>
          <w:noProof/>
        </w:rPr>
        <w:fldChar w:fldCharType="end"/>
      </w:r>
    </w:p>
    <w:p w14:paraId="3C04822D" w14:textId="0C80F78E"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37.11</w:t>
      </w:r>
      <w:r>
        <w:rPr>
          <w:rFonts w:asciiTheme="minorHAnsi" w:eastAsiaTheme="minorEastAsia" w:hAnsiTheme="minorHAnsi" w:cstheme="minorBidi"/>
          <w:noProof/>
          <w:kern w:val="2"/>
          <w:sz w:val="24"/>
          <w:szCs w:val="24"/>
          <w:lang w:eastAsia="en-AU"/>
          <w14:ligatures w14:val="standardContextual"/>
        </w:rPr>
        <w:tab/>
      </w:r>
      <w:r>
        <w:rPr>
          <w:noProof/>
        </w:rPr>
        <w:t>Rules of construction</w:t>
      </w:r>
      <w:r>
        <w:rPr>
          <w:noProof/>
        </w:rPr>
        <w:tab/>
      </w:r>
      <w:r>
        <w:rPr>
          <w:noProof/>
        </w:rPr>
        <w:fldChar w:fldCharType="begin"/>
      </w:r>
      <w:r>
        <w:rPr>
          <w:noProof/>
        </w:rPr>
        <w:instrText xml:space="preserve"> PAGEREF _Toc207309758 \h </w:instrText>
      </w:r>
      <w:r>
        <w:rPr>
          <w:noProof/>
        </w:rPr>
      </w:r>
      <w:r>
        <w:rPr>
          <w:noProof/>
        </w:rPr>
        <w:fldChar w:fldCharType="separate"/>
      </w:r>
      <w:r>
        <w:rPr>
          <w:noProof/>
        </w:rPr>
        <w:t>152</w:t>
      </w:r>
      <w:r>
        <w:rPr>
          <w:noProof/>
        </w:rPr>
        <w:fldChar w:fldCharType="end"/>
      </w:r>
    </w:p>
    <w:p w14:paraId="1402C035" w14:textId="5243759D"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37.12</w:t>
      </w:r>
      <w:r>
        <w:rPr>
          <w:rFonts w:asciiTheme="minorHAnsi" w:eastAsiaTheme="minorEastAsia" w:hAnsiTheme="minorHAnsi" w:cstheme="minorBidi"/>
          <w:noProof/>
          <w:kern w:val="2"/>
          <w:sz w:val="24"/>
          <w:szCs w:val="24"/>
          <w:lang w:eastAsia="en-AU"/>
          <w14:ligatures w14:val="standardContextual"/>
        </w:rPr>
        <w:tab/>
      </w:r>
      <w:r>
        <w:rPr>
          <w:noProof/>
        </w:rPr>
        <w:t>Severability</w:t>
      </w:r>
      <w:r>
        <w:rPr>
          <w:noProof/>
        </w:rPr>
        <w:tab/>
      </w:r>
      <w:r>
        <w:rPr>
          <w:noProof/>
        </w:rPr>
        <w:fldChar w:fldCharType="begin"/>
      </w:r>
      <w:r>
        <w:rPr>
          <w:noProof/>
        </w:rPr>
        <w:instrText xml:space="preserve"> PAGEREF _Toc207309759 \h </w:instrText>
      </w:r>
      <w:r>
        <w:rPr>
          <w:noProof/>
        </w:rPr>
      </w:r>
      <w:r>
        <w:rPr>
          <w:noProof/>
        </w:rPr>
        <w:fldChar w:fldCharType="separate"/>
      </w:r>
      <w:r>
        <w:rPr>
          <w:noProof/>
        </w:rPr>
        <w:t>152</w:t>
      </w:r>
      <w:r>
        <w:rPr>
          <w:noProof/>
        </w:rPr>
        <w:fldChar w:fldCharType="end"/>
      </w:r>
    </w:p>
    <w:p w14:paraId="48946C26" w14:textId="0D89F9B7"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37.13</w:t>
      </w:r>
      <w:r>
        <w:rPr>
          <w:rFonts w:asciiTheme="minorHAnsi" w:eastAsiaTheme="minorEastAsia" w:hAnsiTheme="minorHAnsi" w:cstheme="minorBidi"/>
          <w:noProof/>
          <w:kern w:val="2"/>
          <w:sz w:val="24"/>
          <w:szCs w:val="24"/>
          <w:lang w:eastAsia="en-AU"/>
          <w14:ligatures w14:val="standardContextual"/>
        </w:rPr>
        <w:tab/>
      </w:r>
      <w:r>
        <w:rPr>
          <w:noProof/>
        </w:rPr>
        <w:t>Governing Law and jurisdiction</w:t>
      </w:r>
      <w:r>
        <w:rPr>
          <w:noProof/>
        </w:rPr>
        <w:tab/>
      </w:r>
      <w:r>
        <w:rPr>
          <w:noProof/>
        </w:rPr>
        <w:fldChar w:fldCharType="begin"/>
      </w:r>
      <w:r>
        <w:rPr>
          <w:noProof/>
        </w:rPr>
        <w:instrText xml:space="preserve"> PAGEREF _Toc207309760 \h </w:instrText>
      </w:r>
      <w:r>
        <w:rPr>
          <w:noProof/>
        </w:rPr>
      </w:r>
      <w:r>
        <w:rPr>
          <w:noProof/>
        </w:rPr>
        <w:fldChar w:fldCharType="separate"/>
      </w:r>
      <w:r>
        <w:rPr>
          <w:noProof/>
        </w:rPr>
        <w:t>153</w:t>
      </w:r>
      <w:r>
        <w:rPr>
          <w:noProof/>
        </w:rPr>
        <w:fldChar w:fldCharType="end"/>
      </w:r>
    </w:p>
    <w:p w14:paraId="0105BECE" w14:textId="30F30A6A"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37.14</w:t>
      </w:r>
      <w:r>
        <w:rPr>
          <w:rFonts w:asciiTheme="minorHAnsi" w:eastAsiaTheme="minorEastAsia" w:hAnsiTheme="minorHAnsi" w:cstheme="minorBidi"/>
          <w:noProof/>
          <w:kern w:val="2"/>
          <w:sz w:val="24"/>
          <w:szCs w:val="24"/>
          <w:lang w:eastAsia="en-AU"/>
          <w14:ligatures w14:val="standardContextual"/>
        </w:rPr>
        <w:tab/>
      </w:r>
      <w:r>
        <w:rPr>
          <w:noProof/>
        </w:rPr>
        <w:t>Electronic execution</w:t>
      </w:r>
      <w:r>
        <w:rPr>
          <w:noProof/>
        </w:rPr>
        <w:tab/>
      </w:r>
      <w:r>
        <w:rPr>
          <w:noProof/>
        </w:rPr>
        <w:fldChar w:fldCharType="begin"/>
      </w:r>
      <w:r>
        <w:rPr>
          <w:noProof/>
        </w:rPr>
        <w:instrText xml:space="preserve"> PAGEREF _Toc207309761 \h </w:instrText>
      </w:r>
      <w:r>
        <w:rPr>
          <w:noProof/>
        </w:rPr>
      </w:r>
      <w:r>
        <w:rPr>
          <w:noProof/>
        </w:rPr>
        <w:fldChar w:fldCharType="separate"/>
      </w:r>
      <w:r>
        <w:rPr>
          <w:noProof/>
        </w:rPr>
        <w:t>153</w:t>
      </w:r>
      <w:r>
        <w:rPr>
          <w:noProof/>
        </w:rPr>
        <w:fldChar w:fldCharType="end"/>
      </w:r>
    </w:p>
    <w:p w14:paraId="5475A5DF" w14:textId="08DFE984" w:rsidR="00537D9A" w:rsidRDefault="00537D9A">
      <w:pPr>
        <w:pStyle w:val="TOC2"/>
        <w:rPr>
          <w:rFonts w:asciiTheme="minorHAnsi" w:eastAsiaTheme="minorEastAsia" w:hAnsiTheme="minorHAnsi" w:cstheme="minorBidi"/>
          <w:noProof/>
          <w:kern w:val="2"/>
          <w:sz w:val="24"/>
          <w:szCs w:val="24"/>
          <w:lang w:eastAsia="en-AU"/>
          <w14:ligatures w14:val="standardContextual"/>
        </w:rPr>
      </w:pPr>
      <w:r>
        <w:rPr>
          <w:noProof/>
        </w:rPr>
        <w:t>37.15</w:t>
      </w:r>
      <w:r>
        <w:rPr>
          <w:rFonts w:asciiTheme="minorHAnsi" w:eastAsiaTheme="minorEastAsia" w:hAnsiTheme="minorHAnsi" w:cstheme="minorBidi"/>
          <w:noProof/>
          <w:kern w:val="2"/>
          <w:sz w:val="24"/>
          <w:szCs w:val="24"/>
          <w:lang w:eastAsia="en-AU"/>
          <w14:ligatures w14:val="standardContextual"/>
        </w:rPr>
        <w:tab/>
      </w:r>
      <w:r>
        <w:rPr>
          <w:noProof/>
        </w:rPr>
        <w:t>Directions as to management of this agreement</w:t>
      </w:r>
      <w:r>
        <w:rPr>
          <w:noProof/>
        </w:rPr>
        <w:tab/>
      </w:r>
      <w:r>
        <w:rPr>
          <w:noProof/>
        </w:rPr>
        <w:fldChar w:fldCharType="begin"/>
      </w:r>
      <w:r>
        <w:rPr>
          <w:noProof/>
        </w:rPr>
        <w:instrText xml:space="preserve"> PAGEREF _Toc207309762 \h </w:instrText>
      </w:r>
      <w:r>
        <w:rPr>
          <w:noProof/>
        </w:rPr>
      </w:r>
      <w:r>
        <w:rPr>
          <w:noProof/>
        </w:rPr>
        <w:fldChar w:fldCharType="separate"/>
      </w:r>
      <w:r>
        <w:rPr>
          <w:noProof/>
        </w:rPr>
        <w:t>153</w:t>
      </w:r>
      <w:r>
        <w:rPr>
          <w:noProof/>
        </w:rPr>
        <w:fldChar w:fldCharType="end"/>
      </w:r>
    </w:p>
    <w:p w14:paraId="40694F54" w14:textId="68A54F1C" w:rsidR="00537D9A" w:rsidRDefault="00537D9A">
      <w:pPr>
        <w:pStyle w:val="TOC3"/>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t>Schedule 1</w:t>
      </w:r>
      <w:r>
        <w:rPr>
          <w:rFonts w:asciiTheme="minorHAnsi" w:eastAsiaTheme="minorEastAsia" w:hAnsiTheme="minorHAnsi" w:cstheme="minorBidi"/>
          <w:b w:val="0"/>
          <w:noProof/>
          <w:kern w:val="2"/>
          <w:sz w:val="24"/>
          <w:szCs w:val="24"/>
          <w:lang w:eastAsia="en-AU"/>
          <w14:ligatures w14:val="standardContextual"/>
        </w:rPr>
        <w:tab/>
      </w:r>
      <w:r>
        <w:rPr>
          <w:noProof/>
        </w:rPr>
        <w:t>Support terms</w:t>
      </w:r>
      <w:r>
        <w:rPr>
          <w:noProof/>
        </w:rPr>
        <w:tab/>
      </w:r>
      <w:r>
        <w:rPr>
          <w:noProof/>
        </w:rPr>
        <w:fldChar w:fldCharType="begin"/>
      </w:r>
      <w:r>
        <w:rPr>
          <w:noProof/>
        </w:rPr>
        <w:instrText xml:space="preserve"> PAGEREF _Toc207309763 \h </w:instrText>
      </w:r>
      <w:r>
        <w:rPr>
          <w:noProof/>
        </w:rPr>
      </w:r>
      <w:r>
        <w:rPr>
          <w:noProof/>
        </w:rPr>
        <w:fldChar w:fldCharType="separate"/>
      </w:r>
      <w:r>
        <w:rPr>
          <w:noProof/>
        </w:rPr>
        <w:t>154</w:t>
      </w:r>
      <w:r>
        <w:rPr>
          <w:noProof/>
        </w:rPr>
        <w:fldChar w:fldCharType="end"/>
      </w:r>
    </w:p>
    <w:p w14:paraId="23151D5D" w14:textId="21CDBD9B" w:rsidR="00537D9A" w:rsidRDefault="00537D9A">
      <w:pPr>
        <w:pStyle w:val="TOC3"/>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t>Schedule 2</w:t>
      </w:r>
      <w:r>
        <w:rPr>
          <w:rFonts w:asciiTheme="minorHAnsi" w:eastAsiaTheme="minorEastAsia" w:hAnsiTheme="minorHAnsi" w:cstheme="minorBidi"/>
          <w:b w:val="0"/>
          <w:noProof/>
          <w:kern w:val="2"/>
          <w:sz w:val="24"/>
          <w:szCs w:val="24"/>
          <w:lang w:eastAsia="en-AU"/>
          <w14:ligatures w14:val="standardContextual"/>
        </w:rPr>
        <w:tab/>
      </w:r>
      <w:r>
        <w:rPr>
          <w:noProof/>
        </w:rPr>
        <w:t>Social Licence Commitments</w:t>
      </w:r>
      <w:r>
        <w:rPr>
          <w:noProof/>
        </w:rPr>
        <w:tab/>
      </w:r>
      <w:r>
        <w:rPr>
          <w:noProof/>
        </w:rPr>
        <w:fldChar w:fldCharType="begin"/>
      </w:r>
      <w:r>
        <w:rPr>
          <w:noProof/>
        </w:rPr>
        <w:instrText xml:space="preserve"> PAGEREF _Toc207309764 \h </w:instrText>
      </w:r>
      <w:r>
        <w:rPr>
          <w:noProof/>
        </w:rPr>
      </w:r>
      <w:r>
        <w:rPr>
          <w:noProof/>
        </w:rPr>
        <w:fldChar w:fldCharType="separate"/>
      </w:r>
      <w:r>
        <w:rPr>
          <w:noProof/>
        </w:rPr>
        <w:t>171</w:t>
      </w:r>
      <w:r>
        <w:rPr>
          <w:noProof/>
        </w:rPr>
        <w:fldChar w:fldCharType="end"/>
      </w:r>
    </w:p>
    <w:p w14:paraId="7C143613" w14:textId="3E4A70C3" w:rsidR="00537D9A" w:rsidRDefault="00537D9A">
      <w:pPr>
        <w:pStyle w:val="TOC3"/>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t>Schedule 3</w:t>
      </w:r>
      <w:r>
        <w:rPr>
          <w:rFonts w:asciiTheme="minorHAnsi" w:eastAsiaTheme="minorEastAsia" w:hAnsiTheme="minorHAnsi" w:cstheme="minorBidi"/>
          <w:b w:val="0"/>
          <w:noProof/>
          <w:kern w:val="2"/>
          <w:sz w:val="24"/>
          <w:szCs w:val="24"/>
          <w:lang w:eastAsia="en-AU"/>
          <w14:ligatures w14:val="standardContextual"/>
        </w:rPr>
        <w:tab/>
      </w:r>
      <w:r>
        <w:rPr>
          <w:noProof/>
        </w:rPr>
        <w:t>Metering Diagram</w:t>
      </w:r>
      <w:r>
        <w:rPr>
          <w:noProof/>
        </w:rPr>
        <w:tab/>
      </w:r>
      <w:r>
        <w:rPr>
          <w:noProof/>
        </w:rPr>
        <w:fldChar w:fldCharType="begin"/>
      </w:r>
      <w:r>
        <w:rPr>
          <w:noProof/>
        </w:rPr>
        <w:instrText xml:space="preserve"> PAGEREF _Toc207309765 \h </w:instrText>
      </w:r>
      <w:r>
        <w:rPr>
          <w:noProof/>
        </w:rPr>
      </w:r>
      <w:r>
        <w:rPr>
          <w:noProof/>
        </w:rPr>
        <w:fldChar w:fldCharType="separate"/>
      </w:r>
      <w:r>
        <w:rPr>
          <w:noProof/>
        </w:rPr>
        <w:t>183</w:t>
      </w:r>
      <w:r>
        <w:rPr>
          <w:noProof/>
        </w:rPr>
        <w:fldChar w:fldCharType="end"/>
      </w:r>
    </w:p>
    <w:p w14:paraId="2E6B6712" w14:textId="2393F206" w:rsidR="00537D9A" w:rsidRDefault="00537D9A">
      <w:pPr>
        <w:pStyle w:val="TOC3"/>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t>Schedule 4</w:t>
      </w:r>
      <w:r>
        <w:rPr>
          <w:rFonts w:asciiTheme="minorHAnsi" w:eastAsiaTheme="minorEastAsia" w:hAnsiTheme="minorHAnsi" w:cstheme="minorBidi"/>
          <w:b w:val="0"/>
          <w:noProof/>
          <w:kern w:val="2"/>
          <w:sz w:val="24"/>
          <w:szCs w:val="24"/>
          <w:lang w:eastAsia="en-AU"/>
          <w14:ligatures w14:val="standardContextual"/>
        </w:rPr>
        <w:tab/>
      </w:r>
      <w:r>
        <w:rPr>
          <w:noProof/>
        </w:rPr>
        <w:t>Knowledge Sharing Plan</w:t>
      </w:r>
      <w:r>
        <w:rPr>
          <w:noProof/>
        </w:rPr>
        <w:tab/>
      </w:r>
      <w:r>
        <w:rPr>
          <w:noProof/>
        </w:rPr>
        <w:fldChar w:fldCharType="begin"/>
      </w:r>
      <w:r>
        <w:rPr>
          <w:noProof/>
        </w:rPr>
        <w:instrText xml:space="preserve"> PAGEREF _Toc207309766 \h </w:instrText>
      </w:r>
      <w:r>
        <w:rPr>
          <w:noProof/>
        </w:rPr>
      </w:r>
      <w:r>
        <w:rPr>
          <w:noProof/>
        </w:rPr>
        <w:fldChar w:fldCharType="separate"/>
      </w:r>
      <w:r>
        <w:rPr>
          <w:noProof/>
        </w:rPr>
        <w:t>187</w:t>
      </w:r>
      <w:r>
        <w:rPr>
          <w:noProof/>
        </w:rPr>
        <w:fldChar w:fldCharType="end"/>
      </w:r>
    </w:p>
    <w:p w14:paraId="695DF43B" w14:textId="2FB89AFE" w:rsidR="00537D9A" w:rsidRDefault="00537D9A">
      <w:pPr>
        <w:pStyle w:val="TOC3"/>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t>Schedule 5</w:t>
      </w:r>
      <w:r>
        <w:rPr>
          <w:rFonts w:asciiTheme="minorHAnsi" w:eastAsiaTheme="minorEastAsia" w:hAnsiTheme="minorHAnsi" w:cstheme="minorBidi"/>
          <w:b w:val="0"/>
          <w:noProof/>
          <w:kern w:val="2"/>
          <w:sz w:val="24"/>
          <w:szCs w:val="24"/>
          <w:lang w:eastAsia="en-AU"/>
          <w14:ligatures w14:val="standardContextual"/>
        </w:rPr>
        <w:tab/>
      </w:r>
      <w:r>
        <w:rPr>
          <w:noProof/>
        </w:rPr>
        <w:t>Fixed Termination Amount and Early Termination Amount</w:t>
      </w:r>
      <w:r>
        <w:rPr>
          <w:noProof/>
        </w:rPr>
        <w:tab/>
      </w:r>
      <w:r>
        <w:rPr>
          <w:noProof/>
        </w:rPr>
        <w:fldChar w:fldCharType="begin"/>
      </w:r>
      <w:r>
        <w:rPr>
          <w:noProof/>
        </w:rPr>
        <w:instrText xml:space="preserve"> PAGEREF _Toc207309767 \h </w:instrText>
      </w:r>
      <w:r>
        <w:rPr>
          <w:noProof/>
        </w:rPr>
      </w:r>
      <w:r>
        <w:rPr>
          <w:noProof/>
        </w:rPr>
        <w:fldChar w:fldCharType="separate"/>
      </w:r>
      <w:r>
        <w:rPr>
          <w:noProof/>
        </w:rPr>
        <w:t>190</w:t>
      </w:r>
      <w:r>
        <w:rPr>
          <w:noProof/>
        </w:rPr>
        <w:fldChar w:fldCharType="end"/>
      </w:r>
    </w:p>
    <w:p w14:paraId="546F5B57" w14:textId="2E7149F0" w:rsidR="00537D9A" w:rsidRDefault="00537D9A">
      <w:pPr>
        <w:pStyle w:val="TOC3"/>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t>Schedule 6</w:t>
      </w:r>
      <w:r>
        <w:rPr>
          <w:rFonts w:asciiTheme="minorHAnsi" w:eastAsiaTheme="minorEastAsia" w:hAnsiTheme="minorHAnsi" w:cstheme="minorBidi"/>
          <w:b w:val="0"/>
          <w:noProof/>
          <w:kern w:val="2"/>
          <w:sz w:val="24"/>
          <w:szCs w:val="24"/>
          <w:lang w:eastAsia="en-AU"/>
          <w14:ligatures w14:val="standardContextual"/>
        </w:rPr>
        <w:tab/>
      </w:r>
      <w:r>
        <w:rPr>
          <w:noProof/>
        </w:rPr>
        <w:t>Commonwealth Policy and Other Requirements</w:t>
      </w:r>
      <w:r>
        <w:rPr>
          <w:noProof/>
        </w:rPr>
        <w:tab/>
      </w:r>
      <w:r>
        <w:rPr>
          <w:noProof/>
        </w:rPr>
        <w:fldChar w:fldCharType="begin"/>
      </w:r>
      <w:r>
        <w:rPr>
          <w:noProof/>
        </w:rPr>
        <w:instrText xml:space="preserve"> PAGEREF _Toc207309768 \h </w:instrText>
      </w:r>
      <w:r>
        <w:rPr>
          <w:noProof/>
        </w:rPr>
      </w:r>
      <w:r>
        <w:rPr>
          <w:noProof/>
        </w:rPr>
        <w:fldChar w:fldCharType="separate"/>
      </w:r>
      <w:r>
        <w:rPr>
          <w:noProof/>
        </w:rPr>
        <w:t>193</w:t>
      </w:r>
      <w:r>
        <w:rPr>
          <w:noProof/>
        </w:rPr>
        <w:fldChar w:fldCharType="end"/>
      </w:r>
    </w:p>
    <w:p w14:paraId="4F1005A0" w14:textId="4B67DF0F" w:rsidR="00537D9A" w:rsidRDefault="00537D9A">
      <w:pPr>
        <w:pStyle w:val="TOC3"/>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t>Schedule 7</w:t>
      </w:r>
      <w:r>
        <w:rPr>
          <w:rFonts w:asciiTheme="minorHAnsi" w:eastAsiaTheme="minorEastAsia" w:hAnsiTheme="minorHAnsi" w:cstheme="minorBidi"/>
          <w:b w:val="0"/>
          <w:noProof/>
          <w:kern w:val="2"/>
          <w:sz w:val="24"/>
          <w:szCs w:val="24"/>
          <w:lang w:eastAsia="en-AU"/>
          <w14:ligatures w14:val="standardContextual"/>
        </w:rPr>
        <w:tab/>
      </w:r>
      <w:r>
        <w:rPr>
          <w:noProof/>
        </w:rPr>
        <w:t>Key Subcontracts</w:t>
      </w:r>
      <w:r>
        <w:rPr>
          <w:noProof/>
        </w:rPr>
        <w:tab/>
      </w:r>
      <w:r>
        <w:rPr>
          <w:noProof/>
        </w:rPr>
        <w:fldChar w:fldCharType="begin"/>
      </w:r>
      <w:r>
        <w:rPr>
          <w:noProof/>
        </w:rPr>
        <w:instrText xml:space="preserve"> PAGEREF _Toc207309769 \h </w:instrText>
      </w:r>
      <w:r>
        <w:rPr>
          <w:noProof/>
        </w:rPr>
      </w:r>
      <w:r>
        <w:rPr>
          <w:noProof/>
        </w:rPr>
        <w:fldChar w:fldCharType="separate"/>
      </w:r>
      <w:r>
        <w:rPr>
          <w:noProof/>
        </w:rPr>
        <w:t>208</w:t>
      </w:r>
      <w:r>
        <w:rPr>
          <w:noProof/>
        </w:rPr>
        <w:fldChar w:fldCharType="end"/>
      </w:r>
    </w:p>
    <w:p w14:paraId="34B4AFFB" w14:textId="74807D46" w:rsidR="00537D9A" w:rsidRDefault="00537D9A">
      <w:pPr>
        <w:pStyle w:val="TOC3"/>
        <w:rPr>
          <w:rFonts w:asciiTheme="minorHAnsi" w:eastAsiaTheme="minorEastAsia" w:hAnsiTheme="minorHAnsi" w:cstheme="minorBidi"/>
          <w:b w:val="0"/>
          <w:noProof/>
          <w:kern w:val="2"/>
          <w:sz w:val="24"/>
          <w:szCs w:val="24"/>
          <w:lang w:eastAsia="en-AU"/>
          <w14:ligatures w14:val="standardContextual"/>
        </w:rPr>
      </w:pPr>
      <w:r>
        <w:rPr>
          <w:noProof/>
        </w:rPr>
        <w:t>Signing page</w:t>
      </w:r>
      <w:r>
        <w:rPr>
          <w:noProof/>
        </w:rPr>
        <w:tab/>
      </w:r>
      <w:r>
        <w:rPr>
          <w:noProof/>
        </w:rPr>
        <w:fldChar w:fldCharType="begin"/>
      </w:r>
      <w:r>
        <w:rPr>
          <w:noProof/>
        </w:rPr>
        <w:instrText xml:space="preserve"> PAGEREF _Toc207309770 \h </w:instrText>
      </w:r>
      <w:r>
        <w:rPr>
          <w:noProof/>
        </w:rPr>
      </w:r>
      <w:r>
        <w:rPr>
          <w:noProof/>
        </w:rPr>
        <w:fldChar w:fldCharType="separate"/>
      </w:r>
      <w:r>
        <w:rPr>
          <w:noProof/>
        </w:rPr>
        <w:t>209</w:t>
      </w:r>
      <w:r>
        <w:rPr>
          <w:noProof/>
        </w:rPr>
        <w:fldChar w:fldCharType="end"/>
      </w:r>
    </w:p>
    <w:p w14:paraId="12CFF665" w14:textId="056CBD5D" w:rsidR="00537D9A" w:rsidRDefault="00537D9A">
      <w:pPr>
        <w:pStyle w:val="TOC3"/>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t>Annexure A</w:t>
      </w:r>
      <w:r>
        <w:rPr>
          <w:rFonts w:asciiTheme="minorHAnsi" w:eastAsiaTheme="minorEastAsia" w:hAnsiTheme="minorHAnsi" w:cstheme="minorBidi"/>
          <w:b w:val="0"/>
          <w:noProof/>
          <w:kern w:val="2"/>
          <w:sz w:val="24"/>
          <w:szCs w:val="24"/>
          <w:lang w:eastAsia="en-AU"/>
          <w14:ligatures w14:val="standardContextual"/>
        </w:rPr>
        <w:tab/>
      </w:r>
      <w:r>
        <w:rPr>
          <w:noProof/>
        </w:rPr>
        <w:t>Form of Tripartite Deed</w:t>
      </w:r>
      <w:r>
        <w:rPr>
          <w:noProof/>
        </w:rPr>
        <w:tab/>
      </w:r>
      <w:r>
        <w:rPr>
          <w:noProof/>
        </w:rPr>
        <w:fldChar w:fldCharType="begin"/>
      </w:r>
      <w:r>
        <w:rPr>
          <w:noProof/>
        </w:rPr>
        <w:instrText xml:space="preserve"> PAGEREF _Toc207309771 \h </w:instrText>
      </w:r>
      <w:r>
        <w:rPr>
          <w:noProof/>
        </w:rPr>
      </w:r>
      <w:r>
        <w:rPr>
          <w:noProof/>
        </w:rPr>
        <w:fldChar w:fldCharType="separate"/>
      </w:r>
      <w:r>
        <w:rPr>
          <w:noProof/>
        </w:rPr>
        <w:t>210</w:t>
      </w:r>
      <w:r>
        <w:rPr>
          <w:noProof/>
        </w:rPr>
        <w:fldChar w:fldCharType="end"/>
      </w:r>
    </w:p>
    <w:p w14:paraId="4F2C3BBC" w14:textId="754FA156" w:rsidR="00537D9A" w:rsidRDefault="00537D9A">
      <w:pPr>
        <w:pStyle w:val="TOC3"/>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t>Annexure B</w:t>
      </w:r>
      <w:r>
        <w:rPr>
          <w:rFonts w:asciiTheme="minorHAnsi" w:eastAsiaTheme="minorEastAsia" w:hAnsiTheme="minorHAnsi" w:cstheme="minorBidi"/>
          <w:b w:val="0"/>
          <w:noProof/>
          <w:kern w:val="2"/>
          <w:sz w:val="24"/>
          <w:szCs w:val="24"/>
          <w:lang w:eastAsia="en-AU"/>
          <w14:ligatures w14:val="standardContextual"/>
        </w:rPr>
        <w:tab/>
      </w:r>
      <w:r>
        <w:rPr>
          <w:noProof/>
        </w:rPr>
        <w:t>Form of Performance Security</w:t>
      </w:r>
      <w:r>
        <w:rPr>
          <w:noProof/>
        </w:rPr>
        <w:tab/>
      </w:r>
      <w:r>
        <w:rPr>
          <w:noProof/>
        </w:rPr>
        <w:fldChar w:fldCharType="begin"/>
      </w:r>
      <w:r>
        <w:rPr>
          <w:noProof/>
        </w:rPr>
        <w:instrText xml:space="preserve"> PAGEREF _Toc207309772 \h </w:instrText>
      </w:r>
      <w:r>
        <w:rPr>
          <w:noProof/>
        </w:rPr>
      </w:r>
      <w:r>
        <w:rPr>
          <w:noProof/>
        </w:rPr>
        <w:fldChar w:fldCharType="separate"/>
      </w:r>
      <w:r>
        <w:rPr>
          <w:noProof/>
        </w:rPr>
        <w:t>211</w:t>
      </w:r>
      <w:r>
        <w:rPr>
          <w:noProof/>
        </w:rPr>
        <w:fldChar w:fldCharType="end"/>
      </w:r>
    </w:p>
    <w:p w14:paraId="6D46ABE8" w14:textId="6EFC7A3A" w:rsidR="003B3F37" w:rsidRPr="007217B9" w:rsidRDefault="00F65EEA" w:rsidP="007800F5">
      <w:pPr>
        <w:pStyle w:val="TOC3"/>
        <w:tabs>
          <w:tab w:val="left" w:pos="1400"/>
        </w:tabs>
        <w:spacing w:before="0"/>
      </w:pPr>
      <w:r>
        <w:rPr>
          <w:b w:val="0"/>
        </w:rPr>
        <w:fldChar w:fldCharType="end"/>
      </w:r>
    </w:p>
    <w:p w14:paraId="4B3DCA4F" w14:textId="77777777" w:rsidR="003B3F37" w:rsidRPr="007217B9" w:rsidRDefault="003B3F37">
      <w:pPr>
        <w:pStyle w:val="Headersub"/>
        <w:sectPr w:rsidR="003B3F37" w:rsidRPr="007217B9" w:rsidSect="00E5595F">
          <w:headerReference w:type="even" r:id="rId18"/>
          <w:headerReference w:type="default" r:id="rId19"/>
          <w:footerReference w:type="even" r:id="rId20"/>
          <w:footerReference w:type="default" r:id="rId21"/>
          <w:headerReference w:type="first" r:id="rId22"/>
          <w:footerReference w:type="first" r:id="rId23"/>
          <w:pgSz w:w="11907" w:h="16840" w:code="9"/>
          <w:pgMar w:top="1134" w:right="1134" w:bottom="1134" w:left="2835" w:header="425" w:footer="567" w:gutter="0"/>
          <w:pgNumType w:start="1"/>
          <w:cols w:space="720"/>
          <w:titlePg/>
          <w:docGrid w:linePitch="313"/>
        </w:sectPr>
      </w:pPr>
    </w:p>
    <w:p w14:paraId="1C870940" w14:textId="77777777" w:rsidR="003B3F37" w:rsidRPr="007217B9" w:rsidRDefault="003B3F37">
      <w:pPr>
        <w:pStyle w:val="Headersub"/>
      </w:pPr>
      <w:bookmarkStart w:id="14" w:name="_Toc492504650"/>
      <w:bookmarkStart w:id="15" w:name="_Toc515358753"/>
      <w:bookmarkStart w:id="16" w:name="_Toc207309544"/>
      <w:r w:rsidRPr="007217B9">
        <w:t>Details</w:t>
      </w:r>
      <w:bookmarkEnd w:id="14"/>
      <w:bookmarkEnd w:id="15"/>
      <w:bookmarkEnd w:id="16"/>
    </w:p>
    <w:tbl>
      <w:tblPr>
        <w:tblW w:w="5000" w:type="pct"/>
        <w:tblLayout w:type="fixed"/>
        <w:tblCellMar>
          <w:left w:w="107" w:type="dxa"/>
          <w:right w:w="107" w:type="dxa"/>
        </w:tblCellMar>
        <w:tblLook w:val="0000" w:firstRow="0" w:lastRow="0" w:firstColumn="0" w:lastColumn="0" w:noHBand="0" w:noVBand="0"/>
      </w:tblPr>
      <w:tblGrid>
        <w:gridCol w:w="1843"/>
        <w:gridCol w:w="1610"/>
        <w:gridCol w:w="4485"/>
      </w:tblGrid>
      <w:tr w:rsidR="003B3F37" w:rsidRPr="007217B9" w14:paraId="12138F28" w14:textId="77777777" w:rsidTr="00792B2E">
        <w:tc>
          <w:tcPr>
            <w:tcW w:w="1161" w:type="pct"/>
            <w:tcBorders>
              <w:top w:val="single" w:sz="6" w:space="0" w:color="auto"/>
            </w:tcBorders>
          </w:tcPr>
          <w:p w14:paraId="037A99D8" w14:textId="77777777" w:rsidR="003B3F37" w:rsidRPr="007217B9" w:rsidRDefault="00F83C34">
            <w:pPr>
              <w:spacing w:before="120" w:after="120" w:line="260" w:lineRule="atLeast"/>
              <w:rPr>
                <w:b/>
                <w:sz w:val="21"/>
              </w:rPr>
            </w:pPr>
            <w:r>
              <w:rPr>
                <w:b/>
                <w:sz w:val="21"/>
              </w:rPr>
              <w:t>Parties</w:t>
            </w:r>
          </w:p>
        </w:tc>
        <w:tc>
          <w:tcPr>
            <w:tcW w:w="3839" w:type="pct"/>
            <w:gridSpan w:val="2"/>
            <w:tcBorders>
              <w:top w:val="single" w:sz="6" w:space="0" w:color="auto"/>
            </w:tcBorders>
          </w:tcPr>
          <w:p w14:paraId="116CB2C9" w14:textId="77777777" w:rsidR="003B3F37" w:rsidRPr="007217B9" w:rsidRDefault="00BE77D6">
            <w:pPr>
              <w:pStyle w:val="Details"/>
              <w:rPr>
                <w:b/>
              </w:rPr>
            </w:pPr>
            <w:r w:rsidRPr="00263D11">
              <w:rPr>
                <w:b/>
                <w:bCs/>
              </w:rPr>
              <w:t>Commonwealth</w:t>
            </w:r>
            <w:r w:rsidR="004C4365">
              <w:t xml:space="preserve"> </w:t>
            </w:r>
            <w:r w:rsidR="00B1487C" w:rsidRPr="00241748">
              <w:t>and</w:t>
            </w:r>
            <w:r w:rsidR="00B1487C">
              <w:rPr>
                <w:b/>
              </w:rPr>
              <w:t xml:space="preserve"> </w:t>
            </w:r>
            <w:r w:rsidR="00411B14">
              <w:rPr>
                <w:b/>
              </w:rPr>
              <w:t>Project Operator</w:t>
            </w:r>
          </w:p>
        </w:tc>
      </w:tr>
      <w:tr w:rsidR="000C0B53" w:rsidRPr="007217B9" w14:paraId="63258642" w14:textId="77777777" w:rsidTr="00131021">
        <w:tc>
          <w:tcPr>
            <w:tcW w:w="1161" w:type="pct"/>
            <w:vMerge w:val="restart"/>
            <w:tcBorders>
              <w:top w:val="single" w:sz="6" w:space="0" w:color="auto"/>
            </w:tcBorders>
          </w:tcPr>
          <w:p w14:paraId="1367A59C" w14:textId="77777777" w:rsidR="008A1DD2" w:rsidRPr="008A1DD2" w:rsidRDefault="00BE77D6">
            <w:pPr>
              <w:spacing w:before="120" w:after="120" w:line="260" w:lineRule="atLeast"/>
              <w:rPr>
                <w:bCs/>
                <w:sz w:val="21"/>
              </w:rPr>
            </w:pPr>
            <w:bookmarkStart w:id="17" w:name="PartyTitle1"/>
            <w:bookmarkEnd w:id="17"/>
            <w:r w:rsidRPr="00263D11">
              <w:rPr>
                <w:b/>
                <w:sz w:val="21"/>
              </w:rPr>
              <w:t>Commonwealth</w:t>
            </w:r>
          </w:p>
        </w:tc>
        <w:tc>
          <w:tcPr>
            <w:tcW w:w="1014" w:type="pct"/>
            <w:tcBorders>
              <w:top w:val="single" w:sz="6" w:space="0" w:color="auto"/>
            </w:tcBorders>
          </w:tcPr>
          <w:p w14:paraId="0A490E5E" w14:textId="77777777" w:rsidR="000C0B53" w:rsidRPr="007217B9" w:rsidRDefault="000C0B53">
            <w:pPr>
              <w:spacing w:before="120" w:after="120" w:line="260" w:lineRule="atLeast"/>
            </w:pPr>
            <w:r w:rsidRPr="007217B9">
              <w:t>Name</w:t>
            </w:r>
          </w:p>
        </w:tc>
        <w:tc>
          <w:tcPr>
            <w:tcW w:w="2825" w:type="pct"/>
            <w:tcBorders>
              <w:top w:val="single" w:sz="6" w:space="0" w:color="auto"/>
            </w:tcBorders>
          </w:tcPr>
          <w:p w14:paraId="2FB8E492" w14:textId="77777777" w:rsidR="000C0B53" w:rsidRPr="00F23C6E" w:rsidRDefault="00263D11" w:rsidP="003E1095">
            <w:pPr>
              <w:pStyle w:val="Details"/>
              <w:rPr>
                <w:bCs/>
              </w:rPr>
            </w:pPr>
            <w:r w:rsidRPr="00263D11">
              <w:rPr>
                <w:bCs/>
              </w:rPr>
              <w:t>The Commonwealth of Australia represented by the Department of Climate Change, Energy, the Environment and Water</w:t>
            </w:r>
          </w:p>
        </w:tc>
      </w:tr>
      <w:tr w:rsidR="00BF6E69" w:rsidRPr="007217B9" w14:paraId="6EA494F1" w14:textId="77777777" w:rsidTr="00131021">
        <w:tc>
          <w:tcPr>
            <w:tcW w:w="1161" w:type="pct"/>
            <w:vMerge/>
            <w:tcBorders>
              <w:top w:val="single" w:sz="6" w:space="0" w:color="auto"/>
            </w:tcBorders>
          </w:tcPr>
          <w:p w14:paraId="03AC3AFE" w14:textId="77777777" w:rsidR="00BF6E69" w:rsidRPr="00263D11" w:rsidRDefault="00BF6E69" w:rsidP="00BF6E69">
            <w:pPr>
              <w:spacing w:before="120" w:after="120" w:line="260" w:lineRule="atLeast"/>
              <w:rPr>
                <w:b/>
                <w:sz w:val="21"/>
              </w:rPr>
            </w:pPr>
          </w:p>
        </w:tc>
        <w:tc>
          <w:tcPr>
            <w:tcW w:w="1014" w:type="pct"/>
          </w:tcPr>
          <w:p w14:paraId="015FE33E" w14:textId="2E8D38D1" w:rsidR="00BF6E69" w:rsidRPr="007217B9" w:rsidRDefault="00BF6E69" w:rsidP="00BF6E69">
            <w:pPr>
              <w:spacing w:before="120" w:after="120" w:line="260" w:lineRule="atLeast"/>
            </w:pPr>
            <w:r>
              <w:t>ABN</w:t>
            </w:r>
          </w:p>
        </w:tc>
        <w:tc>
          <w:tcPr>
            <w:tcW w:w="2825" w:type="pct"/>
          </w:tcPr>
          <w:p w14:paraId="569D6124" w14:textId="2412B4CE" w:rsidR="00BF6E69" w:rsidRPr="00263D11" w:rsidRDefault="00BF6E69" w:rsidP="00BF6E69">
            <w:pPr>
              <w:pStyle w:val="Details"/>
              <w:rPr>
                <w:bCs/>
              </w:rPr>
            </w:pPr>
            <w:r w:rsidRPr="005E1C34">
              <w:rPr>
                <w:bCs/>
              </w:rPr>
              <w:t>63 573 932 849</w:t>
            </w:r>
          </w:p>
        </w:tc>
      </w:tr>
      <w:tr w:rsidR="00BF6E69" w:rsidRPr="007217B9" w14:paraId="18D9BBF5" w14:textId="77777777" w:rsidTr="00792B2E">
        <w:tc>
          <w:tcPr>
            <w:tcW w:w="1161" w:type="pct"/>
            <w:vMerge/>
          </w:tcPr>
          <w:p w14:paraId="319C8E49" w14:textId="77777777" w:rsidR="00BF6E69" w:rsidRPr="007217B9" w:rsidRDefault="00BF6E69" w:rsidP="00BF6E69">
            <w:pPr>
              <w:spacing w:before="120" w:after="120" w:line="260" w:lineRule="atLeast"/>
              <w:rPr>
                <w:b/>
                <w:sz w:val="21"/>
              </w:rPr>
            </w:pPr>
          </w:p>
        </w:tc>
        <w:tc>
          <w:tcPr>
            <w:tcW w:w="1014" w:type="pct"/>
          </w:tcPr>
          <w:p w14:paraId="5E0B471B" w14:textId="77777777" w:rsidR="00BF6E69" w:rsidRPr="007217B9" w:rsidRDefault="00BF6E69" w:rsidP="00BF6E69">
            <w:pPr>
              <w:spacing w:before="120" w:after="120" w:line="260" w:lineRule="atLeast"/>
            </w:pPr>
            <w:r w:rsidRPr="007217B9">
              <w:t>Address</w:t>
            </w:r>
          </w:p>
        </w:tc>
        <w:tc>
          <w:tcPr>
            <w:tcW w:w="2825" w:type="pct"/>
          </w:tcPr>
          <w:p w14:paraId="79E073C5" w14:textId="77777777" w:rsidR="0036727A" w:rsidRPr="008F660B" w:rsidRDefault="0036727A" w:rsidP="0036727A">
            <w:pPr>
              <w:pStyle w:val="Default"/>
            </w:pPr>
            <w:r w:rsidRPr="008F660B">
              <w:rPr>
                <w:sz w:val="20"/>
              </w:rPr>
              <w:t xml:space="preserve">51 Allara St, City, Australian Capital Territory 2601, Australia </w:t>
            </w:r>
          </w:p>
          <w:p w14:paraId="71B3C6AC" w14:textId="14DA63B4" w:rsidR="00BF6E69" w:rsidRPr="00272B1D" w:rsidRDefault="00BF6E69" w:rsidP="00BF6E69">
            <w:pPr>
              <w:pStyle w:val="Details"/>
            </w:pPr>
          </w:p>
        </w:tc>
      </w:tr>
      <w:tr w:rsidR="00BF6E69" w:rsidRPr="007217B9" w14:paraId="72BAFCEB" w14:textId="77777777" w:rsidTr="00792B2E">
        <w:tc>
          <w:tcPr>
            <w:tcW w:w="1161" w:type="pct"/>
            <w:vMerge/>
          </w:tcPr>
          <w:p w14:paraId="740C6910" w14:textId="77777777" w:rsidR="00BF6E69" w:rsidRPr="007217B9" w:rsidRDefault="00BF6E69" w:rsidP="00BF6E69">
            <w:pPr>
              <w:spacing w:before="120" w:after="120" w:line="260" w:lineRule="atLeast"/>
              <w:rPr>
                <w:b/>
                <w:sz w:val="21"/>
              </w:rPr>
            </w:pPr>
          </w:p>
        </w:tc>
        <w:tc>
          <w:tcPr>
            <w:tcW w:w="1014" w:type="pct"/>
          </w:tcPr>
          <w:p w14:paraId="1B277A75" w14:textId="77777777" w:rsidR="00BF6E69" w:rsidRPr="007217B9" w:rsidRDefault="00BF6E69" w:rsidP="00BF6E69">
            <w:pPr>
              <w:spacing w:before="120" w:after="120" w:line="260" w:lineRule="atLeast"/>
            </w:pPr>
            <w:r>
              <w:t>Email</w:t>
            </w:r>
          </w:p>
        </w:tc>
        <w:tc>
          <w:tcPr>
            <w:tcW w:w="2825" w:type="pct"/>
          </w:tcPr>
          <w:p w14:paraId="31EEBFFE" w14:textId="77777777" w:rsidR="0036727A" w:rsidRPr="008F660B" w:rsidRDefault="0036727A" w:rsidP="0036727A">
            <w:pPr>
              <w:pStyle w:val="Default"/>
              <w:rPr>
                <w:color w:val="0000FF"/>
              </w:rPr>
            </w:pPr>
            <w:bookmarkStart w:id="18" w:name="Email1"/>
            <w:bookmarkEnd w:id="18"/>
            <w:r w:rsidRPr="008F660B">
              <w:rPr>
                <w:color w:val="0000FF"/>
                <w:sz w:val="20"/>
              </w:rPr>
              <w:t xml:space="preserve">cis-contracts@dcceew.gov.au </w:t>
            </w:r>
          </w:p>
          <w:p w14:paraId="5491A6DB" w14:textId="192FBF5E" w:rsidR="00BF6E69" w:rsidRPr="00272B1D" w:rsidRDefault="00BF6E69" w:rsidP="00BF6E69">
            <w:pPr>
              <w:pStyle w:val="Details"/>
            </w:pPr>
          </w:p>
        </w:tc>
      </w:tr>
      <w:tr w:rsidR="00BF6E69" w:rsidRPr="007217B9" w14:paraId="1ADFE935" w14:textId="77777777" w:rsidTr="00792B2E">
        <w:tc>
          <w:tcPr>
            <w:tcW w:w="1161" w:type="pct"/>
            <w:vMerge/>
          </w:tcPr>
          <w:p w14:paraId="0A85A9A7" w14:textId="77777777" w:rsidR="00BF6E69" w:rsidRPr="007217B9" w:rsidRDefault="00BF6E69" w:rsidP="00BF6E69">
            <w:pPr>
              <w:spacing w:before="120" w:after="120" w:line="260" w:lineRule="atLeast"/>
              <w:rPr>
                <w:b/>
                <w:sz w:val="21"/>
              </w:rPr>
            </w:pPr>
          </w:p>
        </w:tc>
        <w:tc>
          <w:tcPr>
            <w:tcW w:w="1014" w:type="pct"/>
          </w:tcPr>
          <w:p w14:paraId="44CA1CE5" w14:textId="77777777" w:rsidR="00BF6E69" w:rsidRPr="007217B9" w:rsidRDefault="00BF6E69" w:rsidP="00BF6E69">
            <w:pPr>
              <w:spacing w:before="120" w:after="120" w:line="260" w:lineRule="atLeast"/>
            </w:pPr>
            <w:r w:rsidRPr="007217B9">
              <w:t>Attention</w:t>
            </w:r>
          </w:p>
        </w:tc>
        <w:tc>
          <w:tcPr>
            <w:tcW w:w="2825" w:type="pct"/>
          </w:tcPr>
          <w:p w14:paraId="18C363FF" w14:textId="77777777" w:rsidR="00BF6E69" w:rsidRPr="00F8056B" w:rsidRDefault="00BF6E69" w:rsidP="00BF6E69">
            <w:pPr>
              <w:pStyle w:val="Details"/>
            </w:pPr>
            <w:bookmarkStart w:id="19" w:name="Attention1"/>
            <w:bookmarkEnd w:id="19"/>
            <w:r>
              <w:t>[</w:t>
            </w:r>
            <w:r w:rsidRPr="004674FF">
              <w:t>insert</w:t>
            </w:r>
            <w:r>
              <w:t>]</w:t>
            </w:r>
          </w:p>
        </w:tc>
      </w:tr>
      <w:tr w:rsidR="00BF6E69" w:rsidRPr="007217B9" w14:paraId="5AA89E39" w14:textId="77777777" w:rsidTr="00792B2E">
        <w:trPr>
          <w:trHeight w:val="327"/>
        </w:trPr>
        <w:tc>
          <w:tcPr>
            <w:tcW w:w="1161" w:type="pct"/>
            <w:vMerge w:val="restart"/>
            <w:tcBorders>
              <w:top w:val="single" w:sz="6" w:space="0" w:color="auto"/>
            </w:tcBorders>
          </w:tcPr>
          <w:p w14:paraId="1B02593E" w14:textId="77777777" w:rsidR="00BF6E69" w:rsidRPr="007217B9" w:rsidRDefault="00BF6E69" w:rsidP="00BF6E69">
            <w:pPr>
              <w:spacing w:before="120" w:after="120" w:line="260" w:lineRule="atLeast"/>
              <w:rPr>
                <w:b/>
                <w:sz w:val="21"/>
              </w:rPr>
            </w:pPr>
            <w:bookmarkStart w:id="20" w:name="PartyTitle2"/>
            <w:bookmarkEnd w:id="20"/>
            <w:r>
              <w:rPr>
                <w:b/>
                <w:sz w:val="21"/>
              </w:rPr>
              <w:t>Project Operator</w:t>
            </w:r>
          </w:p>
        </w:tc>
        <w:tc>
          <w:tcPr>
            <w:tcW w:w="1014" w:type="pct"/>
            <w:tcBorders>
              <w:top w:val="single" w:sz="6" w:space="0" w:color="auto"/>
            </w:tcBorders>
          </w:tcPr>
          <w:p w14:paraId="442661D6" w14:textId="77777777" w:rsidR="00BF6E69" w:rsidRPr="007217B9" w:rsidRDefault="00BF6E69" w:rsidP="00BF6E69">
            <w:pPr>
              <w:spacing w:before="120" w:after="120" w:line="260" w:lineRule="atLeast"/>
            </w:pPr>
            <w:r w:rsidRPr="007217B9">
              <w:t>Name</w:t>
            </w:r>
          </w:p>
        </w:tc>
        <w:tc>
          <w:tcPr>
            <w:tcW w:w="2825" w:type="pct"/>
            <w:tcBorders>
              <w:top w:val="single" w:sz="6" w:space="0" w:color="auto"/>
            </w:tcBorders>
          </w:tcPr>
          <w:p w14:paraId="0F841F12" w14:textId="77777777" w:rsidR="00BF6E69" w:rsidRPr="00F23C6E" w:rsidRDefault="00BF6E69" w:rsidP="00BF6E69">
            <w:pPr>
              <w:pStyle w:val="Details"/>
              <w:rPr>
                <w:bCs/>
              </w:rPr>
            </w:pPr>
            <w:bookmarkStart w:id="21" w:name="PartyName2"/>
            <w:bookmarkEnd w:id="21"/>
            <w:r w:rsidRPr="00F23C6E">
              <w:rPr>
                <w:bCs/>
              </w:rPr>
              <w:t>[</w:t>
            </w:r>
            <w:r w:rsidRPr="00F23C6E">
              <w:rPr>
                <w:bCs/>
                <w:highlight w:val="yellow"/>
              </w:rPr>
              <w:t>insert</w:t>
            </w:r>
            <w:r w:rsidRPr="00F23C6E">
              <w:rPr>
                <w:bCs/>
              </w:rPr>
              <w:t>]</w:t>
            </w:r>
          </w:p>
        </w:tc>
      </w:tr>
      <w:tr w:rsidR="00BF6E69" w:rsidRPr="007217B9" w14:paraId="480DC1D4" w14:textId="77777777" w:rsidTr="00792B2E">
        <w:trPr>
          <w:trHeight w:val="327"/>
        </w:trPr>
        <w:tc>
          <w:tcPr>
            <w:tcW w:w="1161" w:type="pct"/>
            <w:vMerge/>
          </w:tcPr>
          <w:p w14:paraId="11CAE2C0" w14:textId="77777777" w:rsidR="00BF6E69" w:rsidRDefault="00BF6E69" w:rsidP="00BF6E69">
            <w:pPr>
              <w:spacing w:before="120" w:after="120" w:line="260" w:lineRule="atLeast"/>
              <w:rPr>
                <w:b/>
                <w:sz w:val="21"/>
              </w:rPr>
            </w:pPr>
          </w:p>
        </w:tc>
        <w:tc>
          <w:tcPr>
            <w:tcW w:w="1014" w:type="pct"/>
          </w:tcPr>
          <w:p w14:paraId="2F69A4C3" w14:textId="047CA07E" w:rsidR="00BF6E69" w:rsidRPr="007217B9" w:rsidRDefault="00BF6E69" w:rsidP="00BF6E69">
            <w:pPr>
              <w:spacing w:before="120" w:after="120" w:line="260" w:lineRule="atLeast"/>
            </w:pPr>
            <w:r>
              <w:t>ACN | ABN</w:t>
            </w:r>
          </w:p>
        </w:tc>
        <w:tc>
          <w:tcPr>
            <w:tcW w:w="2825" w:type="pct"/>
          </w:tcPr>
          <w:p w14:paraId="02E28B7C" w14:textId="77777777" w:rsidR="00BF6E69" w:rsidRPr="00F23C6E" w:rsidRDefault="00BF6E69" w:rsidP="00BF6E69">
            <w:pPr>
              <w:pStyle w:val="Details"/>
              <w:rPr>
                <w:bCs/>
              </w:rPr>
            </w:pPr>
            <w:r w:rsidRPr="00F23C6E">
              <w:rPr>
                <w:bCs/>
              </w:rPr>
              <w:t>[</w:t>
            </w:r>
            <w:r w:rsidRPr="00F23C6E">
              <w:rPr>
                <w:bCs/>
                <w:highlight w:val="yellow"/>
              </w:rPr>
              <w:t>insert</w:t>
            </w:r>
            <w:r w:rsidRPr="00F23C6E">
              <w:rPr>
                <w:bCs/>
              </w:rPr>
              <w:t>]</w:t>
            </w:r>
          </w:p>
        </w:tc>
      </w:tr>
      <w:tr w:rsidR="00BF6E69" w:rsidRPr="007217B9" w14:paraId="094C297D" w14:textId="77777777" w:rsidTr="00792B2E">
        <w:tc>
          <w:tcPr>
            <w:tcW w:w="1161" w:type="pct"/>
            <w:vMerge/>
          </w:tcPr>
          <w:p w14:paraId="52D1BB2F" w14:textId="77777777" w:rsidR="00BF6E69" w:rsidRPr="007217B9" w:rsidRDefault="00BF6E69" w:rsidP="00BF6E69">
            <w:pPr>
              <w:spacing w:before="120" w:after="120" w:line="260" w:lineRule="atLeast"/>
              <w:rPr>
                <w:b/>
                <w:sz w:val="21"/>
              </w:rPr>
            </w:pPr>
          </w:p>
        </w:tc>
        <w:tc>
          <w:tcPr>
            <w:tcW w:w="1014" w:type="pct"/>
          </w:tcPr>
          <w:p w14:paraId="5306CA66" w14:textId="77777777" w:rsidR="00BF6E69" w:rsidRPr="007217B9" w:rsidRDefault="00BF6E69" w:rsidP="00BF6E69">
            <w:pPr>
              <w:spacing w:before="120" w:after="120" w:line="260" w:lineRule="atLeast"/>
            </w:pPr>
            <w:r w:rsidRPr="007217B9">
              <w:t>Address</w:t>
            </w:r>
          </w:p>
        </w:tc>
        <w:tc>
          <w:tcPr>
            <w:tcW w:w="2825" w:type="pct"/>
          </w:tcPr>
          <w:p w14:paraId="468F7A1B" w14:textId="77777777" w:rsidR="00BF6E69" w:rsidRPr="007217B9" w:rsidRDefault="00BF6E69" w:rsidP="00BF6E69">
            <w:pPr>
              <w:pStyle w:val="Details"/>
            </w:pPr>
            <w:bookmarkStart w:id="22" w:name="Address2"/>
            <w:bookmarkEnd w:id="22"/>
            <w:r>
              <w:t>[</w:t>
            </w:r>
            <w:r w:rsidRPr="00431860">
              <w:rPr>
                <w:highlight w:val="yellow"/>
              </w:rPr>
              <w:t>insert</w:t>
            </w:r>
            <w:r>
              <w:t>]</w:t>
            </w:r>
          </w:p>
        </w:tc>
      </w:tr>
      <w:tr w:rsidR="00BF6E69" w:rsidRPr="007217B9" w14:paraId="54F2867B" w14:textId="77777777" w:rsidTr="00792B2E">
        <w:tc>
          <w:tcPr>
            <w:tcW w:w="1161" w:type="pct"/>
            <w:vMerge/>
          </w:tcPr>
          <w:p w14:paraId="49E0656B" w14:textId="77777777" w:rsidR="00BF6E69" w:rsidRPr="007217B9" w:rsidRDefault="00BF6E69" w:rsidP="00BF6E69">
            <w:pPr>
              <w:spacing w:before="120" w:after="120" w:line="260" w:lineRule="atLeast"/>
              <w:rPr>
                <w:b/>
                <w:sz w:val="21"/>
              </w:rPr>
            </w:pPr>
          </w:p>
        </w:tc>
        <w:tc>
          <w:tcPr>
            <w:tcW w:w="1014" w:type="pct"/>
          </w:tcPr>
          <w:p w14:paraId="409F9EE0" w14:textId="77777777" w:rsidR="00BF6E69" w:rsidRPr="007217B9" w:rsidRDefault="00BF6E69" w:rsidP="00BF6E69">
            <w:pPr>
              <w:spacing w:before="120" w:after="120" w:line="260" w:lineRule="atLeast"/>
            </w:pPr>
            <w:r>
              <w:t>Email</w:t>
            </w:r>
          </w:p>
        </w:tc>
        <w:tc>
          <w:tcPr>
            <w:tcW w:w="2825" w:type="pct"/>
          </w:tcPr>
          <w:p w14:paraId="469ECB85" w14:textId="77777777" w:rsidR="00BF6E69" w:rsidRPr="00381C1B" w:rsidRDefault="00BF6E69" w:rsidP="00BF6E69">
            <w:pPr>
              <w:pStyle w:val="Details"/>
            </w:pPr>
            <w:bookmarkStart w:id="23" w:name="Email2"/>
            <w:bookmarkEnd w:id="23"/>
            <w:r>
              <w:t>[</w:t>
            </w:r>
            <w:r w:rsidRPr="00431860">
              <w:rPr>
                <w:highlight w:val="yellow"/>
              </w:rPr>
              <w:t>insert</w:t>
            </w:r>
            <w:r>
              <w:t>]</w:t>
            </w:r>
          </w:p>
        </w:tc>
      </w:tr>
      <w:tr w:rsidR="00BF6E69" w:rsidRPr="007217B9" w14:paraId="0C0E2C09" w14:textId="77777777" w:rsidTr="00792B2E">
        <w:tc>
          <w:tcPr>
            <w:tcW w:w="1161" w:type="pct"/>
            <w:vMerge/>
          </w:tcPr>
          <w:p w14:paraId="771DFC5D" w14:textId="77777777" w:rsidR="00BF6E69" w:rsidRPr="007217B9" w:rsidRDefault="00BF6E69" w:rsidP="00BF6E69">
            <w:pPr>
              <w:spacing w:before="120" w:after="120" w:line="260" w:lineRule="atLeast"/>
              <w:rPr>
                <w:b/>
                <w:sz w:val="21"/>
              </w:rPr>
            </w:pPr>
          </w:p>
        </w:tc>
        <w:tc>
          <w:tcPr>
            <w:tcW w:w="1014" w:type="pct"/>
            <w:tcBorders>
              <w:bottom w:val="single" w:sz="4" w:space="0" w:color="auto"/>
            </w:tcBorders>
          </w:tcPr>
          <w:p w14:paraId="54677A43" w14:textId="77777777" w:rsidR="00BF6E69" w:rsidRPr="007217B9" w:rsidRDefault="00BF6E69" w:rsidP="00BF6E69">
            <w:pPr>
              <w:spacing w:before="120" w:after="120" w:line="260" w:lineRule="atLeast"/>
            </w:pPr>
            <w:r w:rsidRPr="007217B9">
              <w:t>Attention</w:t>
            </w:r>
          </w:p>
        </w:tc>
        <w:tc>
          <w:tcPr>
            <w:tcW w:w="2825" w:type="pct"/>
            <w:tcBorders>
              <w:bottom w:val="single" w:sz="4" w:space="0" w:color="auto"/>
            </w:tcBorders>
          </w:tcPr>
          <w:p w14:paraId="20CA4D8F" w14:textId="77777777" w:rsidR="00BF6E69" w:rsidRPr="00546CA6" w:rsidRDefault="00BF6E69" w:rsidP="00BF6E69">
            <w:pPr>
              <w:pStyle w:val="DetailsFollower"/>
            </w:pPr>
            <w:bookmarkStart w:id="24" w:name="Attention2"/>
            <w:bookmarkEnd w:id="24"/>
            <w:r>
              <w:t>[</w:t>
            </w:r>
            <w:r w:rsidRPr="00431860">
              <w:rPr>
                <w:highlight w:val="yellow"/>
              </w:rPr>
              <w:t>insert</w:t>
            </w:r>
            <w:r>
              <w:t>]</w:t>
            </w:r>
          </w:p>
        </w:tc>
      </w:tr>
      <w:tr w:rsidR="00BF6E69" w:rsidRPr="00D15A65" w14:paraId="7AC7E2ED" w14:textId="77777777" w:rsidTr="06AC912F">
        <w:trPr>
          <w:trHeight w:val="300"/>
        </w:trPr>
        <w:tc>
          <w:tcPr>
            <w:tcW w:w="1161" w:type="pct"/>
            <w:tcBorders>
              <w:top w:val="single" w:sz="6" w:space="0" w:color="auto"/>
            </w:tcBorders>
          </w:tcPr>
          <w:p w14:paraId="16BC1AE1" w14:textId="77777777" w:rsidR="00BF6E69" w:rsidRPr="00D15A65" w:rsidRDefault="00BF6E69" w:rsidP="00BF6E69">
            <w:pPr>
              <w:spacing w:before="120" w:after="120" w:line="260" w:lineRule="atLeast"/>
              <w:rPr>
                <w:b/>
                <w:sz w:val="21"/>
              </w:rPr>
            </w:pPr>
            <w:bookmarkStart w:id="25" w:name="moreparties"/>
            <w:bookmarkStart w:id="26" w:name="Recitals" w:colFirst="0" w:colLast="2"/>
            <w:bookmarkEnd w:id="25"/>
            <w:r w:rsidRPr="00D15A65">
              <w:rPr>
                <w:b/>
                <w:sz w:val="21"/>
              </w:rPr>
              <w:t>Recitals</w:t>
            </w:r>
          </w:p>
        </w:tc>
        <w:tc>
          <w:tcPr>
            <w:tcW w:w="3839" w:type="pct"/>
            <w:gridSpan w:val="2"/>
            <w:vMerge w:val="restart"/>
            <w:tcBorders>
              <w:top w:val="single" w:sz="6" w:space="0" w:color="auto"/>
            </w:tcBorders>
          </w:tcPr>
          <w:p w14:paraId="495FF9C3" w14:textId="03581CCD" w:rsidR="00BF6E69" w:rsidRPr="00D15A65" w:rsidRDefault="004B7DA7" w:rsidP="00BF6E69">
            <w:pPr>
              <w:pStyle w:val="Recitals"/>
            </w:pPr>
            <w:bookmarkStart w:id="27" w:name="_Ref57815690"/>
            <w:r>
              <w:t xml:space="preserve">Following a competitive tender process, Project Operator has been awarded this long-term revenue support agreement in respect of the Project </w:t>
            </w:r>
            <w:r w:rsidR="00BF6E69">
              <w:rPr>
                <w:bCs/>
              </w:rPr>
              <w:t xml:space="preserve">[which is intended to comprise part of the </w:t>
            </w:r>
            <w:r w:rsidR="00485175">
              <w:rPr>
                <w:bCs/>
              </w:rPr>
              <w:t>[</w:t>
            </w:r>
            <w:r w:rsidR="00BF6E69">
              <w:rPr>
                <w:bCs/>
              </w:rPr>
              <w:t>Hybrid</w:t>
            </w:r>
            <w:r w:rsidR="00BF3954">
              <w:rPr>
                <w:bCs/>
              </w:rPr>
              <w:t>/Staged</w:t>
            </w:r>
            <w:r w:rsidR="00B04287">
              <w:rPr>
                <w:bCs/>
              </w:rPr>
              <w:t>]</w:t>
            </w:r>
            <w:r w:rsidR="00BF3954">
              <w:rPr>
                <w:bCs/>
              </w:rPr>
              <w:t xml:space="preserve"> Project</w:t>
            </w:r>
            <w:r w:rsidR="00485175">
              <w:rPr>
                <w:bCs/>
              </w:rPr>
              <w:t>]</w:t>
            </w:r>
            <w:r w:rsidR="00BF6E69">
              <w:rPr>
                <w:bCs/>
              </w:rPr>
              <w:t xml:space="preserve">, involving the Project and the </w:t>
            </w:r>
            <w:r w:rsidR="00485175">
              <w:rPr>
                <w:bCs/>
              </w:rPr>
              <w:t>[</w:t>
            </w:r>
            <w:r w:rsidR="00BF6E69">
              <w:rPr>
                <w:bCs/>
              </w:rPr>
              <w:t>Associated</w:t>
            </w:r>
            <w:r w:rsidR="00BF3954">
              <w:rPr>
                <w:bCs/>
              </w:rPr>
              <w:t>/Existing</w:t>
            </w:r>
            <w:r w:rsidR="00485175">
              <w:rPr>
                <w:bCs/>
              </w:rPr>
              <w:t>]</w:t>
            </w:r>
            <w:r w:rsidR="00BF6E69">
              <w:rPr>
                <w:bCs/>
              </w:rPr>
              <w:t xml:space="preserve"> Project]</w:t>
            </w:r>
            <w:r w:rsidR="00BF6E69" w:rsidRPr="00D15A65">
              <w:t xml:space="preserve">. </w:t>
            </w:r>
            <w:r w:rsidR="00BF6E69">
              <w:t>[</w:t>
            </w:r>
            <w:r w:rsidR="00BF6E69" w:rsidRPr="004D3942">
              <w:rPr>
                <w:b/>
                <w:bCs/>
                <w:i/>
                <w:iCs/>
                <w:highlight w:val="lightGray"/>
              </w:rPr>
              <w:t>Note: Hybrid</w:t>
            </w:r>
            <w:r w:rsidR="00C83C90">
              <w:rPr>
                <w:b/>
                <w:bCs/>
                <w:i/>
                <w:iCs/>
                <w:highlight w:val="lightGray"/>
              </w:rPr>
              <w:t xml:space="preserve"> Project</w:t>
            </w:r>
            <w:r w:rsidR="00BF6E69" w:rsidRPr="004D3942">
              <w:rPr>
                <w:b/>
                <w:bCs/>
                <w:i/>
                <w:iCs/>
                <w:highlight w:val="lightGray"/>
              </w:rPr>
              <w:t xml:space="preserve"> </w:t>
            </w:r>
            <w:r w:rsidR="00BF3954">
              <w:rPr>
                <w:b/>
                <w:bCs/>
                <w:i/>
                <w:iCs/>
                <w:highlight w:val="lightGray"/>
              </w:rPr>
              <w:t xml:space="preserve">or Staged </w:t>
            </w:r>
            <w:r w:rsidR="00BF6E69" w:rsidRPr="004D3942">
              <w:rPr>
                <w:b/>
                <w:bCs/>
                <w:i/>
                <w:iCs/>
                <w:highlight w:val="lightGray"/>
              </w:rPr>
              <w:t>Project wording is to be included for all Hybrid Projects</w:t>
            </w:r>
            <w:r w:rsidR="00BF3954">
              <w:rPr>
                <w:b/>
                <w:bCs/>
                <w:i/>
                <w:iCs/>
                <w:highlight w:val="lightGray"/>
              </w:rPr>
              <w:t xml:space="preserve"> and Staged Projects (as applicable)</w:t>
            </w:r>
            <w:r w:rsidR="00BF6E69" w:rsidRPr="004D3942">
              <w:rPr>
                <w:b/>
                <w:bCs/>
                <w:i/>
                <w:iCs/>
                <w:highlight w:val="lightGray"/>
              </w:rPr>
              <w:t>.</w:t>
            </w:r>
            <w:r w:rsidR="00BF6E69">
              <w:t>]</w:t>
            </w:r>
          </w:p>
          <w:p w14:paraId="01FD8762" w14:textId="7D319141" w:rsidR="00BF6E69" w:rsidRPr="00B563BB" w:rsidRDefault="00BF6E69" w:rsidP="00BF6E69">
            <w:pPr>
              <w:pStyle w:val="Recitals"/>
            </w:pPr>
            <w:r>
              <w:t>Project</w:t>
            </w:r>
            <w:r w:rsidRPr="00B563BB">
              <w:t xml:space="preserve"> Operator will </w:t>
            </w:r>
            <w:r>
              <w:t xml:space="preserve">develop, construct, </w:t>
            </w:r>
            <w:r w:rsidRPr="00B563BB">
              <w:t>own and operate the</w:t>
            </w:r>
            <w:r w:rsidR="00337FDC">
              <w:t xml:space="preserve"> </w:t>
            </w:r>
            <w:r w:rsidRPr="00B563BB">
              <w:t>Project in accordance with the requirements set out in this agreement</w:t>
            </w:r>
            <w:r w:rsidR="00882E4E">
              <w:t>.</w:t>
            </w:r>
          </w:p>
          <w:p w14:paraId="763F7066" w14:textId="7C8F625D" w:rsidR="00BF6E69" w:rsidRPr="00D15A65" w:rsidRDefault="00BF6E69" w:rsidP="00BF6E69">
            <w:pPr>
              <w:pStyle w:val="Recitals"/>
            </w:pPr>
            <w:r w:rsidRPr="00792B2E">
              <w:t xml:space="preserve">If Project Operator </w:t>
            </w:r>
            <w:r>
              <w:t>is entitled to</w:t>
            </w:r>
            <w:r w:rsidRPr="00792B2E">
              <w:t xml:space="preserve"> receive revenue support under this agreement</w:t>
            </w:r>
            <w:r>
              <w:t>,</w:t>
            </w:r>
            <w:r w:rsidRPr="00792B2E">
              <w:t xml:space="preserve"> </w:t>
            </w:r>
            <w:r>
              <w:t xml:space="preserve">or is required to make payments under this agreement, </w:t>
            </w:r>
            <w:r w:rsidRPr="00792B2E">
              <w:t>then the parties will make the payments in accordance with this agreement</w:t>
            </w:r>
            <w:r w:rsidR="006D08B2">
              <w:t>, unless Project Operator exercises an Option to not receive Support for an Opt-Out Period</w:t>
            </w:r>
            <w:r w:rsidRPr="00792B2E">
              <w:t>.</w:t>
            </w:r>
            <w:r>
              <w:t xml:space="preserve"> </w:t>
            </w:r>
            <w:bookmarkEnd w:id="27"/>
          </w:p>
        </w:tc>
      </w:tr>
      <w:tr w:rsidR="00BF6E69" w:rsidRPr="007217B9" w14:paraId="67D529C4" w14:textId="77777777" w:rsidTr="06AC912F">
        <w:trPr>
          <w:trHeight w:val="1000"/>
        </w:trPr>
        <w:tc>
          <w:tcPr>
            <w:tcW w:w="1161" w:type="pct"/>
          </w:tcPr>
          <w:p w14:paraId="6159A830" w14:textId="77777777" w:rsidR="00BF6E69" w:rsidRPr="00D15A65" w:rsidRDefault="00BF6E69" w:rsidP="00BF6E69">
            <w:pPr>
              <w:spacing w:before="120" w:after="120" w:line="260" w:lineRule="atLeast"/>
              <w:rPr>
                <w:b/>
                <w:sz w:val="21"/>
              </w:rPr>
            </w:pPr>
          </w:p>
        </w:tc>
        <w:tc>
          <w:tcPr>
            <w:tcW w:w="3839" w:type="pct"/>
            <w:gridSpan w:val="2"/>
            <w:vMerge/>
          </w:tcPr>
          <w:p w14:paraId="479630A6" w14:textId="77777777" w:rsidR="00BF6E69" w:rsidRPr="00D15A65" w:rsidRDefault="00BF6E69" w:rsidP="00BF6E69">
            <w:pPr>
              <w:pStyle w:val="Recitals"/>
            </w:pPr>
          </w:p>
        </w:tc>
      </w:tr>
      <w:bookmarkEnd w:id="26"/>
    </w:tbl>
    <w:p w14:paraId="77B03FC2" w14:textId="77777777" w:rsidR="0099243B" w:rsidRDefault="0099243B" w:rsidP="00756445"/>
    <w:p w14:paraId="3F8AE379" w14:textId="77777777" w:rsidR="0007504F" w:rsidRPr="007217B9" w:rsidRDefault="0007504F" w:rsidP="00756445">
      <w:pPr>
        <w:sectPr w:rsidR="0007504F" w:rsidRPr="007217B9" w:rsidSect="00E5595F">
          <w:headerReference w:type="even" r:id="rId24"/>
          <w:headerReference w:type="default" r:id="rId25"/>
          <w:footerReference w:type="even" r:id="rId26"/>
          <w:footerReference w:type="default" r:id="rId27"/>
          <w:headerReference w:type="first" r:id="rId28"/>
          <w:footerReference w:type="first" r:id="rId29"/>
          <w:pgSz w:w="11907" w:h="16840" w:code="9"/>
          <w:pgMar w:top="1134" w:right="1134" w:bottom="1418" w:left="2835" w:header="425" w:footer="567" w:gutter="0"/>
          <w:pgNumType w:start="1"/>
          <w:cols w:space="720"/>
          <w:titlePg/>
          <w:docGrid w:linePitch="313"/>
        </w:sectPr>
      </w:pPr>
    </w:p>
    <w:p w14:paraId="4E45654F" w14:textId="77777777" w:rsidR="00D96772" w:rsidRPr="007217B9" w:rsidRDefault="00D96772" w:rsidP="00756445">
      <w:pPr>
        <w:pStyle w:val="Headersub"/>
      </w:pPr>
      <w:bookmarkStart w:id="28" w:name="GeneralTerms"/>
      <w:bookmarkStart w:id="29" w:name="_Toc492504651"/>
      <w:bookmarkStart w:id="30" w:name="_Toc515358754"/>
      <w:bookmarkEnd w:id="28"/>
      <w:r>
        <w:br w:type="column"/>
      </w:r>
      <w:bookmarkStart w:id="31" w:name="_Toc207309545"/>
      <w:r>
        <w:t xml:space="preserve">Reference </w:t>
      </w:r>
      <w:r w:rsidRPr="007217B9">
        <w:t>Details</w:t>
      </w:r>
      <w:bookmarkEnd w:id="31"/>
    </w:p>
    <w:tbl>
      <w:tblPr>
        <w:tblStyle w:val="TableGrid"/>
        <w:tblW w:w="9209" w:type="dxa"/>
        <w:jc w:val="center"/>
        <w:tblLayout w:type="fixed"/>
        <w:tblLook w:val="04A0" w:firstRow="1" w:lastRow="0" w:firstColumn="1" w:lastColumn="0" w:noHBand="0" w:noVBand="1"/>
      </w:tblPr>
      <w:tblGrid>
        <w:gridCol w:w="525"/>
        <w:gridCol w:w="3651"/>
        <w:gridCol w:w="5033"/>
      </w:tblGrid>
      <w:tr w:rsidR="00D96772" w:rsidRPr="0006608D" w14:paraId="2E9FACD4" w14:textId="77777777" w:rsidTr="008F660B">
        <w:trPr>
          <w:tblHeader/>
          <w:jc w:val="center"/>
        </w:trPr>
        <w:tc>
          <w:tcPr>
            <w:tcW w:w="525" w:type="dxa"/>
            <w:tcBorders>
              <w:top w:val="single" w:sz="4" w:space="0" w:color="auto"/>
              <w:left w:val="single" w:sz="4" w:space="0" w:color="auto"/>
            </w:tcBorders>
            <w:shd w:val="clear" w:color="auto" w:fill="C4BC96" w:themeFill="background2" w:themeFillShade="BF"/>
          </w:tcPr>
          <w:p w14:paraId="574C650F" w14:textId="77777777" w:rsidR="00D96772" w:rsidRPr="00D15A65" w:rsidRDefault="00D96772" w:rsidP="00306BCE">
            <w:pPr>
              <w:pStyle w:val="BodyText"/>
              <w:spacing w:before="120" w:after="120"/>
              <w:rPr>
                <w:b/>
                <w:bCs/>
                <w:color w:val="FFFFFF" w:themeColor="background1"/>
              </w:rPr>
            </w:pPr>
            <w:bookmarkStart w:id="32" w:name="_Hlk172454250"/>
          </w:p>
        </w:tc>
        <w:tc>
          <w:tcPr>
            <w:tcW w:w="3651" w:type="dxa"/>
            <w:shd w:val="clear" w:color="auto" w:fill="C4BC96" w:themeFill="background2" w:themeFillShade="BF"/>
          </w:tcPr>
          <w:p w14:paraId="28CDD6BA" w14:textId="77777777" w:rsidR="00D96772" w:rsidRPr="00D15A65" w:rsidRDefault="00D96772" w:rsidP="00306BCE">
            <w:pPr>
              <w:pStyle w:val="BodyText"/>
              <w:spacing w:before="120" w:after="120"/>
              <w:rPr>
                <w:b/>
                <w:bCs/>
                <w:color w:val="FFFFFF" w:themeColor="background1"/>
              </w:rPr>
            </w:pPr>
            <w:r w:rsidRPr="00D15A65">
              <w:rPr>
                <w:b/>
                <w:bCs/>
                <w:color w:val="FFFFFF" w:themeColor="background1"/>
              </w:rPr>
              <w:t xml:space="preserve">Item </w:t>
            </w:r>
          </w:p>
        </w:tc>
        <w:tc>
          <w:tcPr>
            <w:tcW w:w="5033" w:type="dxa"/>
            <w:shd w:val="clear" w:color="auto" w:fill="C4BC96" w:themeFill="background2" w:themeFillShade="BF"/>
          </w:tcPr>
          <w:p w14:paraId="7BB37515" w14:textId="77777777" w:rsidR="00D96772" w:rsidRPr="00D15A65" w:rsidRDefault="00D96772" w:rsidP="00306BCE">
            <w:pPr>
              <w:pStyle w:val="BodyText"/>
              <w:spacing w:before="120" w:after="120"/>
              <w:rPr>
                <w:b/>
                <w:bCs/>
                <w:color w:val="FFFFFF" w:themeColor="background1"/>
              </w:rPr>
            </w:pPr>
            <w:r w:rsidRPr="00D15A65">
              <w:rPr>
                <w:b/>
                <w:bCs/>
                <w:color w:val="FFFFFF" w:themeColor="background1"/>
              </w:rPr>
              <w:t xml:space="preserve">Details </w:t>
            </w:r>
          </w:p>
        </w:tc>
      </w:tr>
      <w:tr w:rsidR="00D96772" w:rsidRPr="0006608D" w14:paraId="6748C23C" w14:textId="77777777" w:rsidTr="008F660B">
        <w:trPr>
          <w:jc w:val="center"/>
        </w:trPr>
        <w:tc>
          <w:tcPr>
            <w:tcW w:w="9209" w:type="dxa"/>
            <w:gridSpan w:val="3"/>
            <w:shd w:val="clear" w:color="auto" w:fill="D9D9D9" w:themeFill="background1" w:themeFillShade="D9"/>
          </w:tcPr>
          <w:p w14:paraId="3EB600C8" w14:textId="77777777" w:rsidR="00D96772" w:rsidRPr="00593B5B" w:rsidRDefault="00D96772" w:rsidP="00306BCE">
            <w:pPr>
              <w:pStyle w:val="BodyText"/>
              <w:spacing w:before="120" w:after="120"/>
              <w:rPr>
                <w:b/>
                <w:bCs/>
              </w:rPr>
            </w:pPr>
            <w:r>
              <w:rPr>
                <w:b/>
                <w:bCs/>
              </w:rPr>
              <w:t xml:space="preserve">Project </w:t>
            </w:r>
            <w:r w:rsidR="0063766A">
              <w:rPr>
                <w:b/>
                <w:bCs/>
              </w:rPr>
              <w:t>d</w:t>
            </w:r>
            <w:r>
              <w:rPr>
                <w:b/>
                <w:bCs/>
              </w:rPr>
              <w:t>etails</w:t>
            </w:r>
          </w:p>
        </w:tc>
      </w:tr>
      <w:tr w:rsidR="00D96772" w:rsidRPr="0006608D" w14:paraId="6E911D66" w14:textId="77777777" w:rsidTr="008F660B">
        <w:trPr>
          <w:jc w:val="center"/>
        </w:trPr>
        <w:tc>
          <w:tcPr>
            <w:tcW w:w="525" w:type="dxa"/>
          </w:tcPr>
          <w:p w14:paraId="6D505FDF" w14:textId="77777777" w:rsidR="00D96772" w:rsidRPr="0006608D" w:rsidRDefault="00D96772" w:rsidP="00467340">
            <w:pPr>
              <w:pStyle w:val="BodyText"/>
              <w:numPr>
                <w:ilvl w:val="0"/>
                <w:numId w:val="47"/>
              </w:numPr>
              <w:spacing w:before="120" w:after="120"/>
            </w:pPr>
            <w:bookmarkStart w:id="33" w:name="_Ref172454605"/>
          </w:p>
        </w:tc>
        <w:bookmarkEnd w:id="33"/>
        <w:tc>
          <w:tcPr>
            <w:tcW w:w="3651" w:type="dxa"/>
          </w:tcPr>
          <w:p w14:paraId="3F7AD351" w14:textId="77777777" w:rsidR="00D96772" w:rsidRPr="00A0199C" w:rsidRDefault="00D96772" w:rsidP="00306BCE">
            <w:pPr>
              <w:pStyle w:val="BodyText"/>
              <w:spacing w:before="120" w:after="120"/>
            </w:pPr>
            <w:r w:rsidRPr="00A0199C">
              <w:t>Project</w:t>
            </w:r>
          </w:p>
        </w:tc>
        <w:tc>
          <w:tcPr>
            <w:tcW w:w="5033" w:type="dxa"/>
          </w:tcPr>
          <w:p w14:paraId="7DE4C95A" w14:textId="235E73EF" w:rsidR="00B8553C" w:rsidRDefault="00B8553C" w:rsidP="00306BCE">
            <w:pPr>
              <w:pStyle w:val="BodyText"/>
              <w:spacing w:before="120" w:after="120"/>
            </w:pPr>
            <w:r>
              <w:rPr>
                <w:b/>
                <w:bCs/>
                <w:i/>
                <w:iCs/>
                <w:highlight w:val="lightGray"/>
              </w:rPr>
              <w:t>[Note: Proponents are not to manually insert these details – please refer to the Returnable Schedules.]</w:t>
            </w:r>
            <w:r>
              <w:t xml:space="preserve"> </w:t>
            </w:r>
          </w:p>
          <w:p w14:paraId="66099414" w14:textId="3C78C2B5" w:rsidR="006014B8" w:rsidRDefault="009C2636" w:rsidP="00306BCE">
            <w:pPr>
              <w:pStyle w:val="BodyText"/>
              <w:spacing w:before="120" w:after="120"/>
            </w:pPr>
            <w:r>
              <w:t xml:space="preserve">The </w:t>
            </w:r>
            <w:r w:rsidR="00011F67">
              <w:t>‘</w:t>
            </w:r>
            <w:r w:rsidR="00D96772" w:rsidRPr="00011F67">
              <w:rPr>
                <w:i/>
                <w:iCs/>
              </w:rPr>
              <w:t>[</w:t>
            </w:r>
            <w:r w:rsidR="00D96772" w:rsidRPr="00011F67">
              <w:rPr>
                <w:i/>
                <w:iCs/>
                <w:highlight w:val="yellow"/>
              </w:rPr>
              <w:t>insert</w:t>
            </w:r>
            <w:r w:rsidR="00011F67" w:rsidRPr="00011F67">
              <w:rPr>
                <w:i/>
                <w:iCs/>
                <w:highlight w:val="yellow"/>
              </w:rPr>
              <w:t xml:space="preserve"> </w:t>
            </w:r>
            <w:r w:rsidR="00592BCA">
              <w:rPr>
                <w:i/>
                <w:iCs/>
                <w:highlight w:val="yellow"/>
              </w:rPr>
              <w:t xml:space="preserve">project </w:t>
            </w:r>
            <w:r w:rsidR="00011F67" w:rsidRPr="00011F67">
              <w:rPr>
                <w:i/>
                <w:iCs/>
                <w:highlight w:val="yellow"/>
              </w:rPr>
              <w:t>name</w:t>
            </w:r>
            <w:r w:rsidR="00D96772" w:rsidRPr="00011F67">
              <w:rPr>
                <w:i/>
                <w:iCs/>
              </w:rPr>
              <w:t>]</w:t>
            </w:r>
            <w:r w:rsidR="00011F67">
              <w:t>’</w:t>
            </w:r>
            <w:r w:rsidR="00592BCA">
              <w:t>, which will be a</w:t>
            </w:r>
            <w:r>
              <w:t xml:space="preserve"> </w:t>
            </w:r>
            <w:r w:rsidR="00592BCA">
              <w:t>[</w:t>
            </w:r>
            <w:r w:rsidR="00592BCA" w:rsidRPr="00592BCA">
              <w:rPr>
                <w:highlight w:val="yellow"/>
              </w:rPr>
              <w:t>insert resource type e.</w:t>
            </w:r>
            <w:r w:rsidR="00592BCA" w:rsidRPr="000E08DA">
              <w:rPr>
                <w:highlight w:val="yellow"/>
              </w:rPr>
              <w:t xml:space="preserve">g. </w:t>
            </w:r>
            <w:r w:rsidR="000E08DA" w:rsidRPr="008E4A1B">
              <w:rPr>
                <w:highlight w:val="yellow"/>
              </w:rPr>
              <w:t>battery project</w:t>
            </w:r>
            <w:r w:rsidR="00592BCA">
              <w:t xml:space="preserve">] </w:t>
            </w:r>
            <w:r>
              <w:t>located at [</w:t>
            </w:r>
            <w:r w:rsidRPr="009C2636">
              <w:rPr>
                <w:highlight w:val="yellow"/>
              </w:rPr>
              <w:t>insert</w:t>
            </w:r>
            <w:r w:rsidR="00592BCA" w:rsidRPr="00592BCA">
              <w:rPr>
                <w:highlight w:val="yellow"/>
              </w:rPr>
              <w:t xml:space="preserve"> location</w:t>
            </w:r>
            <w:r>
              <w:t>]</w:t>
            </w:r>
            <w:r w:rsidR="00E47622">
              <w:t xml:space="preserve"> with</w:t>
            </w:r>
            <w:r w:rsidR="006014B8">
              <w:t xml:space="preserve">: </w:t>
            </w:r>
          </w:p>
          <w:p w14:paraId="1882B250" w14:textId="77777777" w:rsidR="00FD17F3" w:rsidRDefault="00FD17F3" w:rsidP="00467340">
            <w:pPr>
              <w:pStyle w:val="BodyText"/>
              <w:numPr>
                <w:ilvl w:val="0"/>
                <w:numId w:val="60"/>
              </w:numPr>
              <w:spacing w:before="120" w:after="120"/>
            </w:pPr>
            <w:r w:rsidRPr="00877682">
              <w:t xml:space="preserve">an </w:t>
            </w:r>
            <w:r>
              <w:t>import</w:t>
            </w:r>
            <w:r w:rsidRPr="00877682">
              <w:t xml:space="preserve"> </w:t>
            </w:r>
            <w:r w:rsidRPr="0082618A">
              <w:t>capacity</w:t>
            </w:r>
            <w:r w:rsidRPr="00877682">
              <w:t xml:space="preserve"> that is </w:t>
            </w:r>
            <w:r>
              <w:t>between 95% and 105% of</w:t>
            </w:r>
            <w:r w:rsidRPr="00877682">
              <w:t xml:space="preserve"> the Import Capacity</w:t>
            </w:r>
            <w:r>
              <w:t>;</w:t>
            </w:r>
          </w:p>
          <w:p w14:paraId="68FF61E1" w14:textId="77777777" w:rsidR="00FD17F3" w:rsidRDefault="00FD17F3" w:rsidP="00467340">
            <w:pPr>
              <w:pStyle w:val="BodyText"/>
              <w:numPr>
                <w:ilvl w:val="0"/>
                <w:numId w:val="60"/>
              </w:numPr>
              <w:spacing w:before="120" w:after="120"/>
            </w:pPr>
            <w:r w:rsidRPr="00877682">
              <w:t xml:space="preserve">an </w:t>
            </w:r>
            <w:r>
              <w:t>export</w:t>
            </w:r>
            <w:r w:rsidRPr="00877682">
              <w:t xml:space="preserve"> </w:t>
            </w:r>
            <w:r w:rsidRPr="0082618A">
              <w:t>capacity</w:t>
            </w:r>
            <w:r w:rsidRPr="00877682">
              <w:t xml:space="preserve"> that is </w:t>
            </w:r>
            <w:r>
              <w:t>between 95% and 105% of</w:t>
            </w:r>
            <w:r w:rsidRPr="00877682">
              <w:t xml:space="preserve"> the </w:t>
            </w:r>
            <w:r>
              <w:t xml:space="preserve">Export </w:t>
            </w:r>
            <w:r w:rsidRPr="00877682">
              <w:t>Capacity</w:t>
            </w:r>
            <w:r>
              <w:t>;</w:t>
            </w:r>
            <w:r w:rsidRPr="00877682">
              <w:t xml:space="preserve"> and </w:t>
            </w:r>
          </w:p>
          <w:p w14:paraId="285AE522" w14:textId="19366FC0" w:rsidR="00A55740" w:rsidRDefault="00FD17F3" w:rsidP="00467340">
            <w:pPr>
              <w:pStyle w:val="BodyText"/>
              <w:numPr>
                <w:ilvl w:val="0"/>
                <w:numId w:val="60"/>
              </w:numPr>
              <w:spacing w:before="120" w:after="120"/>
            </w:pPr>
            <w:r w:rsidRPr="00877682">
              <w:t xml:space="preserve">an energy storage capacity that is </w:t>
            </w:r>
            <w:r>
              <w:t>between 95% and 105% of</w:t>
            </w:r>
            <w:r w:rsidRPr="00877682">
              <w:t xml:space="preserve"> the Storage Capacity</w:t>
            </w:r>
            <w:r w:rsidR="00A55740">
              <w:t>,</w:t>
            </w:r>
            <w:r w:rsidR="006A3235">
              <w:t xml:space="preserve"> </w:t>
            </w:r>
            <w:r w:rsidR="006A3235" w:rsidRPr="005E1F02">
              <w:t>[</w:t>
            </w:r>
            <w:r w:rsidR="006A3235" w:rsidRPr="005E1F02">
              <w:rPr>
                <w:b/>
                <w:bCs/>
                <w:i/>
                <w:iCs/>
                <w:highlight w:val="lightGray"/>
              </w:rPr>
              <w:t xml:space="preserve">Note: </w:t>
            </w:r>
            <w:r w:rsidR="00AF2569" w:rsidRPr="005E1F02">
              <w:rPr>
                <w:b/>
                <w:bCs/>
                <w:i/>
                <w:iCs/>
                <w:highlight w:val="lightGray"/>
              </w:rPr>
              <w:t>see agreement cover note regarding Non-Storage Projects</w:t>
            </w:r>
            <w:r w:rsidR="006A3235" w:rsidRPr="005E1F02">
              <w:rPr>
                <w:b/>
                <w:bCs/>
                <w:i/>
                <w:iCs/>
                <w:highlight w:val="lightGray"/>
              </w:rPr>
              <w:t>.</w:t>
            </w:r>
            <w:r w:rsidR="006A3235" w:rsidRPr="005E1F02">
              <w:t>]</w:t>
            </w:r>
          </w:p>
          <w:p w14:paraId="42150E83" w14:textId="77777777" w:rsidR="00A55740" w:rsidRDefault="00A55740" w:rsidP="00306BCE">
            <w:pPr>
              <w:pStyle w:val="BodyText"/>
              <w:spacing w:before="120" w:after="120"/>
              <w:ind w:left="5"/>
            </w:pPr>
            <w:r>
              <w:t>and which:</w:t>
            </w:r>
          </w:p>
          <w:p w14:paraId="3CDA842B" w14:textId="5AA27181" w:rsidR="00A55740" w:rsidRDefault="00A55740" w:rsidP="00467340">
            <w:pPr>
              <w:pStyle w:val="BodyText"/>
              <w:numPr>
                <w:ilvl w:val="0"/>
                <w:numId w:val="60"/>
              </w:numPr>
              <w:spacing w:before="120" w:after="120"/>
            </w:pPr>
            <w:r>
              <w:t xml:space="preserve">includes all ancillary plant, control systems and connection infrastructure on </w:t>
            </w:r>
            <w:r w:rsidR="00731898">
              <w:t xml:space="preserve">Project </w:t>
            </w:r>
            <w:r>
              <w:t>Operator's side of the Connection Point required for the operation of the facility</w:t>
            </w:r>
            <w:r w:rsidR="004B7DA7">
              <w:t>[</w:t>
            </w:r>
            <w:r>
              <w:t xml:space="preserve">; </w:t>
            </w:r>
            <w:r w:rsidR="00680CEC">
              <w:t>and</w:t>
            </w:r>
            <w:r w:rsidR="004B7DA7">
              <w:t>]</w:t>
            </w:r>
          </w:p>
          <w:p w14:paraId="260D3186" w14:textId="0B5F990C" w:rsidR="00A55740" w:rsidRDefault="00A55740" w:rsidP="00306BCE">
            <w:pPr>
              <w:pStyle w:val="BodyText"/>
              <w:spacing w:before="120" w:after="120"/>
              <w:ind w:left="5"/>
            </w:pPr>
            <w:r>
              <w:t>[</w:t>
            </w:r>
            <w:r w:rsidRPr="004D3942">
              <w:rPr>
                <w:b/>
                <w:bCs/>
                <w:i/>
                <w:iCs/>
                <w:highlight w:val="lightGray"/>
              </w:rPr>
              <w:t xml:space="preserve">Note: </w:t>
            </w:r>
            <w:r w:rsidR="008B043F">
              <w:rPr>
                <w:b/>
                <w:bCs/>
                <w:i/>
                <w:iCs/>
                <w:highlight w:val="lightGray"/>
              </w:rPr>
              <w:t>s</w:t>
            </w:r>
            <w:r w:rsidR="00BF3954">
              <w:rPr>
                <w:b/>
                <w:bCs/>
                <w:i/>
                <w:iCs/>
                <w:highlight w:val="lightGray"/>
              </w:rPr>
              <w:t>tandalone</w:t>
            </w:r>
            <w:r w:rsidR="00191673">
              <w:rPr>
                <w:b/>
                <w:bCs/>
                <w:i/>
                <w:iCs/>
                <w:highlight w:val="lightGray"/>
              </w:rPr>
              <w:t xml:space="preserve"> Projects</w:t>
            </w:r>
            <w:r w:rsidRPr="004D3942">
              <w:rPr>
                <w:b/>
                <w:bCs/>
                <w:i/>
                <w:iCs/>
                <w:highlight w:val="lightGray"/>
              </w:rPr>
              <w:t xml:space="preserve"> will use paragraph</w:t>
            </w:r>
            <w:r>
              <w:rPr>
                <w:b/>
                <w:bCs/>
                <w:i/>
                <w:iCs/>
                <w:highlight w:val="lightGray"/>
              </w:rPr>
              <w:t>s</w:t>
            </w:r>
            <w:r w:rsidRPr="004D3942">
              <w:rPr>
                <w:b/>
                <w:bCs/>
                <w:i/>
                <w:iCs/>
                <w:highlight w:val="lightGray"/>
              </w:rPr>
              <w:t xml:space="preserve"> (a)</w:t>
            </w:r>
            <w:r>
              <w:rPr>
                <w:b/>
                <w:bCs/>
                <w:i/>
                <w:iCs/>
                <w:highlight w:val="lightGray"/>
              </w:rPr>
              <w:t xml:space="preserve"> to (d)</w:t>
            </w:r>
            <w:r w:rsidRPr="004D3942">
              <w:rPr>
                <w:b/>
                <w:bCs/>
                <w:i/>
                <w:iCs/>
                <w:highlight w:val="lightGray"/>
              </w:rPr>
              <w:t xml:space="preserve"> only.</w:t>
            </w:r>
            <w:r>
              <w:t>]</w:t>
            </w:r>
          </w:p>
          <w:p w14:paraId="603C9470" w14:textId="52EC06B0" w:rsidR="004B7DA7" w:rsidRDefault="004B7DA7" w:rsidP="00680CEC">
            <w:pPr>
              <w:pStyle w:val="BodyText"/>
              <w:numPr>
                <w:ilvl w:val="0"/>
                <w:numId w:val="60"/>
              </w:numPr>
              <w:spacing w:before="120" w:after="120"/>
            </w:pPr>
            <w:r>
              <w:t xml:space="preserve">[includes the </w:t>
            </w:r>
            <w:r w:rsidR="00BE576B">
              <w:t xml:space="preserve">balance of plant specific to the Project and the </w:t>
            </w:r>
            <w:r>
              <w:t>Shared Infrastructure; and</w:t>
            </w:r>
          </w:p>
          <w:p w14:paraId="0813479A" w14:textId="6D7F16DB" w:rsidR="00BE576B" w:rsidRDefault="00A55740" w:rsidP="00BE576B">
            <w:pPr>
              <w:pStyle w:val="BodyText"/>
              <w:numPr>
                <w:ilvl w:val="0"/>
                <w:numId w:val="60"/>
              </w:numPr>
              <w:spacing w:before="120" w:after="120"/>
            </w:pPr>
            <w:r>
              <w:t xml:space="preserve">excludes the </w:t>
            </w:r>
            <w:r w:rsidR="008B043F">
              <w:t>[</w:t>
            </w:r>
            <w:r>
              <w:t>Associated</w:t>
            </w:r>
            <w:r w:rsidR="00BF3954">
              <w:t>/Existing</w:t>
            </w:r>
            <w:r w:rsidR="008B043F">
              <w:t>]</w:t>
            </w:r>
            <w:r>
              <w:t xml:space="preserve"> Project</w:t>
            </w:r>
            <w:r w:rsidR="00BE576B">
              <w:t xml:space="preserve"> and the balance of plant specific to the [Associated/Existing] Project</w:t>
            </w:r>
            <w:r>
              <w:t>.</w:t>
            </w:r>
            <w:r w:rsidR="00F83A6F">
              <w:t>]</w:t>
            </w:r>
          </w:p>
          <w:p w14:paraId="5ED36330" w14:textId="34D8C5CD" w:rsidR="00BE576B" w:rsidRPr="008F660B" w:rsidRDefault="006014B8" w:rsidP="007016AA">
            <w:pPr>
              <w:pStyle w:val="BodyText"/>
              <w:spacing w:before="120" w:after="120"/>
              <w:rPr>
                <w:b/>
                <w:bCs/>
                <w:i/>
                <w:iCs/>
              </w:rPr>
            </w:pPr>
            <w:r>
              <w:t>[</w:t>
            </w:r>
            <w:r w:rsidRPr="004D3942">
              <w:rPr>
                <w:b/>
                <w:bCs/>
                <w:i/>
                <w:iCs/>
                <w:highlight w:val="lightGray"/>
              </w:rPr>
              <w:t xml:space="preserve">Note: all Hybrid Projects </w:t>
            </w:r>
            <w:r w:rsidR="00191673">
              <w:rPr>
                <w:b/>
                <w:bCs/>
                <w:i/>
                <w:iCs/>
                <w:highlight w:val="lightGray"/>
              </w:rPr>
              <w:t xml:space="preserve">and Staged Projects </w:t>
            </w:r>
            <w:r w:rsidRPr="004D3942">
              <w:rPr>
                <w:b/>
                <w:bCs/>
                <w:i/>
                <w:iCs/>
                <w:highlight w:val="lightGray"/>
              </w:rPr>
              <w:t>will use paragraphs (</w:t>
            </w:r>
            <w:r w:rsidR="00B1671A">
              <w:rPr>
                <w:b/>
                <w:bCs/>
                <w:i/>
                <w:iCs/>
                <w:highlight w:val="lightGray"/>
              </w:rPr>
              <w:t>a</w:t>
            </w:r>
            <w:r w:rsidRPr="004D3942">
              <w:rPr>
                <w:b/>
                <w:bCs/>
                <w:i/>
                <w:iCs/>
                <w:highlight w:val="lightGray"/>
              </w:rPr>
              <w:t xml:space="preserve">) </w:t>
            </w:r>
            <w:r w:rsidR="00B1671A">
              <w:rPr>
                <w:b/>
                <w:bCs/>
                <w:i/>
                <w:iCs/>
                <w:highlight w:val="lightGray"/>
              </w:rPr>
              <w:t>to</w:t>
            </w:r>
            <w:r w:rsidRPr="004D3942">
              <w:rPr>
                <w:b/>
                <w:bCs/>
                <w:i/>
                <w:iCs/>
                <w:highlight w:val="lightGray"/>
              </w:rPr>
              <w:t xml:space="preserve"> (</w:t>
            </w:r>
            <w:r w:rsidR="009B32A1">
              <w:rPr>
                <w:b/>
                <w:bCs/>
                <w:i/>
                <w:iCs/>
                <w:highlight w:val="lightGray"/>
              </w:rPr>
              <w:t>c</w:t>
            </w:r>
            <w:r w:rsidRPr="004D3942">
              <w:rPr>
                <w:b/>
                <w:bCs/>
                <w:i/>
                <w:iCs/>
                <w:highlight w:val="lightGray"/>
              </w:rPr>
              <w:t>)</w:t>
            </w:r>
            <w:r w:rsidR="009B32A1">
              <w:rPr>
                <w:b/>
                <w:bCs/>
                <w:i/>
                <w:iCs/>
                <w:highlight w:val="lightGray"/>
              </w:rPr>
              <w:t xml:space="preserve"> and (e) to (f)</w:t>
            </w:r>
            <w:r w:rsidR="003913F5">
              <w:rPr>
                <w:b/>
                <w:bCs/>
                <w:i/>
                <w:iCs/>
                <w:highlight w:val="lightGray"/>
              </w:rPr>
              <w:t xml:space="preserve">. </w:t>
            </w:r>
          </w:p>
        </w:tc>
      </w:tr>
      <w:tr w:rsidR="00D5023C" w:rsidRPr="0006608D" w14:paraId="3072473E" w14:textId="77777777" w:rsidTr="008F660B">
        <w:trPr>
          <w:jc w:val="center"/>
        </w:trPr>
        <w:tc>
          <w:tcPr>
            <w:tcW w:w="525" w:type="dxa"/>
          </w:tcPr>
          <w:p w14:paraId="5021C0A6" w14:textId="77777777" w:rsidR="00D5023C" w:rsidRPr="0006608D" w:rsidRDefault="00D5023C" w:rsidP="00467340">
            <w:pPr>
              <w:pStyle w:val="BodyText"/>
              <w:numPr>
                <w:ilvl w:val="0"/>
                <w:numId w:val="47"/>
              </w:numPr>
              <w:spacing w:before="120" w:after="120"/>
            </w:pPr>
            <w:bookmarkStart w:id="34" w:name="_Ref172454647"/>
          </w:p>
        </w:tc>
        <w:bookmarkEnd w:id="34"/>
        <w:tc>
          <w:tcPr>
            <w:tcW w:w="3651" w:type="dxa"/>
          </w:tcPr>
          <w:p w14:paraId="39E87E0A" w14:textId="77777777" w:rsidR="00D5023C" w:rsidRPr="000E1CDF" w:rsidRDefault="00D5023C" w:rsidP="00306BCE">
            <w:pPr>
              <w:pStyle w:val="BodyText"/>
              <w:spacing w:before="120" w:after="120"/>
            </w:pPr>
            <w:r>
              <w:t>Import Capacity</w:t>
            </w:r>
          </w:p>
        </w:tc>
        <w:tc>
          <w:tcPr>
            <w:tcW w:w="5033" w:type="dxa"/>
          </w:tcPr>
          <w:p w14:paraId="787BD4A4" w14:textId="4752B48A" w:rsidR="0061553C" w:rsidRDefault="0061553C" w:rsidP="00306BCE">
            <w:pPr>
              <w:pStyle w:val="BodyText"/>
              <w:spacing w:before="120" w:after="120"/>
            </w:pPr>
            <w:r>
              <w:rPr>
                <w:b/>
                <w:bCs/>
                <w:i/>
                <w:iCs/>
                <w:highlight w:val="lightGray"/>
              </w:rPr>
              <w:t>[Note: Proponents are not to manually insert these details – please refer to the Returnable Schedules.]</w:t>
            </w:r>
            <w:r>
              <w:t xml:space="preserve"> </w:t>
            </w:r>
          </w:p>
          <w:p w14:paraId="27382864" w14:textId="7B290CAE" w:rsidR="00D5023C" w:rsidRDefault="00D5023C" w:rsidP="00306BCE">
            <w:pPr>
              <w:pStyle w:val="BodyText"/>
              <w:spacing w:before="120" w:after="120"/>
            </w:pPr>
            <w:r>
              <w:t>[</w:t>
            </w:r>
            <w:r w:rsidRPr="00612B3A">
              <w:rPr>
                <w:highlight w:val="yellow"/>
              </w:rPr>
              <w:t>insert</w:t>
            </w:r>
            <w:r>
              <w:t xml:space="preserve">] MW (being the import capacity of the Project as measured at the </w:t>
            </w:r>
            <w:r w:rsidR="00322C47">
              <w:t xml:space="preserve">Measurement </w:t>
            </w:r>
            <w:r>
              <w:t xml:space="preserve">Point </w:t>
            </w:r>
            <w:r w:rsidR="00322C47">
              <w:t xml:space="preserve">for the Project </w:t>
            </w:r>
            <w:r>
              <w:t xml:space="preserve">in AC). </w:t>
            </w:r>
          </w:p>
        </w:tc>
      </w:tr>
      <w:tr w:rsidR="00382502" w:rsidRPr="0006608D" w14:paraId="28350DE4" w14:textId="77777777" w:rsidTr="008F660B">
        <w:trPr>
          <w:jc w:val="center"/>
        </w:trPr>
        <w:tc>
          <w:tcPr>
            <w:tcW w:w="525" w:type="dxa"/>
          </w:tcPr>
          <w:p w14:paraId="2B23D0DE" w14:textId="77777777" w:rsidR="00D5023C" w:rsidRPr="0006608D" w:rsidRDefault="00D5023C" w:rsidP="00467340">
            <w:pPr>
              <w:pStyle w:val="BodyText"/>
              <w:numPr>
                <w:ilvl w:val="0"/>
                <w:numId w:val="47"/>
              </w:numPr>
              <w:spacing w:before="120" w:after="120"/>
            </w:pPr>
            <w:bookmarkStart w:id="35" w:name="_Ref_ContractCompanion_9kb9Ur3CG"/>
            <w:bookmarkStart w:id="36" w:name="_Ref172454687"/>
            <w:bookmarkEnd w:id="35"/>
          </w:p>
        </w:tc>
        <w:bookmarkEnd w:id="36"/>
        <w:tc>
          <w:tcPr>
            <w:tcW w:w="3651" w:type="dxa"/>
          </w:tcPr>
          <w:p w14:paraId="1810A918" w14:textId="77777777" w:rsidR="00D5023C" w:rsidRPr="000E1CDF" w:rsidDel="00B50D10" w:rsidRDefault="00D5023C" w:rsidP="00306BCE">
            <w:pPr>
              <w:pStyle w:val="BodyText"/>
              <w:spacing w:before="120" w:after="120"/>
            </w:pPr>
            <w:r>
              <w:t>Export Capacity</w:t>
            </w:r>
          </w:p>
        </w:tc>
        <w:tc>
          <w:tcPr>
            <w:tcW w:w="5033" w:type="dxa"/>
          </w:tcPr>
          <w:p w14:paraId="6DCECF9D" w14:textId="617E5A15" w:rsidR="0061553C" w:rsidRDefault="0061553C" w:rsidP="00306BCE">
            <w:pPr>
              <w:pStyle w:val="BodyText"/>
              <w:spacing w:before="120" w:after="120"/>
            </w:pPr>
            <w:r>
              <w:rPr>
                <w:b/>
                <w:bCs/>
                <w:i/>
                <w:iCs/>
                <w:highlight w:val="lightGray"/>
              </w:rPr>
              <w:t>[Note: Proponents are not to manually insert these details – please refer to the Returnable Schedules.]</w:t>
            </w:r>
            <w:r>
              <w:t xml:space="preserve"> </w:t>
            </w:r>
          </w:p>
          <w:p w14:paraId="0CEBD81B" w14:textId="74F655BB" w:rsidR="00C25755" w:rsidRDefault="00C25755" w:rsidP="008F660B">
            <w:pPr>
              <w:pStyle w:val="BodyText"/>
              <w:spacing w:before="120" w:after="120"/>
            </w:pPr>
            <w:r>
              <w:t>The lesser of:</w:t>
            </w:r>
          </w:p>
          <w:p w14:paraId="1123E3B4" w14:textId="39D26BB5" w:rsidR="00D5023C" w:rsidRDefault="00D5023C" w:rsidP="008F660B">
            <w:pPr>
              <w:pStyle w:val="BodyText"/>
              <w:numPr>
                <w:ilvl w:val="0"/>
                <w:numId w:val="97"/>
              </w:numPr>
              <w:spacing w:before="120" w:after="120"/>
            </w:pPr>
            <w:r>
              <w:t>[</w:t>
            </w:r>
            <w:r w:rsidRPr="00612B3A">
              <w:rPr>
                <w:highlight w:val="yellow"/>
              </w:rPr>
              <w:t>insert</w:t>
            </w:r>
            <w:r>
              <w:t xml:space="preserve">] MW (being the export capacity of the Project as measured at the </w:t>
            </w:r>
            <w:r w:rsidR="00322C47">
              <w:t xml:space="preserve">Measurement </w:t>
            </w:r>
            <w:r>
              <w:t xml:space="preserve">Point </w:t>
            </w:r>
            <w:r w:rsidR="00322C47">
              <w:t xml:space="preserve">for the Project </w:t>
            </w:r>
            <w:r>
              <w:t>in AC)</w:t>
            </w:r>
            <w:r w:rsidR="00322C47">
              <w:t>; and</w:t>
            </w:r>
          </w:p>
          <w:p w14:paraId="5233CC65" w14:textId="4EC5637C" w:rsidR="00322C47" w:rsidDel="00B50D10" w:rsidRDefault="00322C47" w:rsidP="008F660B">
            <w:pPr>
              <w:pStyle w:val="BodyText"/>
              <w:numPr>
                <w:ilvl w:val="0"/>
                <w:numId w:val="97"/>
              </w:numPr>
              <w:spacing w:before="120" w:after="120"/>
            </w:pPr>
            <w:r>
              <w:t>[</w:t>
            </w:r>
            <w:r>
              <w:rPr>
                <w:highlight w:val="yellow"/>
              </w:rPr>
              <w:t>insert</w:t>
            </w:r>
            <w:r>
              <w:t>], being the Declared Sent Out Capacity (as defined in the ETAC). [</w:t>
            </w:r>
            <w:r>
              <w:rPr>
                <w:b/>
                <w:bCs/>
                <w:i/>
                <w:iCs/>
                <w:highlight w:val="lightGray"/>
              </w:rPr>
              <w:t>Note: if the Declared Sent Out Capacity is known at the Signing Date, include the Declared Sent Out Capacity (in MW) only</w:t>
            </w:r>
            <w:r>
              <w:t>]</w:t>
            </w:r>
          </w:p>
        </w:tc>
      </w:tr>
      <w:tr w:rsidR="00382502" w:rsidRPr="0006608D" w14:paraId="1863A5B8" w14:textId="77777777" w:rsidTr="008F660B">
        <w:trPr>
          <w:jc w:val="center"/>
        </w:trPr>
        <w:tc>
          <w:tcPr>
            <w:tcW w:w="525" w:type="dxa"/>
          </w:tcPr>
          <w:p w14:paraId="1662BD72" w14:textId="77777777" w:rsidR="00D5023C" w:rsidRPr="0006608D" w:rsidRDefault="00D5023C" w:rsidP="00467340">
            <w:pPr>
              <w:pStyle w:val="BodyText"/>
              <w:numPr>
                <w:ilvl w:val="0"/>
                <w:numId w:val="47"/>
              </w:numPr>
              <w:spacing w:before="120" w:after="120"/>
            </w:pPr>
            <w:bookmarkStart w:id="37" w:name="_Ref172454712"/>
            <w:bookmarkStart w:id="38" w:name="_Hlk172453859"/>
          </w:p>
        </w:tc>
        <w:bookmarkEnd w:id="37"/>
        <w:tc>
          <w:tcPr>
            <w:tcW w:w="3651" w:type="dxa"/>
          </w:tcPr>
          <w:p w14:paraId="650A7B2E" w14:textId="77777777" w:rsidR="00D5023C" w:rsidRPr="000E1CDF" w:rsidDel="00B50D10" w:rsidRDefault="00D5023C" w:rsidP="00306BCE">
            <w:pPr>
              <w:pStyle w:val="BodyText"/>
              <w:spacing w:before="120" w:after="120"/>
            </w:pPr>
            <w:r>
              <w:t>Storage Capacity</w:t>
            </w:r>
          </w:p>
        </w:tc>
        <w:tc>
          <w:tcPr>
            <w:tcW w:w="5033" w:type="dxa"/>
          </w:tcPr>
          <w:p w14:paraId="39670B97" w14:textId="51666D5D" w:rsidR="0061553C" w:rsidRDefault="0061553C" w:rsidP="0061553C">
            <w:pPr>
              <w:pStyle w:val="BodyText"/>
              <w:spacing w:before="120" w:after="120"/>
            </w:pPr>
            <w:r>
              <w:rPr>
                <w:b/>
                <w:bCs/>
                <w:i/>
                <w:iCs/>
                <w:highlight w:val="lightGray"/>
              </w:rPr>
              <w:t>[Note: Proponents are not to manually insert these details – please refer to the Returnable Schedules.]</w:t>
            </w:r>
            <w:r>
              <w:t xml:space="preserve"> </w:t>
            </w:r>
          </w:p>
          <w:p w14:paraId="184D588E" w14:textId="77777777" w:rsidR="0061553C" w:rsidRDefault="0061553C" w:rsidP="00306BCE">
            <w:pPr>
              <w:rPr>
                <w:b/>
                <w:bCs/>
                <w:i/>
                <w:iCs/>
              </w:rPr>
            </w:pPr>
          </w:p>
          <w:p w14:paraId="5E247976" w14:textId="6AA757D5" w:rsidR="000E1D00" w:rsidRDefault="000E1D00" w:rsidP="00306BCE">
            <w:pPr>
              <w:rPr>
                <w:b/>
                <w:bCs/>
                <w:i/>
                <w:iCs/>
              </w:rPr>
            </w:pPr>
            <w:r w:rsidRPr="005E1F02">
              <w:rPr>
                <w:b/>
                <w:bCs/>
                <w:i/>
                <w:iCs/>
              </w:rPr>
              <w:t>[</w:t>
            </w:r>
            <w:r w:rsidR="00306BCE">
              <w:rPr>
                <w:b/>
                <w:bCs/>
                <w:i/>
                <w:iCs/>
                <w:highlight w:val="lightGray"/>
              </w:rPr>
              <w:t>N</w:t>
            </w:r>
            <w:r w:rsidRPr="00131021">
              <w:rPr>
                <w:b/>
                <w:bCs/>
                <w:i/>
                <w:iCs/>
                <w:highlight w:val="lightGray"/>
              </w:rPr>
              <w:t xml:space="preserve">ote: the storage capacity set out here is to reflect degradation to the extent relevant for the technology type. The number of rows in the table below should reflect the number of </w:t>
            </w:r>
            <w:r w:rsidR="00F54222">
              <w:rPr>
                <w:b/>
                <w:bCs/>
                <w:i/>
                <w:iCs/>
                <w:highlight w:val="lightGray"/>
              </w:rPr>
              <w:t xml:space="preserve">Operations </w:t>
            </w:r>
            <w:r w:rsidR="00EE66D6">
              <w:rPr>
                <w:b/>
                <w:bCs/>
                <w:i/>
                <w:iCs/>
                <w:highlight w:val="lightGray"/>
              </w:rPr>
              <w:t xml:space="preserve">Years </w:t>
            </w:r>
            <w:r w:rsidR="00F54222">
              <w:rPr>
                <w:b/>
                <w:bCs/>
                <w:i/>
                <w:iCs/>
                <w:highlight w:val="lightGray"/>
              </w:rPr>
              <w:t xml:space="preserve">and </w:t>
            </w:r>
            <w:r w:rsidRPr="00131021">
              <w:rPr>
                <w:b/>
                <w:bCs/>
                <w:i/>
                <w:iCs/>
                <w:highlight w:val="lightGray"/>
              </w:rPr>
              <w:t xml:space="preserve">Support Years </w:t>
            </w:r>
            <w:r w:rsidR="00C016D5">
              <w:rPr>
                <w:b/>
                <w:bCs/>
                <w:i/>
                <w:iCs/>
                <w:highlight w:val="lightGray"/>
              </w:rPr>
              <w:t>that</w:t>
            </w:r>
            <w:r w:rsidRPr="00131021">
              <w:rPr>
                <w:b/>
                <w:bCs/>
                <w:i/>
                <w:iCs/>
                <w:highlight w:val="lightGray"/>
              </w:rPr>
              <w:t xml:space="preserve"> apply to this Agreement. </w:t>
            </w:r>
          </w:p>
          <w:p w14:paraId="44D78DE6" w14:textId="77777777" w:rsidR="00043F79" w:rsidRDefault="00043F79" w:rsidP="00306BCE">
            <w:pPr>
              <w:rPr>
                <w:b/>
                <w:bCs/>
                <w:i/>
                <w:iCs/>
              </w:rPr>
            </w:pPr>
          </w:p>
          <w:p w14:paraId="38549755" w14:textId="03AE9493" w:rsidR="000E1D00" w:rsidRDefault="000E1D00" w:rsidP="00C016D5">
            <w:pPr>
              <w:keepNext/>
            </w:pPr>
            <w:r w:rsidRPr="00435E50">
              <w:rPr>
                <w:b/>
                <w:bCs/>
              </w:rPr>
              <w:t>Storage Capacity</w:t>
            </w:r>
            <w:r w:rsidRPr="002B4098">
              <w:t xml:space="preserve"> </w:t>
            </w:r>
            <w:r>
              <w:t xml:space="preserve">means the storage </w:t>
            </w:r>
            <w:r w:rsidRPr="005E3F90">
              <w:t xml:space="preserve">capacity as at </w:t>
            </w:r>
            <w:r w:rsidR="005A762F" w:rsidRPr="005E3F90">
              <w:t xml:space="preserve">and from </w:t>
            </w:r>
            <w:r w:rsidRPr="005E3F90">
              <w:t xml:space="preserve">COD and for each Support Year </w:t>
            </w:r>
            <w:r w:rsidR="005E3F90" w:rsidRPr="005E3F90">
              <w:t xml:space="preserve">and for each Operations Year </w:t>
            </w:r>
            <w:r w:rsidRPr="005E3F90">
              <w:t xml:space="preserve">as </w:t>
            </w:r>
            <w:r w:rsidR="00043F79">
              <w:t xml:space="preserve">measured at the Measurement Point for the Project as </w:t>
            </w:r>
            <w:r w:rsidRPr="005E3F90">
              <w:t xml:space="preserve">follows: </w:t>
            </w:r>
          </w:p>
          <w:tbl>
            <w:tblPr>
              <w:tblpPr w:leftFromText="180" w:rightFromText="180" w:vertAnchor="text" w:horzAnchor="margin" w:tblpY="193"/>
              <w:tblOverlap w:val="never"/>
              <w:tblW w:w="5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3373"/>
            </w:tblGrid>
            <w:tr w:rsidR="00043F79" w14:paraId="5A9FA41D" w14:textId="77777777" w:rsidTr="008F660B">
              <w:trPr>
                <w:trHeight w:val="195"/>
              </w:trPr>
              <w:tc>
                <w:tcPr>
                  <w:tcW w:w="2263" w:type="dxa"/>
                </w:tcPr>
                <w:p w14:paraId="520D86CE" w14:textId="77777777" w:rsidR="00043F79" w:rsidRDefault="00043F79" w:rsidP="00043F79">
                  <w:pPr>
                    <w:pStyle w:val="BodyText"/>
                    <w:spacing w:before="120" w:after="120"/>
                  </w:pPr>
                  <w:r>
                    <w:t xml:space="preserve">Operations Years </w:t>
                  </w:r>
                </w:p>
              </w:tc>
              <w:tc>
                <w:tcPr>
                  <w:tcW w:w="3373" w:type="dxa"/>
                </w:tcPr>
                <w:p w14:paraId="6BF96B8B" w14:textId="77777777" w:rsidR="00043F79" w:rsidRDefault="00043F79" w:rsidP="00043F79">
                  <w:pPr>
                    <w:pStyle w:val="BodyText"/>
                    <w:spacing w:before="120" w:after="120"/>
                  </w:pPr>
                  <w:r>
                    <w:t>Storage Capacity (MWh)</w:t>
                  </w:r>
                </w:p>
              </w:tc>
            </w:tr>
            <w:tr w:rsidR="00043F79" w14:paraId="207DD5D0" w14:textId="77777777" w:rsidTr="008F660B">
              <w:trPr>
                <w:trHeight w:val="130"/>
              </w:trPr>
              <w:tc>
                <w:tcPr>
                  <w:tcW w:w="2263" w:type="dxa"/>
                </w:tcPr>
                <w:p w14:paraId="3967C6AD" w14:textId="77777777" w:rsidR="00043F79" w:rsidRDefault="00043F79" w:rsidP="00043F79">
                  <w:pPr>
                    <w:pStyle w:val="BodyText"/>
                    <w:spacing w:before="120" w:after="120"/>
                  </w:pPr>
                  <w:r>
                    <w:t>As at COD</w:t>
                  </w:r>
                </w:p>
              </w:tc>
              <w:tc>
                <w:tcPr>
                  <w:tcW w:w="3373" w:type="dxa"/>
                </w:tcPr>
                <w:p w14:paraId="5D3DA207" w14:textId="77777777" w:rsidR="00043F79" w:rsidRDefault="00043F79" w:rsidP="00043F79">
                  <w:pPr>
                    <w:pStyle w:val="BodyText"/>
                    <w:spacing w:before="120" w:after="120"/>
                  </w:pPr>
                  <w:r>
                    <w:t>[</w:t>
                  </w:r>
                  <w:r>
                    <w:rPr>
                      <w:highlight w:val="yellow"/>
                    </w:rPr>
                    <w:t>insert</w:t>
                  </w:r>
                  <w:r>
                    <w:t>] MWh</w:t>
                  </w:r>
                </w:p>
              </w:tc>
            </w:tr>
            <w:tr w:rsidR="00043F79" w14:paraId="0EF62782" w14:textId="77777777" w:rsidTr="008F660B">
              <w:trPr>
                <w:trHeight w:val="130"/>
              </w:trPr>
              <w:tc>
                <w:tcPr>
                  <w:tcW w:w="2263" w:type="dxa"/>
                </w:tcPr>
                <w:p w14:paraId="16805C4A" w14:textId="77777777" w:rsidR="00043F79" w:rsidRDefault="00043F79" w:rsidP="00043F79">
                  <w:pPr>
                    <w:pStyle w:val="BodyText"/>
                    <w:spacing w:before="120" w:after="120"/>
                  </w:pPr>
                  <w:r>
                    <w:t>For the first Operations Year</w:t>
                  </w:r>
                </w:p>
              </w:tc>
              <w:tc>
                <w:tcPr>
                  <w:tcW w:w="3373" w:type="dxa"/>
                </w:tcPr>
                <w:p w14:paraId="5561408C" w14:textId="77777777" w:rsidR="00043F79" w:rsidRDefault="00043F79" w:rsidP="00043F79">
                  <w:pPr>
                    <w:pStyle w:val="BodyText"/>
                    <w:spacing w:before="120" w:after="120"/>
                  </w:pPr>
                  <w:r>
                    <w:t>[</w:t>
                  </w:r>
                  <w:r>
                    <w:rPr>
                      <w:highlight w:val="yellow"/>
                    </w:rPr>
                    <w:t>insert</w:t>
                  </w:r>
                  <w:r>
                    <w:t>] MWh</w:t>
                  </w:r>
                </w:p>
              </w:tc>
            </w:tr>
            <w:tr w:rsidR="00043F79" w14:paraId="10831DFE" w14:textId="77777777" w:rsidTr="008F660B">
              <w:trPr>
                <w:trHeight w:val="130"/>
              </w:trPr>
              <w:tc>
                <w:tcPr>
                  <w:tcW w:w="2263" w:type="dxa"/>
                </w:tcPr>
                <w:p w14:paraId="1456683E" w14:textId="77777777" w:rsidR="00043F79" w:rsidRDefault="00043F79" w:rsidP="00043F79">
                  <w:pPr>
                    <w:pStyle w:val="BodyText"/>
                    <w:spacing w:before="120" w:after="120"/>
                  </w:pPr>
                  <w:r>
                    <w:t>For the second Operations Year</w:t>
                  </w:r>
                </w:p>
              </w:tc>
              <w:tc>
                <w:tcPr>
                  <w:tcW w:w="3373" w:type="dxa"/>
                </w:tcPr>
                <w:p w14:paraId="51E9C6F9" w14:textId="77777777" w:rsidR="00043F79" w:rsidRDefault="00043F79" w:rsidP="00043F79">
                  <w:pPr>
                    <w:pStyle w:val="BodyText"/>
                    <w:spacing w:before="120" w:after="120"/>
                  </w:pPr>
                  <w:r>
                    <w:t>[</w:t>
                  </w:r>
                  <w:r>
                    <w:rPr>
                      <w:highlight w:val="yellow"/>
                    </w:rPr>
                    <w:t>insert</w:t>
                  </w:r>
                  <w:r>
                    <w:t>] MWh</w:t>
                  </w:r>
                </w:p>
              </w:tc>
            </w:tr>
            <w:tr w:rsidR="00043F79" w14:paraId="2503E47F" w14:textId="77777777" w:rsidTr="008F660B">
              <w:trPr>
                <w:trHeight w:val="133"/>
              </w:trPr>
              <w:tc>
                <w:tcPr>
                  <w:tcW w:w="2263" w:type="dxa"/>
                </w:tcPr>
                <w:p w14:paraId="11226375" w14:textId="77777777" w:rsidR="00043F79" w:rsidRDefault="00043F79" w:rsidP="00043F79">
                  <w:pPr>
                    <w:pStyle w:val="BodyText"/>
                    <w:spacing w:before="120" w:after="120"/>
                  </w:pPr>
                  <w:r>
                    <w:t>For the third Operations Year</w:t>
                  </w:r>
                </w:p>
              </w:tc>
              <w:tc>
                <w:tcPr>
                  <w:tcW w:w="3373" w:type="dxa"/>
                </w:tcPr>
                <w:p w14:paraId="6F4E2C3C" w14:textId="77777777" w:rsidR="00043F79" w:rsidRDefault="00043F79" w:rsidP="00043F79">
                  <w:pPr>
                    <w:pStyle w:val="BodyText"/>
                    <w:spacing w:before="120" w:after="120"/>
                  </w:pPr>
                  <w:r>
                    <w:t>[</w:t>
                  </w:r>
                  <w:r>
                    <w:rPr>
                      <w:highlight w:val="yellow"/>
                    </w:rPr>
                    <w:t>insert</w:t>
                  </w:r>
                  <w:r>
                    <w:t>] MWh</w:t>
                  </w:r>
                </w:p>
              </w:tc>
            </w:tr>
            <w:tr w:rsidR="00043F79" w14:paraId="06033369" w14:textId="77777777" w:rsidTr="008F660B">
              <w:trPr>
                <w:trHeight w:val="133"/>
              </w:trPr>
              <w:tc>
                <w:tcPr>
                  <w:tcW w:w="2263" w:type="dxa"/>
                </w:tcPr>
                <w:p w14:paraId="2161A8CA" w14:textId="77777777" w:rsidR="00043F79" w:rsidRDefault="00043F79" w:rsidP="00043F79">
                  <w:pPr>
                    <w:pStyle w:val="BodyText"/>
                    <w:spacing w:before="120" w:after="120"/>
                  </w:pPr>
                  <w:r>
                    <w:t>For the fourth Operations Year</w:t>
                  </w:r>
                </w:p>
              </w:tc>
              <w:tc>
                <w:tcPr>
                  <w:tcW w:w="3373" w:type="dxa"/>
                </w:tcPr>
                <w:p w14:paraId="3A952041" w14:textId="77777777" w:rsidR="00043F79" w:rsidRDefault="00043F79" w:rsidP="00043F79">
                  <w:pPr>
                    <w:pStyle w:val="BodyText"/>
                    <w:spacing w:before="120" w:after="120"/>
                  </w:pPr>
                  <w:r>
                    <w:t>[</w:t>
                  </w:r>
                  <w:r>
                    <w:rPr>
                      <w:highlight w:val="yellow"/>
                    </w:rPr>
                    <w:t>insert</w:t>
                  </w:r>
                  <w:r>
                    <w:t>] MWh</w:t>
                  </w:r>
                </w:p>
              </w:tc>
            </w:tr>
            <w:tr w:rsidR="00043F79" w14:paraId="6A1305EA" w14:textId="77777777" w:rsidTr="008F660B">
              <w:trPr>
                <w:trHeight w:val="133"/>
              </w:trPr>
              <w:tc>
                <w:tcPr>
                  <w:tcW w:w="2263" w:type="dxa"/>
                </w:tcPr>
                <w:p w14:paraId="43D7F5CC" w14:textId="77777777" w:rsidR="00043F79" w:rsidRDefault="00043F79" w:rsidP="00043F79">
                  <w:pPr>
                    <w:pStyle w:val="BodyText"/>
                    <w:spacing w:before="120" w:after="120"/>
                  </w:pPr>
                  <w:r>
                    <w:t>For the fifth Operations Year</w:t>
                  </w:r>
                </w:p>
              </w:tc>
              <w:tc>
                <w:tcPr>
                  <w:tcW w:w="3373" w:type="dxa"/>
                </w:tcPr>
                <w:p w14:paraId="4EFD64DB" w14:textId="77777777" w:rsidR="00043F79" w:rsidRDefault="00043F79" w:rsidP="00043F79">
                  <w:pPr>
                    <w:pStyle w:val="BodyText"/>
                    <w:spacing w:before="120" w:after="120"/>
                  </w:pPr>
                  <w:r>
                    <w:t>[</w:t>
                  </w:r>
                  <w:r>
                    <w:rPr>
                      <w:highlight w:val="yellow"/>
                    </w:rPr>
                    <w:t>insert</w:t>
                  </w:r>
                  <w:r>
                    <w:t>] MWh</w:t>
                  </w:r>
                </w:p>
              </w:tc>
            </w:tr>
            <w:tr w:rsidR="00043F79" w14:paraId="28152A3C" w14:textId="77777777" w:rsidTr="008F660B">
              <w:trPr>
                <w:trHeight w:val="133"/>
              </w:trPr>
              <w:tc>
                <w:tcPr>
                  <w:tcW w:w="2263" w:type="dxa"/>
                </w:tcPr>
                <w:p w14:paraId="76D6D279" w14:textId="77777777" w:rsidR="00043F79" w:rsidRDefault="00043F79" w:rsidP="00043F79">
                  <w:pPr>
                    <w:pStyle w:val="BodyText"/>
                    <w:spacing w:before="120" w:after="120"/>
                  </w:pPr>
                  <w:r>
                    <w:t>For the sixth Operations Year</w:t>
                  </w:r>
                </w:p>
              </w:tc>
              <w:tc>
                <w:tcPr>
                  <w:tcW w:w="3373" w:type="dxa"/>
                </w:tcPr>
                <w:p w14:paraId="2A555E73" w14:textId="77777777" w:rsidR="00043F79" w:rsidRDefault="00043F79" w:rsidP="00043F79">
                  <w:pPr>
                    <w:pStyle w:val="BodyText"/>
                    <w:spacing w:before="120" w:after="120"/>
                  </w:pPr>
                  <w:r>
                    <w:t>[</w:t>
                  </w:r>
                  <w:r>
                    <w:rPr>
                      <w:highlight w:val="yellow"/>
                    </w:rPr>
                    <w:t>insert</w:t>
                  </w:r>
                  <w:r>
                    <w:t>] MWh</w:t>
                  </w:r>
                </w:p>
              </w:tc>
            </w:tr>
            <w:tr w:rsidR="00043F79" w14:paraId="433C26A5" w14:textId="77777777" w:rsidTr="008F660B">
              <w:trPr>
                <w:trHeight w:val="133"/>
              </w:trPr>
              <w:tc>
                <w:tcPr>
                  <w:tcW w:w="2263" w:type="dxa"/>
                </w:tcPr>
                <w:p w14:paraId="4F020C13" w14:textId="77777777" w:rsidR="00043F79" w:rsidRDefault="00043F79" w:rsidP="00043F79">
                  <w:pPr>
                    <w:pStyle w:val="BodyText"/>
                    <w:spacing w:before="120" w:after="120"/>
                  </w:pPr>
                  <w:r>
                    <w:t>For the seventh Operations Year</w:t>
                  </w:r>
                </w:p>
              </w:tc>
              <w:tc>
                <w:tcPr>
                  <w:tcW w:w="3373" w:type="dxa"/>
                </w:tcPr>
                <w:p w14:paraId="1C960B4C" w14:textId="77777777" w:rsidR="00043F79" w:rsidRDefault="00043F79" w:rsidP="00043F79">
                  <w:pPr>
                    <w:pStyle w:val="BodyText"/>
                    <w:spacing w:before="120" w:after="120"/>
                  </w:pPr>
                  <w:r>
                    <w:t>[</w:t>
                  </w:r>
                  <w:r>
                    <w:rPr>
                      <w:highlight w:val="yellow"/>
                    </w:rPr>
                    <w:t>insert</w:t>
                  </w:r>
                  <w:r>
                    <w:t>] MWh</w:t>
                  </w:r>
                </w:p>
              </w:tc>
            </w:tr>
            <w:tr w:rsidR="00043F79" w14:paraId="2C9E16FE" w14:textId="77777777" w:rsidTr="008F660B">
              <w:trPr>
                <w:trHeight w:val="133"/>
              </w:trPr>
              <w:tc>
                <w:tcPr>
                  <w:tcW w:w="2263" w:type="dxa"/>
                </w:tcPr>
                <w:p w14:paraId="75A35F14" w14:textId="77777777" w:rsidR="00043F79" w:rsidRDefault="00043F79" w:rsidP="00043F79">
                  <w:pPr>
                    <w:pStyle w:val="BodyText"/>
                    <w:spacing w:before="120" w:after="120"/>
                  </w:pPr>
                  <w:r>
                    <w:t>For the eighth Operations Year</w:t>
                  </w:r>
                </w:p>
              </w:tc>
              <w:tc>
                <w:tcPr>
                  <w:tcW w:w="3373" w:type="dxa"/>
                </w:tcPr>
                <w:p w14:paraId="17838BFD" w14:textId="77777777" w:rsidR="00043F79" w:rsidRDefault="00043F79" w:rsidP="00043F79">
                  <w:pPr>
                    <w:pStyle w:val="BodyText"/>
                    <w:spacing w:before="120" w:after="120"/>
                  </w:pPr>
                  <w:r>
                    <w:t>[</w:t>
                  </w:r>
                  <w:r>
                    <w:rPr>
                      <w:highlight w:val="yellow"/>
                    </w:rPr>
                    <w:t>insert</w:t>
                  </w:r>
                  <w:r>
                    <w:t>] MWh</w:t>
                  </w:r>
                </w:p>
              </w:tc>
            </w:tr>
            <w:tr w:rsidR="00043F79" w14:paraId="579392EF" w14:textId="77777777" w:rsidTr="008F660B">
              <w:trPr>
                <w:trHeight w:val="133"/>
              </w:trPr>
              <w:tc>
                <w:tcPr>
                  <w:tcW w:w="2263" w:type="dxa"/>
                </w:tcPr>
                <w:p w14:paraId="47E4DCF3" w14:textId="77777777" w:rsidR="00043F79" w:rsidRDefault="00043F79" w:rsidP="00043F79">
                  <w:pPr>
                    <w:pStyle w:val="BodyText"/>
                    <w:spacing w:before="120" w:after="120"/>
                  </w:pPr>
                  <w:r>
                    <w:t>For the ninth Operations Year</w:t>
                  </w:r>
                </w:p>
              </w:tc>
              <w:tc>
                <w:tcPr>
                  <w:tcW w:w="3373" w:type="dxa"/>
                </w:tcPr>
                <w:p w14:paraId="31FD257A" w14:textId="77777777" w:rsidR="00043F79" w:rsidRDefault="00043F79" w:rsidP="00043F79">
                  <w:pPr>
                    <w:pStyle w:val="BodyText"/>
                    <w:spacing w:before="120" w:after="120"/>
                  </w:pPr>
                  <w:r>
                    <w:t>[</w:t>
                  </w:r>
                  <w:r>
                    <w:rPr>
                      <w:highlight w:val="yellow"/>
                    </w:rPr>
                    <w:t>insert</w:t>
                  </w:r>
                  <w:r>
                    <w:t>] MWh</w:t>
                  </w:r>
                </w:p>
              </w:tc>
            </w:tr>
            <w:tr w:rsidR="00043F79" w14:paraId="03ED32CC" w14:textId="77777777" w:rsidTr="008F660B">
              <w:trPr>
                <w:trHeight w:val="133"/>
              </w:trPr>
              <w:tc>
                <w:tcPr>
                  <w:tcW w:w="2263" w:type="dxa"/>
                </w:tcPr>
                <w:p w14:paraId="5378BDF4" w14:textId="77777777" w:rsidR="00043F79" w:rsidRDefault="00043F79" w:rsidP="00043F79">
                  <w:pPr>
                    <w:pStyle w:val="BodyText"/>
                    <w:spacing w:before="120" w:after="120"/>
                  </w:pPr>
                  <w:r>
                    <w:t>For the tenth Operations Year</w:t>
                  </w:r>
                </w:p>
              </w:tc>
              <w:tc>
                <w:tcPr>
                  <w:tcW w:w="3373" w:type="dxa"/>
                </w:tcPr>
                <w:p w14:paraId="5A1C1F64" w14:textId="77777777" w:rsidR="00043F79" w:rsidRDefault="00043F79" w:rsidP="00043F79">
                  <w:pPr>
                    <w:pStyle w:val="BodyText"/>
                    <w:spacing w:before="120" w:after="120"/>
                  </w:pPr>
                  <w:r>
                    <w:t>[</w:t>
                  </w:r>
                  <w:r>
                    <w:rPr>
                      <w:highlight w:val="yellow"/>
                    </w:rPr>
                    <w:t>insert</w:t>
                  </w:r>
                  <w:r>
                    <w:t>] MWh</w:t>
                  </w:r>
                </w:p>
              </w:tc>
            </w:tr>
            <w:tr w:rsidR="00043F79" w14:paraId="4FDC76C9" w14:textId="77777777" w:rsidTr="008F660B">
              <w:trPr>
                <w:trHeight w:val="133"/>
              </w:trPr>
              <w:tc>
                <w:tcPr>
                  <w:tcW w:w="2263" w:type="dxa"/>
                </w:tcPr>
                <w:p w14:paraId="3DC26C10" w14:textId="77777777" w:rsidR="00043F79" w:rsidRDefault="00043F79" w:rsidP="00043F79">
                  <w:pPr>
                    <w:pStyle w:val="BodyText"/>
                    <w:spacing w:before="120" w:after="120"/>
                  </w:pPr>
                  <w:r>
                    <w:t>For the eleventh Operations Year</w:t>
                  </w:r>
                </w:p>
              </w:tc>
              <w:tc>
                <w:tcPr>
                  <w:tcW w:w="3373" w:type="dxa"/>
                </w:tcPr>
                <w:p w14:paraId="66B8853E" w14:textId="77777777" w:rsidR="00043F79" w:rsidRDefault="00043F79" w:rsidP="00043F79">
                  <w:pPr>
                    <w:pStyle w:val="BodyText"/>
                    <w:spacing w:before="120" w:after="120"/>
                  </w:pPr>
                  <w:r>
                    <w:t>[</w:t>
                  </w:r>
                  <w:r>
                    <w:rPr>
                      <w:highlight w:val="yellow"/>
                    </w:rPr>
                    <w:t>insert</w:t>
                  </w:r>
                  <w:r>
                    <w:t>] MWh</w:t>
                  </w:r>
                </w:p>
              </w:tc>
            </w:tr>
            <w:tr w:rsidR="00043F79" w14:paraId="777D2244" w14:textId="77777777" w:rsidTr="008F660B">
              <w:trPr>
                <w:trHeight w:val="133"/>
              </w:trPr>
              <w:tc>
                <w:tcPr>
                  <w:tcW w:w="2263" w:type="dxa"/>
                </w:tcPr>
                <w:p w14:paraId="57C5E000" w14:textId="77777777" w:rsidR="00043F79" w:rsidRDefault="00043F79" w:rsidP="00043F79">
                  <w:pPr>
                    <w:pStyle w:val="BodyText"/>
                    <w:spacing w:before="120" w:after="120"/>
                  </w:pPr>
                  <w:r>
                    <w:t>For the twelfth Operations Year</w:t>
                  </w:r>
                </w:p>
              </w:tc>
              <w:tc>
                <w:tcPr>
                  <w:tcW w:w="3373" w:type="dxa"/>
                </w:tcPr>
                <w:p w14:paraId="5D2F37D1" w14:textId="77777777" w:rsidR="00043F79" w:rsidRDefault="00043F79" w:rsidP="00043F79">
                  <w:pPr>
                    <w:pStyle w:val="BodyText"/>
                    <w:spacing w:before="120" w:after="120"/>
                  </w:pPr>
                  <w:r>
                    <w:t>[</w:t>
                  </w:r>
                  <w:r>
                    <w:rPr>
                      <w:highlight w:val="yellow"/>
                    </w:rPr>
                    <w:t>insert</w:t>
                  </w:r>
                  <w:r>
                    <w:t>] MWh</w:t>
                  </w:r>
                </w:p>
              </w:tc>
            </w:tr>
            <w:tr w:rsidR="00043F79" w14:paraId="4F971101" w14:textId="77777777" w:rsidTr="008F660B">
              <w:trPr>
                <w:trHeight w:val="133"/>
              </w:trPr>
              <w:tc>
                <w:tcPr>
                  <w:tcW w:w="2263" w:type="dxa"/>
                </w:tcPr>
                <w:p w14:paraId="169886A3" w14:textId="77777777" w:rsidR="00043F79" w:rsidRDefault="00043F79" w:rsidP="00043F79">
                  <w:pPr>
                    <w:pStyle w:val="BodyText"/>
                    <w:spacing w:before="120" w:after="120"/>
                  </w:pPr>
                  <w:r>
                    <w:t>For the thirteenth Operations Year</w:t>
                  </w:r>
                </w:p>
              </w:tc>
              <w:tc>
                <w:tcPr>
                  <w:tcW w:w="3373" w:type="dxa"/>
                </w:tcPr>
                <w:p w14:paraId="7471DF79" w14:textId="77777777" w:rsidR="00043F79" w:rsidRDefault="00043F79" w:rsidP="00043F79">
                  <w:pPr>
                    <w:pStyle w:val="BodyText"/>
                    <w:spacing w:before="120" w:after="120"/>
                  </w:pPr>
                  <w:r>
                    <w:t>[</w:t>
                  </w:r>
                  <w:r>
                    <w:rPr>
                      <w:highlight w:val="yellow"/>
                    </w:rPr>
                    <w:t>insert</w:t>
                  </w:r>
                  <w:r>
                    <w:t>] MWh</w:t>
                  </w:r>
                </w:p>
              </w:tc>
            </w:tr>
            <w:tr w:rsidR="00043F79" w14:paraId="6B508AC9" w14:textId="77777777" w:rsidTr="008F660B">
              <w:trPr>
                <w:trHeight w:val="133"/>
              </w:trPr>
              <w:tc>
                <w:tcPr>
                  <w:tcW w:w="2263" w:type="dxa"/>
                </w:tcPr>
                <w:p w14:paraId="71742A81" w14:textId="77777777" w:rsidR="00043F79" w:rsidRDefault="00043F79" w:rsidP="00043F79">
                  <w:pPr>
                    <w:pStyle w:val="BodyText"/>
                    <w:spacing w:before="120" w:after="120"/>
                  </w:pPr>
                  <w:r>
                    <w:t>For the fourteenth Operations Year</w:t>
                  </w:r>
                </w:p>
              </w:tc>
              <w:tc>
                <w:tcPr>
                  <w:tcW w:w="3373" w:type="dxa"/>
                </w:tcPr>
                <w:p w14:paraId="108F7A39" w14:textId="77777777" w:rsidR="00043F79" w:rsidRDefault="00043F79" w:rsidP="00043F79">
                  <w:pPr>
                    <w:pStyle w:val="BodyText"/>
                    <w:spacing w:before="120" w:after="120"/>
                  </w:pPr>
                  <w:r>
                    <w:t>[</w:t>
                  </w:r>
                  <w:r>
                    <w:rPr>
                      <w:highlight w:val="yellow"/>
                    </w:rPr>
                    <w:t>insert</w:t>
                  </w:r>
                  <w:r>
                    <w:t>] MWh</w:t>
                  </w:r>
                </w:p>
              </w:tc>
            </w:tr>
            <w:tr w:rsidR="00043F79" w14:paraId="7CB0F5A8" w14:textId="77777777" w:rsidTr="008F660B">
              <w:trPr>
                <w:trHeight w:val="133"/>
              </w:trPr>
              <w:tc>
                <w:tcPr>
                  <w:tcW w:w="2263" w:type="dxa"/>
                </w:tcPr>
                <w:p w14:paraId="0BE93610" w14:textId="77777777" w:rsidR="00043F79" w:rsidRDefault="00043F79" w:rsidP="00043F79">
                  <w:pPr>
                    <w:pStyle w:val="BodyText"/>
                    <w:spacing w:before="120" w:after="120"/>
                  </w:pPr>
                  <w:r>
                    <w:t>For the fifteenth Operations Year</w:t>
                  </w:r>
                </w:p>
              </w:tc>
              <w:tc>
                <w:tcPr>
                  <w:tcW w:w="3373" w:type="dxa"/>
                </w:tcPr>
                <w:p w14:paraId="0CCBACCD" w14:textId="77777777" w:rsidR="00043F79" w:rsidRDefault="00043F79" w:rsidP="00043F79">
                  <w:pPr>
                    <w:pStyle w:val="BodyText"/>
                    <w:spacing w:before="120" w:after="120"/>
                  </w:pPr>
                  <w:r>
                    <w:t>[</w:t>
                  </w:r>
                  <w:r>
                    <w:rPr>
                      <w:highlight w:val="yellow"/>
                    </w:rPr>
                    <w:t>insert</w:t>
                  </w:r>
                  <w:r>
                    <w:t>] MWh</w:t>
                  </w:r>
                </w:p>
              </w:tc>
            </w:tr>
            <w:tr w:rsidR="00043F79" w14:paraId="67B0D052" w14:textId="77777777" w:rsidTr="008F660B">
              <w:trPr>
                <w:trHeight w:val="133"/>
              </w:trPr>
              <w:tc>
                <w:tcPr>
                  <w:tcW w:w="2263" w:type="dxa"/>
                </w:tcPr>
                <w:p w14:paraId="2BCD2F49" w14:textId="77777777" w:rsidR="00043F79" w:rsidRDefault="00043F79" w:rsidP="00043F79">
                  <w:pPr>
                    <w:pStyle w:val="BodyText"/>
                    <w:spacing w:before="120" w:after="120"/>
                  </w:pPr>
                  <w:r>
                    <w:t>For the sixteenth Operations Year</w:t>
                  </w:r>
                </w:p>
              </w:tc>
              <w:tc>
                <w:tcPr>
                  <w:tcW w:w="3373" w:type="dxa"/>
                </w:tcPr>
                <w:p w14:paraId="799BC3BB" w14:textId="77777777" w:rsidR="00043F79" w:rsidRDefault="00043F79" w:rsidP="00043F79">
                  <w:pPr>
                    <w:pStyle w:val="BodyText"/>
                    <w:spacing w:before="120" w:after="120"/>
                  </w:pPr>
                  <w:r>
                    <w:t>[</w:t>
                  </w:r>
                  <w:r>
                    <w:rPr>
                      <w:highlight w:val="yellow"/>
                    </w:rPr>
                    <w:t>insert</w:t>
                  </w:r>
                  <w:r>
                    <w:t>] MWh</w:t>
                  </w:r>
                </w:p>
              </w:tc>
            </w:tr>
          </w:tbl>
          <w:p w14:paraId="398F85D1" w14:textId="77777777" w:rsidR="00043F79" w:rsidRPr="005E3F90" w:rsidRDefault="00043F79" w:rsidP="00C016D5">
            <w:pPr>
              <w:keepNext/>
            </w:pPr>
          </w:p>
          <w:p w14:paraId="4E6301D4" w14:textId="24FCB1D4" w:rsidR="005E3F90" w:rsidRPr="00533E3E" w:rsidRDefault="00533E3E" w:rsidP="00306BCE">
            <w:pPr>
              <w:rPr>
                <w:b/>
                <w:bCs/>
                <w:i/>
                <w:iCs/>
              </w:rPr>
            </w:pPr>
            <w:r w:rsidRPr="005E1F02">
              <w:rPr>
                <w:b/>
                <w:bCs/>
                <w:i/>
                <w:iCs/>
              </w:rPr>
              <w:t>[</w:t>
            </w:r>
            <w:r w:rsidRPr="005E1F02">
              <w:rPr>
                <w:b/>
                <w:bCs/>
                <w:i/>
                <w:iCs/>
                <w:highlight w:val="lightGray"/>
              </w:rPr>
              <w:t xml:space="preserve">Note: List to set out all Operations Years and to indicate which of those years are Support Years. The Storage </w:t>
            </w:r>
            <w:r w:rsidR="002A75DB">
              <w:rPr>
                <w:b/>
                <w:bCs/>
                <w:i/>
                <w:iCs/>
                <w:highlight w:val="lightGray"/>
              </w:rPr>
              <w:t xml:space="preserve">Capacity </w:t>
            </w:r>
            <w:r w:rsidRPr="005E1F02">
              <w:rPr>
                <w:b/>
                <w:bCs/>
                <w:i/>
                <w:iCs/>
                <w:highlight w:val="lightGray"/>
              </w:rPr>
              <w:t>Rebate may only apply in respect of Support Years.</w:t>
            </w:r>
            <w:r w:rsidRPr="005E1F02">
              <w:rPr>
                <w:b/>
                <w:bCs/>
                <w:i/>
                <w:iCs/>
              </w:rPr>
              <w:t>]</w:t>
            </w:r>
          </w:p>
          <w:p w14:paraId="4AFAF3B1" w14:textId="19387D1A" w:rsidR="006A3235" w:rsidDel="00B50D10" w:rsidRDefault="006A3235" w:rsidP="00306BCE">
            <w:pPr>
              <w:pStyle w:val="BodyText"/>
              <w:spacing w:before="120" w:after="120"/>
            </w:pPr>
            <w:r w:rsidRPr="005E3F90">
              <w:t>[</w:t>
            </w:r>
            <w:r w:rsidRPr="005E1F02">
              <w:rPr>
                <w:b/>
                <w:bCs/>
                <w:i/>
                <w:iCs/>
                <w:highlight w:val="lightGray"/>
              </w:rPr>
              <w:t xml:space="preserve">Note: </w:t>
            </w:r>
            <w:r w:rsidR="00691586" w:rsidRPr="005E1F02">
              <w:rPr>
                <w:b/>
                <w:bCs/>
                <w:i/>
                <w:iCs/>
                <w:highlight w:val="lightGray"/>
              </w:rPr>
              <w:t>see agreement cover note regarding Non-Storage Projects</w:t>
            </w:r>
            <w:r w:rsidR="00FE0D3D">
              <w:rPr>
                <w:b/>
                <w:bCs/>
                <w:i/>
                <w:iCs/>
                <w:highlight w:val="lightGray"/>
              </w:rPr>
              <w:t>. If the Project is a Non-Storage Project, this Item should be replaced with ‘Not used.’</w:t>
            </w:r>
            <w:r w:rsidRPr="005E1F02">
              <w:rPr>
                <w:b/>
                <w:bCs/>
                <w:i/>
                <w:iCs/>
                <w:highlight w:val="lightGray"/>
              </w:rPr>
              <w:t>.</w:t>
            </w:r>
            <w:r w:rsidRPr="005E3F90">
              <w:t>]</w:t>
            </w:r>
          </w:p>
        </w:tc>
      </w:tr>
      <w:tr w:rsidR="00382502" w:rsidRPr="0006608D" w14:paraId="7A7F4313" w14:textId="77777777" w:rsidTr="008F660B">
        <w:trPr>
          <w:jc w:val="center"/>
        </w:trPr>
        <w:tc>
          <w:tcPr>
            <w:tcW w:w="525" w:type="dxa"/>
          </w:tcPr>
          <w:p w14:paraId="41D94435" w14:textId="77777777" w:rsidR="00382502" w:rsidRPr="0006608D" w:rsidRDefault="00382502" w:rsidP="00467340">
            <w:pPr>
              <w:pStyle w:val="BodyText"/>
              <w:numPr>
                <w:ilvl w:val="0"/>
                <w:numId w:val="47"/>
              </w:numPr>
              <w:spacing w:before="120" w:after="120"/>
            </w:pPr>
            <w:bookmarkStart w:id="39" w:name="_Ref172454754"/>
          </w:p>
        </w:tc>
        <w:bookmarkEnd w:id="39"/>
        <w:tc>
          <w:tcPr>
            <w:tcW w:w="3651" w:type="dxa"/>
          </w:tcPr>
          <w:p w14:paraId="471A8037" w14:textId="77777777" w:rsidR="00382502" w:rsidRDefault="00382502" w:rsidP="00306BCE">
            <w:pPr>
              <w:pStyle w:val="BodyText"/>
              <w:spacing w:before="120" w:after="120"/>
            </w:pPr>
            <w:r>
              <w:t>Minimum State of Charge</w:t>
            </w:r>
          </w:p>
        </w:tc>
        <w:tc>
          <w:tcPr>
            <w:tcW w:w="5033" w:type="dxa"/>
          </w:tcPr>
          <w:p w14:paraId="1E448BE0" w14:textId="77777777" w:rsidR="00382502" w:rsidRDefault="00382502" w:rsidP="00306BCE">
            <w:pPr>
              <w:pStyle w:val="BodyText"/>
              <w:spacing w:before="120" w:after="120"/>
              <w:rPr>
                <w:b/>
                <w:bCs/>
              </w:rPr>
            </w:pPr>
            <w:r>
              <w:t>means [</w:t>
            </w:r>
            <w:r w:rsidRPr="008E4A1B">
              <w:rPr>
                <w:highlight w:val="yellow"/>
              </w:rPr>
              <w:t>insert</w:t>
            </w:r>
            <w:r>
              <w:t>] MWh</w:t>
            </w:r>
            <w:r w:rsidR="009D446B">
              <w:t>.</w:t>
            </w:r>
            <w:r>
              <w:rPr>
                <w:b/>
                <w:bCs/>
              </w:rPr>
              <w:t xml:space="preserve"> </w:t>
            </w:r>
          </w:p>
          <w:p w14:paraId="5EB5AB73" w14:textId="58E61FF5" w:rsidR="002842AF" w:rsidRPr="00382502" w:rsidRDefault="002842AF" w:rsidP="00306BCE">
            <w:pPr>
              <w:pStyle w:val="BodyText"/>
              <w:spacing w:before="120" w:after="120"/>
              <w:rPr>
                <w:highlight w:val="yellow"/>
              </w:rPr>
            </w:pPr>
            <w:r w:rsidRPr="005E1F02">
              <w:t>[</w:t>
            </w:r>
            <w:r w:rsidRPr="005E1F02">
              <w:rPr>
                <w:b/>
                <w:bCs/>
                <w:i/>
                <w:iCs/>
                <w:highlight w:val="lightGray"/>
              </w:rPr>
              <w:t>Note: see agreement cover note regarding Non-Storage Projects</w:t>
            </w:r>
            <w:r w:rsidR="00FE0D3D">
              <w:rPr>
                <w:b/>
                <w:bCs/>
                <w:i/>
                <w:iCs/>
                <w:highlight w:val="lightGray"/>
              </w:rPr>
              <w:t>. If the Project is a Non-Storage Project, this Item should be replaced with ‘Not used.’</w:t>
            </w:r>
            <w:r w:rsidRPr="005E1F02">
              <w:t>]</w:t>
            </w:r>
          </w:p>
        </w:tc>
      </w:tr>
      <w:tr w:rsidR="00DC289D" w:rsidRPr="0006608D" w14:paraId="17D2DE51" w14:textId="77777777" w:rsidTr="008F660B">
        <w:trPr>
          <w:jc w:val="center"/>
        </w:trPr>
        <w:tc>
          <w:tcPr>
            <w:tcW w:w="525" w:type="dxa"/>
          </w:tcPr>
          <w:p w14:paraId="7F3D2A1B" w14:textId="77777777" w:rsidR="00DC289D" w:rsidRPr="0006608D" w:rsidRDefault="00DC289D" w:rsidP="00467340">
            <w:pPr>
              <w:pStyle w:val="BodyText"/>
              <w:numPr>
                <w:ilvl w:val="0"/>
                <w:numId w:val="47"/>
              </w:numPr>
              <w:spacing w:before="120" w:after="120"/>
            </w:pPr>
            <w:bookmarkStart w:id="40" w:name="_Ref172454775"/>
          </w:p>
        </w:tc>
        <w:bookmarkEnd w:id="40"/>
        <w:tc>
          <w:tcPr>
            <w:tcW w:w="3651" w:type="dxa"/>
          </w:tcPr>
          <w:p w14:paraId="688557E6" w14:textId="77777777" w:rsidR="00DC289D" w:rsidRDefault="00DC289D" w:rsidP="00306BCE">
            <w:pPr>
              <w:pStyle w:val="BodyText"/>
              <w:spacing w:before="120" w:after="120"/>
            </w:pPr>
            <w:r>
              <w:t>Minimum Hours</w:t>
            </w:r>
          </w:p>
        </w:tc>
        <w:tc>
          <w:tcPr>
            <w:tcW w:w="5033" w:type="dxa"/>
          </w:tcPr>
          <w:p w14:paraId="5E8A09C4" w14:textId="284B469F" w:rsidR="00DC289D" w:rsidRPr="00131021" w:rsidRDefault="00DC289D" w:rsidP="00306BCE">
            <w:pPr>
              <w:rPr>
                <w:i/>
                <w:iCs/>
              </w:rPr>
            </w:pPr>
            <w:r w:rsidRPr="005E1F02">
              <w:rPr>
                <w:b/>
                <w:bCs/>
                <w:i/>
                <w:iCs/>
              </w:rPr>
              <w:t>[</w:t>
            </w:r>
            <w:r w:rsidR="00306BCE">
              <w:rPr>
                <w:b/>
                <w:bCs/>
                <w:i/>
                <w:iCs/>
                <w:highlight w:val="lightGray"/>
              </w:rPr>
              <w:t>N</w:t>
            </w:r>
            <w:r w:rsidRPr="00131021">
              <w:rPr>
                <w:b/>
                <w:bCs/>
                <w:i/>
                <w:iCs/>
                <w:highlight w:val="lightGray"/>
              </w:rPr>
              <w:t>ote: the Minimum Hours must not be less than 2 hours.</w:t>
            </w:r>
            <w:r w:rsidRPr="005E1F02">
              <w:rPr>
                <w:b/>
                <w:bCs/>
                <w:i/>
                <w:iCs/>
              </w:rPr>
              <w:t>]</w:t>
            </w:r>
            <w:r w:rsidRPr="00131021">
              <w:rPr>
                <w:i/>
                <w:iCs/>
              </w:rPr>
              <w:t xml:space="preserve"> </w:t>
            </w:r>
          </w:p>
          <w:p w14:paraId="4F21A5A2" w14:textId="77777777" w:rsidR="00DC289D" w:rsidRDefault="00DC289D" w:rsidP="00306BCE">
            <w:pPr>
              <w:pStyle w:val="BodyText"/>
              <w:spacing w:before="120" w:after="120"/>
            </w:pPr>
            <w:r w:rsidRPr="008E4A1B">
              <w:rPr>
                <w:highlight w:val="yellow"/>
              </w:rPr>
              <w:t>[insert number]</w:t>
            </w:r>
            <w:r>
              <w:t xml:space="preserve"> hours.</w:t>
            </w:r>
          </w:p>
          <w:p w14:paraId="70A57DAA" w14:textId="26796AA2" w:rsidR="00BF2F1F" w:rsidRDefault="00BF2F1F" w:rsidP="00306BCE">
            <w:pPr>
              <w:pStyle w:val="BodyText"/>
              <w:spacing w:before="120" w:after="120"/>
            </w:pPr>
            <w:r w:rsidRPr="005E1F02">
              <w:rPr>
                <w:b/>
                <w:bCs/>
                <w:i/>
                <w:iCs/>
                <w:highlight w:val="lightGray"/>
              </w:rPr>
              <w:t>Note: see agreement cover note regarding Non-Storage Projects</w:t>
            </w:r>
            <w:r>
              <w:rPr>
                <w:b/>
                <w:bCs/>
                <w:i/>
                <w:iCs/>
                <w:highlight w:val="lightGray"/>
              </w:rPr>
              <w:t>. If the Project is a Non-Storage Project, this Item should be replaced with ‘Not used.’</w:t>
            </w:r>
            <w:r w:rsidRPr="005E1F02">
              <w:t>]</w:t>
            </w:r>
          </w:p>
        </w:tc>
      </w:tr>
      <w:tr w:rsidR="00BB34E4" w:rsidRPr="0006608D" w14:paraId="4300CB99" w14:textId="77777777" w:rsidTr="008F660B">
        <w:trPr>
          <w:jc w:val="center"/>
        </w:trPr>
        <w:tc>
          <w:tcPr>
            <w:tcW w:w="525" w:type="dxa"/>
          </w:tcPr>
          <w:p w14:paraId="0FA79123" w14:textId="77777777" w:rsidR="00BB34E4" w:rsidRPr="0006608D" w:rsidRDefault="00BB34E4" w:rsidP="00467340">
            <w:pPr>
              <w:pStyle w:val="BodyText"/>
              <w:numPr>
                <w:ilvl w:val="0"/>
                <w:numId w:val="47"/>
              </w:numPr>
              <w:spacing w:before="120" w:after="120"/>
            </w:pPr>
            <w:bookmarkStart w:id="41" w:name="_Ref172454814"/>
          </w:p>
        </w:tc>
        <w:bookmarkEnd w:id="41"/>
        <w:tc>
          <w:tcPr>
            <w:tcW w:w="3651" w:type="dxa"/>
          </w:tcPr>
          <w:p w14:paraId="2A7798AC" w14:textId="77777777" w:rsidR="00BB34E4" w:rsidDel="00203013" w:rsidRDefault="00BB34E4" w:rsidP="00306BCE">
            <w:pPr>
              <w:pStyle w:val="BodyText"/>
              <w:spacing w:before="120" w:after="120"/>
            </w:pPr>
            <w:r>
              <w:t>Contract Representative</w:t>
            </w:r>
          </w:p>
        </w:tc>
        <w:tc>
          <w:tcPr>
            <w:tcW w:w="5033" w:type="dxa"/>
          </w:tcPr>
          <w:p w14:paraId="4928D7B9" w14:textId="77777777" w:rsidR="00BB34E4" w:rsidRDefault="00BB34E4" w:rsidP="00306BCE">
            <w:pPr>
              <w:pStyle w:val="Heading8"/>
              <w:numPr>
                <w:ilvl w:val="0"/>
                <w:numId w:val="0"/>
              </w:numPr>
              <w:spacing w:before="120" w:after="120"/>
              <w:ind w:left="28"/>
            </w:pPr>
            <w:r>
              <w:t>Name: [</w:t>
            </w:r>
            <w:r w:rsidRPr="00C028A2">
              <w:rPr>
                <w:highlight w:val="yellow"/>
              </w:rPr>
              <w:t>insert</w:t>
            </w:r>
            <w:r>
              <w:t>]</w:t>
            </w:r>
          </w:p>
          <w:p w14:paraId="3EE8BADC" w14:textId="77777777" w:rsidR="00BB34E4" w:rsidRDefault="00BB34E4" w:rsidP="00306BCE">
            <w:pPr>
              <w:pStyle w:val="Heading8"/>
              <w:numPr>
                <w:ilvl w:val="0"/>
                <w:numId w:val="0"/>
              </w:numPr>
              <w:spacing w:before="120" w:after="120"/>
              <w:ind w:left="28"/>
            </w:pPr>
            <w:r>
              <w:t>Email: [</w:t>
            </w:r>
            <w:r w:rsidRPr="00C028A2">
              <w:rPr>
                <w:highlight w:val="yellow"/>
              </w:rPr>
              <w:t>insert</w:t>
            </w:r>
            <w:r>
              <w:t>]</w:t>
            </w:r>
          </w:p>
          <w:p w14:paraId="01555DEC" w14:textId="77777777" w:rsidR="00BB34E4" w:rsidRDefault="00BB34E4" w:rsidP="00306BCE">
            <w:pPr>
              <w:pStyle w:val="BodyText"/>
              <w:spacing w:before="120" w:after="120"/>
            </w:pPr>
            <w:r>
              <w:t>Telephone: [</w:t>
            </w:r>
            <w:r w:rsidRPr="00C028A2">
              <w:rPr>
                <w:highlight w:val="yellow"/>
              </w:rPr>
              <w:t>insert</w:t>
            </w:r>
            <w:r>
              <w:t xml:space="preserve">] </w:t>
            </w:r>
          </w:p>
        </w:tc>
      </w:tr>
      <w:tr w:rsidR="00BB34E4" w:rsidRPr="0006608D" w14:paraId="30C46354" w14:textId="77777777" w:rsidTr="008F660B">
        <w:trPr>
          <w:jc w:val="center"/>
        </w:trPr>
        <w:tc>
          <w:tcPr>
            <w:tcW w:w="9209" w:type="dxa"/>
            <w:gridSpan w:val="3"/>
            <w:shd w:val="clear" w:color="auto" w:fill="D9D9D9" w:themeFill="background1" w:themeFillShade="D9"/>
          </w:tcPr>
          <w:p w14:paraId="108F9483" w14:textId="0F64E142" w:rsidR="00BB34E4" w:rsidRDefault="00BB34E4" w:rsidP="00306BCE">
            <w:pPr>
              <w:pStyle w:val="Heading8"/>
              <w:numPr>
                <w:ilvl w:val="0"/>
                <w:numId w:val="0"/>
              </w:numPr>
              <w:spacing w:before="120" w:after="120"/>
              <w:ind w:left="28"/>
              <w:rPr>
                <w:b/>
                <w:bCs/>
              </w:rPr>
            </w:pPr>
            <w:r w:rsidRPr="00682623">
              <w:rPr>
                <w:b/>
                <w:bCs/>
              </w:rPr>
              <w:t>[Associated Project]</w:t>
            </w:r>
          </w:p>
          <w:p w14:paraId="6F41220E" w14:textId="755E3F72" w:rsidR="00BB34E4" w:rsidRPr="00682623" w:rsidRDefault="00BB34E4" w:rsidP="00306BCE">
            <w:pPr>
              <w:pStyle w:val="Heading8"/>
              <w:numPr>
                <w:ilvl w:val="0"/>
                <w:numId w:val="0"/>
              </w:numPr>
              <w:spacing w:before="120" w:after="120"/>
              <w:ind w:left="28"/>
              <w:rPr>
                <w:b/>
                <w:bCs/>
              </w:rPr>
            </w:pPr>
            <w:r w:rsidRPr="0028198B">
              <w:t>[</w:t>
            </w:r>
            <w:r w:rsidRPr="004D3942">
              <w:rPr>
                <w:b/>
                <w:bCs/>
                <w:i/>
                <w:iCs/>
                <w:highlight w:val="lightGray"/>
              </w:rPr>
              <w:t xml:space="preserve">Note: details of Associated Project </w:t>
            </w:r>
            <w:r w:rsidR="002842AF">
              <w:rPr>
                <w:b/>
                <w:bCs/>
                <w:i/>
                <w:iCs/>
                <w:highlight w:val="lightGray"/>
              </w:rPr>
              <w:t>are</w:t>
            </w:r>
            <w:r w:rsidRPr="004D3942">
              <w:rPr>
                <w:b/>
                <w:bCs/>
                <w:i/>
                <w:iCs/>
                <w:highlight w:val="lightGray"/>
              </w:rPr>
              <w:t xml:space="preserve"> to be included for all Hybrid Projects</w:t>
            </w:r>
            <w:r w:rsidR="00184B58">
              <w:rPr>
                <w:b/>
                <w:bCs/>
                <w:i/>
                <w:iCs/>
              </w:rPr>
              <w:t xml:space="preserve">. </w:t>
            </w:r>
            <w:r w:rsidR="0085213B" w:rsidRPr="0085213B">
              <w:rPr>
                <w:b/>
                <w:bCs/>
                <w:i/>
                <w:iCs/>
              </w:rPr>
              <w:t xml:space="preserve">Any of items </w:t>
            </w:r>
            <w:r w:rsidR="0085213B">
              <w:rPr>
                <w:b/>
                <w:bCs/>
                <w:i/>
                <w:iCs/>
              </w:rPr>
              <w:fldChar w:fldCharType="begin"/>
            </w:r>
            <w:r w:rsidR="0085213B">
              <w:rPr>
                <w:b/>
                <w:bCs/>
                <w:i/>
                <w:iCs/>
              </w:rPr>
              <w:instrText xml:space="preserve"> REF _Ref172454754 \n \h </w:instrText>
            </w:r>
            <w:r w:rsidR="0085213B">
              <w:rPr>
                <w:b/>
                <w:bCs/>
                <w:i/>
                <w:iCs/>
              </w:rPr>
            </w:r>
            <w:r w:rsidR="0085213B">
              <w:rPr>
                <w:b/>
                <w:bCs/>
                <w:i/>
                <w:iCs/>
              </w:rPr>
              <w:fldChar w:fldCharType="separate"/>
            </w:r>
            <w:r w:rsidR="002E5C6A">
              <w:rPr>
                <w:b/>
                <w:bCs/>
                <w:i/>
                <w:iCs/>
              </w:rPr>
              <w:t>5</w:t>
            </w:r>
            <w:r w:rsidR="0085213B">
              <w:rPr>
                <w:b/>
                <w:bCs/>
                <w:i/>
                <w:iCs/>
              </w:rPr>
              <w:fldChar w:fldCharType="end"/>
            </w:r>
            <w:r w:rsidR="0085213B" w:rsidRPr="0085213B">
              <w:rPr>
                <w:b/>
                <w:bCs/>
                <w:i/>
                <w:iCs/>
              </w:rPr>
              <w:t xml:space="preserve"> to </w:t>
            </w:r>
            <w:r w:rsidR="0085213B">
              <w:rPr>
                <w:b/>
                <w:bCs/>
                <w:i/>
                <w:iCs/>
              </w:rPr>
              <w:fldChar w:fldCharType="begin"/>
            </w:r>
            <w:r w:rsidR="0085213B">
              <w:rPr>
                <w:b/>
                <w:bCs/>
                <w:i/>
                <w:iCs/>
              </w:rPr>
              <w:instrText xml:space="preserve"> REF _Ref172454846 \n \h </w:instrText>
            </w:r>
            <w:r w:rsidR="0085213B">
              <w:rPr>
                <w:b/>
                <w:bCs/>
                <w:i/>
                <w:iCs/>
              </w:rPr>
            </w:r>
            <w:r w:rsidR="0085213B">
              <w:rPr>
                <w:b/>
                <w:bCs/>
                <w:i/>
                <w:iCs/>
              </w:rPr>
              <w:fldChar w:fldCharType="separate"/>
            </w:r>
            <w:r w:rsidR="002E5C6A">
              <w:rPr>
                <w:b/>
                <w:bCs/>
                <w:i/>
                <w:iCs/>
              </w:rPr>
              <w:t>8</w:t>
            </w:r>
            <w:r w:rsidR="0085213B">
              <w:rPr>
                <w:b/>
                <w:bCs/>
                <w:i/>
                <w:iCs/>
              </w:rPr>
              <w:fldChar w:fldCharType="end"/>
            </w:r>
            <w:r w:rsidR="0085213B" w:rsidRPr="0085213B">
              <w:rPr>
                <w:b/>
                <w:bCs/>
                <w:i/>
                <w:iCs/>
              </w:rPr>
              <w:t xml:space="preserve"> that are not applicable, are to be marked as “Not used”</w:t>
            </w:r>
            <w:r w:rsidRPr="00682623">
              <w:t>]</w:t>
            </w:r>
          </w:p>
        </w:tc>
      </w:tr>
      <w:tr w:rsidR="00BB34E4" w:rsidRPr="0006608D" w14:paraId="7C2462A9" w14:textId="77777777" w:rsidTr="008F660B">
        <w:trPr>
          <w:jc w:val="center"/>
        </w:trPr>
        <w:tc>
          <w:tcPr>
            <w:tcW w:w="525" w:type="dxa"/>
          </w:tcPr>
          <w:p w14:paraId="79236B3F" w14:textId="77777777" w:rsidR="00BB34E4" w:rsidRPr="0006608D" w:rsidRDefault="00BB34E4" w:rsidP="00467340">
            <w:pPr>
              <w:pStyle w:val="BodyText"/>
              <w:numPr>
                <w:ilvl w:val="0"/>
                <w:numId w:val="47"/>
              </w:numPr>
              <w:spacing w:before="120" w:after="120"/>
            </w:pPr>
            <w:bookmarkStart w:id="42" w:name="_Ref172454846"/>
          </w:p>
        </w:tc>
        <w:bookmarkEnd w:id="42"/>
        <w:tc>
          <w:tcPr>
            <w:tcW w:w="3651" w:type="dxa"/>
          </w:tcPr>
          <w:p w14:paraId="5ED65901" w14:textId="10D43779" w:rsidR="00BB34E4" w:rsidRDefault="00BB34E4" w:rsidP="00306BCE">
            <w:pPr>
              <w:pStyle w:val="BodyText"/>
              <w:spacing w:before="120" w:after="120"/>
            </w:pPr>
            <w:r>
              <w:rPr>
                <w:bCs/>
              </w:rPr>
              <w:t>Associated Project</w:t>
            </w:r>
          </w:p>
        </w:tc>
        <w:tc>
          <w:tcPr>
            <w:tcW w:w="5033" w:type="dxa"/>
          </w:tcPr>
          <w:p w14:paraId="50B74AE3" w14:textId="445BACFB" w:rsidR="00A441DB" w:rsidRDefault="007E7A89" w:rsidP="00306BCE">
            <w:pPr>
              <w:pStyle w:val="BodyText"/>
              <w:spacing w:before="120" w:after="120"/>
            </w:pPr>
            <w:r>
              <w:t>The ‘</w:t>
            </w:r>
            <w:r w:rsidRPr="00011F67">
              <w:rPr>
                <w:i/>
                <w:iCs/>
              </w:rPr>
              <w:t>[</w:t>
            </w:r>
            <w:r w:rsidRPr="00011F67">
              <w:rPr>
                <w:i/>
                <w:iCs/>
                <w:highlight w:val="yellow"/>
              </w:rPr>
              <w:t xml:space="preserve">insert </w:t>
            </w:r>
            <w:r>
              <w:rPr>
                <w:i/>
                <w:iCs/>
                <w:highlight w:val="yellow"/>
              </w:rPr>
              <w:t xml:space="preserve">project </w:t>
            </w:r>
            <w:r w:rsidRPr="00011F67">
              <w:rPr>
                <w:i/>
                <w:iCs/>
                <w:highlight w:val="yellow"/>
              </w:rPr>
              <w:t>name</w:t>
            </w:r>
            <w:r w:rsidRPr="00011F67">
              <w:rPr>
                <w:i/>
                <w:iCs/>
              </w:rPr>
              <w:t>]</w:t>
            </w:r>
            <w:r>
              <w:t xml:space="preserve">’, which </w:t>
            </w:r>
            <w:r w:rsidR="00A441DB">
              <w:t>[</w:t>
            </w:r>
            <w:r>
              <w:t>will be</w:t>
            </w:r>
            <w:r w:rsidR="00A441DB">
              <w:t>] [is]</w:t>
            </w:r>
            <w:r w:rsidR="006F59FA">
              <w:t xml:space="preserve"> </w:t>
            </w:r>
            <w:r>
              <w:t>a [</w:t>
            </w:r>
            <w:r w:rsidRPr="00592BCA">
              <w:rPr>
                <w:highlight w:val="yellow"/>
              </w:rPr>
              <w:t>insert resource type e.g. wind farm</w:t>
            </w:r>
            <w:r>
              <w:t>] that is co-located with the Project and</w:t>
            </w:r>
            <w:r w:rsidR="00F66A8B">
              <w:t xml:space="preserve"> with an export capacity that is within the Accepted Capacity Tolera</w:t>
            </w:r>
            <w:r w:rsidR="00047951">
              <w:t xml:space="preserve">nce, </w:t>
            </w:r>
            <w:r w:rsidR="00F66A8B">
              <w:t xml:space="preserve">but </w:t>
            </w:r>
            <w:r w:rsidR="009E602D">
              <w:t xml:space="preserve">that, </w:t>
            </w:r>
            <w:r w:rsidR="00F66A8B">
              <w:t>for the purposes of this agreement, excludes the Project and the Shared Infrastructure.</w:t>
            </w:r>
            <w:r w:rsidR="00655AC2">
              <w:rPr>
                <w:b/>
                <w:bCs/>
                <w:i/>
                <w:iCs/>
              </w:rPr>
              <w:t xml:space="preserve"> </w:t>
            </w:r>
          </w:p>
          <w:p w14:paraId="602164C9" w14:textId="6FF4DBCB" w:rsidR="008C3963" w:rsidRPr="008C3963" w:rsidRDefault="00A441DB" w:rsidP="00306BCE">
            <w:pPr>
              <w:pStyle w:val="BodyText"/>
              <w:spacing w:before="120" w:after="120"/>
            </w:pPr>
            <w:r>
              <w:rPr>
                <w:b/>
                <w:i/>
                <w:highlight w:val="lightGray"/>
              </w:rPr>
              <w:t>Note:</w:t>
            </w:r>
            <w:r>
              <w:rPr>
                <w:b/>
                <w:bCs/>
                <w:i/>
                <w:iCs/>
                <w:highlight w:val="lightGray"/>
              </w:rPr>
              <w:t xml:space="preserve"> the wording in square brackets ‘will be’ or ‘is’ </w:t>
            </w:r>
            <w:r>
              <w:rPr>
                <w:b/>
                <w:i/>
                <w:highlight w:val="lightGray"/>
              </w:rPr>
              <w:t>to be selected based on whether the Associated Project is existing or to be developed together with the Project</w:t>
            </w:r>
            <w:r>
              <w:rPr>
                <w:b/>
                <w:bCs/>
                <w:i/>
                <w:iCs/>
                <w:highlight w:val="lightGray"/>
              </w:rPr>
              <w:t>.]</w:t>
            </w:r>
          </w:p>
        </w:tc>
      </w:tr>
      <w:tr w:rsidR="00554A11" w:rsidRPr="0006608D" w14:paraId="357ECC94" w14:textId="77777777" w:rsidTr="008F660B">
        <w:trPr>
          <w:jc w:val="center"/>
        </w:trPr>
        <w:tc>
          <w:tcPr>
            <w:tcW w:w="525" w:type="dxa"/>
          </w:tcPr>
          <w:p w14:paraId="1AE9DFF6" w14:textId="77777777" w:rsidR="00554A11" w:rsidRPr="0006608D" w:rsidRDefault="00554A11" w:rsidP="00554A11">
            <w:pPr>
              <w:pStyle w:val="BodyText"/>
              <w:numPr>
                <w:ilvl w:val="0"/>
                <w:numId w:val="47"/>
              </w:numPr>
              <w:spacing w:before="120" w:after="120"/>
            </w:pPr>
            <w:bookmarkStart w:id="43" w:name="_Ref172454872"/>
          </w:p>
        </w:tc>
        <w:bookmarkEnd w:id="43"/>
        <w:tc>
          <w:tcPr>
            <w:tcW w:w="3651" w:type="dxa"/>
          </w:tcPr>
          <w:p w14:paraId="1941AFDE" w14:textId="47CC93D3" w:rsidR="00554A11" w:rsidRDefault="00554A11" w:rsidP="00554A11">
            <w:pPr>
              <w:pStyle w:val="BodyText"/>
              <w:spacing w:before="120" w:after="120"/>
            </w:pPr>
            <w:r>
              <w:t xml:space="preserve">AP Maximum Capacity </w:t>
            </w:r>
          </w:p>
        </w:tc>
        <w:tc>
          <w:tcPr>
            <w:tcW w:w="5033" w:type="dxa"/>
          </w:tcPr>
          <w:p w14:paraId="42E3CEAF" w14:textId="43092893" w:rsidR="00824106" w:rsidRDefault="00824106" w:rsidP="00824106">
            <w:pPr>
              <w:pStyle w:val="BodyText"/>
              <w:spacing w:before="120" w:after="120"/>
            </w:pPr>
            <w:r>
              <w:rPr>
                <w:b/>
                <w:bCs/>
                <w:i/>
                <w:iCs/>
                <w:highlight w:val="lightGray"/>
              </w:rPr>
              <w:t>[Note: Proponents are not to manually insert these details – please refer to the Returnable Schedules.]</w:t>
            </w:r>
            <w:r>
              <w:t xml:space="preserve"> </w:t>
            </w:r>
          </w:p>
          <w:p w14:paraId="40505E00" w14:textId="460C88D2" w:rsidR="00554A11" w:rsidRDefault="00554A11" w:rsidP="00554A11">
            <w:pPr>
              <w:pStyle w:val="Heading8"/>
              <w:numPr>
                <w:ilvl w:val="0"/>
                <w:numId w:val="0"/>
              </w:numPr>
              <w:spacing w:before="120" w:after="120"/>
              <w:ind w:left="28"/>
            </w:pPr>
            <w:r>
              <w:t>[</w:t>
            </w:r>
            <w:r w:rsidRPr="00E47622">
              <w:rPr>
                <w:highlight w:val="yellow"/>
              </w:rPr>
              <w:t>insert</w:t>
            </w:r>
            <w:r>
              <w:t>] MW (being the export capacity of the Associated Project as measured at the Connection Point in AC).</w:t>
            </w:r>
          </w:p>
          <w:p w14:paraId="0804A6C7" w14:textId="474F9490" w:rsidR="00554A11" w:rsidRDefault="00554A11" w:rsidP="008F660B">
            <w:pPr>
              <w:pStyle w:val="Heading8"/>
              <w:numPr>
                <w:ilvl w:val="0"/>
                <w:numId w:val="0"/>
              </w:numPr>
              <w:spacing w:before="120" w:after="120"/>
              <w:ind w:left="1474" w:hanging="737"/>
            </w:pPr>
          </w:p>
        </w:tc>
      </w:tr>
      <w:tr w:rsidR="00184B58" w:rsidRPr="0006608D" w14:paraId="350A1D5A" w14:textId="77777777" w:rsidTr="008F660B">
        <w:trPr>
          <w:jc w:val="center"/>
        </w:trPr>
        <w:tc>
          <w:tcPr>
            <w:tcW w:w="525" w:type="dxa"/>
          </w:tcPr>
          <w:p w14:paraId="14899ED5" w14:textId="77777777" w:rsidR="00184B58" w:rsidRPr="0006608D" w:rsidRDefault="00184B58" w:rsidP="00184B58">
            <w:pPr>
              <w:pStyle w:val="BodyText"/>
              <w:numPr>
                <w:ilvl w:val="0"/>
                <w:numId w:val="47"/>
              </w:numPr>
              <w:spacing w:before="120" w:after="120"/>
            </w:pPr>
            <w:bookmarkStart w:id="44" w:name="_Ref203745366"/>
          </w:p>
        </w:tc>
        <w:bookmarkEnd w:id="44"/>
        <w:tc>
          <w:tcPr>
            <w:tcW w:w="3651" w:type="dxa"/>
          </w:tcPr>
          <w:p w14:paraId="7E9F053A" w14:textId="210B2F29" w:rsidR="00184B58" w:rsidRDefault="00184B58" w:rsidP="00184B58">
            <w:pPr>
              <w:pStyle w:val="BodyText"/>
              <w:spacing w:before="120" w:after="120"/>
            </w:pPr>
            <w:r>
              <w:t>Accepted Capacity Tolerance</w:t>
            </w:r>
          </w:p>
        </w:tc>
        <w:tc>
          <w:tcPr>
            <w:tcW w:w="5033" w:type="dxa"/>
          </w:tcPr>
          <w:p w14:paraId="2D811B46" w14:textId="6D8F34A5" w:rsidR="00184B58" w:rsidRDefault="00184B58" w:rsidP="00184B58">
            <w:pPr>
              <w:pStyle w:val="BodyText"/>
              <w:spacing w:before="120" w:after="120"/>
            </w:pPr>
            <w:r>
              <w:t>An export capacity that is equal to or exceeding 95%, but not exceeding 100%, of the AP Maximum Capacity.</w:t>
            </w:r>
          </w:p>
          <w:p w14:paraId="35987696" w14:textId="09B7E237" w:rsidR="00184B58" w:rsidRDefault="00184B58" w:rsidP="00184B58">
            <w:pPr>
              <w:pStyle w:val="Heading8"/>
              <w:numPr>
                <w:ilvl w:val="0"/>
                <w:numId w:val="0"/>
              </w:numPr>
              <w:spacing w:before="120" w:after="120"/>
              <w:ind w:left="28"/>
            </w:pPr>
          </w:p>
        </w:tc>
      </w:tr>
      <w:tr w:rsidR="00184B58" w:rsidRPr="0006608D" w14:paraId="603B73AE" w14:textId="77777777" w:rsidTr="008F660B">
        <w:trPr>
          <w:jc w:val="center"/>
        </w:trPr>
        <w:tc>
          <w:tcPr>
            <w:tcW w:w="525" w:type="dxa"/>
          </w:tcPr>
          <w:p w14:paraId="728C8079" w14:textId="77777777" w:rsidR="00184B58" w:rsidRPr="0006608D" w:rsidRDefault="00184B58" w:rsidP="00184B58">
            <w:pPr>
              <w:pStyle w:val="BodyText"/>
              <w:numPr>
                <w:ilvl w:val="0"/>
                <w:numId w:val="47"/>
              </w:numPr>
              <w:spacing w:before="120" w:after="120"/>
            </w:pPr>
            <w:bookmarkStart w:id="45" w:name="_Ref206706908"/>
          </w:p>
        </w:tc>
        <w:bookmarkEnd w:id="45"/>
        <w:tc>
          <w:tcPr>
            <w:tcW w:w="3651" w:type="dxa"/>
          </w:tcPr>
          <w:p w14:paraId="1329975F" w14:textId="65785A7E" w:rsidR="00184B58" w:rsidRDefault="00184B58" w:rsidP="00184B58">
            <w:pPr>
              <w:pStyle w:val="BodyText"/>
              <w:spacing w:before="120" w:after="120"/>
            </w:pPr>
            <w:r>
              <w:t>Connection Point Limit</w:t>
            </w:r>
          </w:p>
        </w:tc>
        <w:tc>
          <w:tcPr>
            <w:tcW w:w="5033" w:type="dxa"/>
          </w:tcPr>
          <w:p w14:paraId="156C37C9" w14:textId="4289FF05" w:rsidR="00184B58" w:rsidRDefault="00184B58" w:rsidP="00184B58">
            <w:pPr>
              <w:pStyle w:val="BodyText"/>
              <w:spacing w:before="120" w:after="120"/>
            </w:pPr>
            <w:r>
              <w:rPr>
                <w:b/>
                <w:bCs/>
                <w:i/>
                <w:iCs/>
                <w:highlight w:val="lightGray"/>
              </w:rPr>
              <w:t>[Note: Proponents are not to manually insert these details – please refer to the Returnable Schedules.]</w:t>
            </w:r>
            <w:r>
              <w:t xml:space="preserve"> </w:t>
            </w:r>
          </w:p>
          <w:p w14:paraId="73A4C4CD" w14:textId="0B9CC0CD" w:rsidR="00184B58" w:rsidRDefault="00184B58" w:rsidP="00184B58">
            <w:pPr>
              <w:pStyle w:val="BodyText"/>
              <w:spacing w:before="120" w:after="120"/>
            </w:pPr>
            <w:r>
              <w:t>[</w:t>
            </w:r>
            <w:r w:rsidRPr="00DD6BBA">
              <w:rPr>
                <w:highlight w:val="yellow"/>
              </w:rPr>
              <w:t>insert</w:t>
            </w:r>
            <w:r>
              <w:t>] MW (being the maximum export capacity at the Connection Point, independent of the Project or Associated Project’s export capacities, in AC).</w:t>
            </w:r>
          </w:p>
          <w:p w14:paraId="3DA0E344" w14:textId="70B1325D" w:rsidR="00184B58" w:rsidRDefault="00184B58" w:rsidP="00184B58">
            <w:pPr>
              <w:keepNext/>
              <w:spacing w:before="120"/>
              <w:rPr>
                <w:b/>
                <w:bCs/>
              </w:rPr>
            </w:pPr>
            <w:r>
              <w:t>[</w:t>
            </w:r>
            <w:r w:rsidRPr="00DD6BBA">
              <w:rPr>
                <w:b/>
                <w:bCs/>
                <w:i/>
                <w:iCs/>
                <w:highlight w:val="lightGray"/>
              </w:rPr>
              <w:t>Note: the maximum amount of electricity that can be exported</w:t>
            </w:r>
            <w:r>
              <w:rPr>
                <w:b/>
                <w:bCs/>
                <w:i/>
                <w:iCs/>
                <w:highlight w:val="lightGray"/>
              </w:rPr>
              <w:t xml:space="preserve"> to the Network through the Connection Point</w:t>
            </w:r>
            <w:r w:rsidRPr="00DD6BBA">
              <w:rPr>
                <w:b/>
                <w:bCs/>
                <w:i/>
                <w:iCs/>
                <w:highlight w:val="lightGray"/>
              </w:rPr>
              <w:t xml:space="preserve">. The Connection Point </w:t>
            </w:r>
            <w:r>
              <w:rPr>
                <w:b/>
                <w:bCs/>
                <w:i/>
                <w:iCs/>
                <w:highlight w:val="lightGray"/>
              </w:rPr>
              <w:t xml:space="preserve">Export </w:t>
            </w:r>
            <w:r w:rsidRPr="00DD6BBA">
              <w:rPr>
                <w:b/>
                <w:bCs/>
                <w:i/>
                <w:iCs/>
                <w:highlight w:val="lightGray"/>
              </w:rPr>
              <w:t xml:space="preserve">Limit </w:t>
            </w:r>
            <w:r>
              <w:rPr>
                <w:b/>
                <w:bCs/>
                <w:i/>
                <w:iCs/>
                <w:highlight w:val="lightGray"/>
              </w:rPr>
              <w:t>may be greater, equal to or less than the combined total Export Capacity and AP Maximum Capacity</w:t>
            </w:r>
            <w:r w:rsidRPr="00DD6BBA">
              <w:rPr>
                <w:b/>
                <w:bCs/>
                <w:i/>
                <w:iCs/>
                <w:highlight w:val="lightGray"/>
              </w:rPr>
              <w:t xml:space="preserve">. The Connection Point </w:t>
            </w:r>
            <w:r>
              <w:rPr>
                <w:b/>
                <w:bCs/>
                <w:i/>
                <w:iCs/>
                <w:highlight w:val="lightGray"/>
              </w:rPr>
              <w:t xml:space="preserve">Export </w:t>
            </w:r>
            <w:r w:rsidRPr="00DD6BBA">
              <w:rPr>
                <w:b/>
                <w:bCs/>
                <w:i/>
                <w:iCs/>
                <w:highlight w:val="lightGray"/>
              </w:rPr>
              <w:t xml:space="preserve">Limit </w:t>
            </w:r>
            <w:r>
              <w:rPr>
                <w:b/>
                <w:bCs/>
                <w:i/>
                <w:iCs/>
                <w:highlight w:val="lightGray"/>
              </w:rPr>
              <w:t xml:space="preserve">should not be calculated by reference to the impact of </w:t>
            </w:r>
            <w:r w:rsidRPr="00DD6BBA">
              <w:rPr>
                <w:b/>
                <w:bCs/>
                <w:i/>
                <w:iCs/>
                <w:highlight w:val="lightGray"/>
              </w:rPr>
              <w:t>any Dynamic Export Constraints.</w:t>
            </w:r>
            <w:r w:rsidRPr="00C662B5">
              <w:t>]</w:t>
            </w:r>
          </w:p>
        </w:tc>
      </w:tr>
      <w:tr w:rsidR="00184B58" w:rsidRPr="0006608D" w14:paraId="72666875" w14:textId="77777777" w:rsidTr="008F660B">
        <w:trPr>
          <w:jc w:val="center"/>
        </w:trPr>
        <w:tc>
          <w:tcPr>
            <w:tcW w:w="9209" w:type="dxa"/>
            <w:gridSpan w:val="3"/>
            <w:shd w:val="clear" w:color="auto" w:fill="D9D9D9" w:themeFill="background1" w:themeFillShade="D9"/>
          </w:tcPr>
          <w:p w14:paraId="658B31E8" w14:textId="77777777" w:rsidR="00184B58" w:rsidRDefault="00184B58" w:rsidP="00184B58">
            <w:pPr>
              <w:keepNext/>
              <w:spacing w:before="120"/>
              <w:rPr>
                <w:b/>
                <w:bCs/>
              </w:rPr>
            </w:pPr>
            <w:r>
              <w:rPr>
                <w:b/>
                <w:bCs/>
              </w:rPr>
              <w:t>[Existing Project Details]</w:t>
            </w:r>
          </w:p>
          <w:p w14:paraId="3D68A3F3" w14:textId="5B01AAD1" w:rsidR="00A441DB" w:rsidRDefault="00A441DB" w:rsidP="00184B58">
            <w:pPr>
              <w:keepNext/>
              <w:spacing w:before="120"/>
              <w:rPr>
                <w:b/>
                <w:bCs/>
              </w:rPr>
            </w:pPr>
            <w:r w:rsidRPr="004D3942">
              <w:rPr>
                <w:b/>
                <w:bCs/>
                <w:i/>
                <w:iCs/>
                <w:highlight w:val="lightGray"/>
              </w:rPr>
              <w:t xml:space="preserve">Note: details of </w:t>
            </w:r>
            <w:r>
              <w:rPr>
                <w:b/>
                <w:bCs/>
                <w:i/>
                <w:iCs/>
                <w:highlight w:val="lightGray"/>
              </w:rPr>
              <w:t>Existing</w:t>
            </w:r>
            <w:r w:rsidRPr="004D3942">
              <w:rPr>
                <w:b/>
                <w:bCs/>
                <w:i/>
                <w:iCs/>
                <w:highlight w:val="lightGray"/>
              </w:rPr>
              <w:t xml:space="preserve"> Project </w:t>
            </w:r>
            <w:r>
              <w:rPr>
                <w:b/>
                <w:bCs/>
                <w:i/>
                <w:iCs/>
                <w:highlight w:val="lightGray"/>
              </w:rPr>
              <w:t>are</w:t>
            </w:r>
            <w:r w:rsidRPr="004D3942">
              <w:rPr>
                <w:b/>
                <w:bCs/>
                <w:i/>
                <w:iCs/>
                <w:highlight w:val="lightGray"/>
              </w:rPr>
              <w:t xml:space="preserve"> to be included for all </w:t>
            </w:r>
            <w:r>
              <w:rPr>
                <w:b/>
                <w:bCs/>
                <w:i/>
                <w:iCs/>
                <w:highlight w:val="lightGray"/>
              </w:rPr>
              <w:t>Staged</w:t>
            </w:r>
            <w:r w:rsidRPr="004D3942">
              <w:rPr>
                <w:b/>
                <w:bCs/>
                <w:i/>
                <w:iCs/>
                <w:highlight w:val="lightGray"/>
              </w:rPr>
              <w:t xml:space="preserve"> Projects</w:t>
            </w:r>
            <w:r>
              <w:rPr>
                <w:b/>
                <w:bCs/>
                <w:i/>
                <w:iCs/>
              </w:rPr>
              <w:t>. Replace this entire section with “Not Used” if there is no Existing Project.</w:t>
            </w:r>
          </w:p>
        </w:tc>
      </w:tr>
      <w:tr w:rsidR="00A441DB" w:rsidRPr="0006608D" w14:paraId="165A7750" w14:textId="77777777" w:rsidTr="008F660B">
        <w:trPr>
          <w:jc w:val="center"/>
        </w:trPr>
        <w:tc>
          <w:tcPr>
            <w:tcW w:w="525" w:type="dxa"/>
          </w:tcPr>
          <w:p w14:paraId="279B7991" w14:textId="77777777" w:rsidR="00A441DB" w:rsidRPr="0006608D" w:rsidRDefault="00A441DB" w:rsidP="00A441DB">
            <w:pPr>
              <w:pStyle w:val="BodyText"/>
              <w:numPr>
                <w:ilvl w:val="0"/>
                <w:numId w:val="47"/>
              </w:numPr>
              <w:spacing w:before="120" w:after="120"/>
            </w:pPr>
            <w:bookmarkStart w:id="46" w:name="_Ref206093284"/>
          </w:p>
        </w:tc>
        <w:bookmarkEnd w:id="46"/>
        <w:tc>
          <w:tcPr>
            <w:tcW w:w="3651" w:type="dxa"/>
          </w:tcPr>
          <w:p w14:paraId="129364A7" w14:textId="683F1622" w:rsidR="00A441DB" w:rsidRDefault="00A441DB" w:rsidP="00A441DB">
            <w:pPr>
              <w:pStyle w:val="BodyText"/>
              <w:spacing w:before="120" w:after="120"/>
            </w:pPr>
            <w:r>
              <w:rPr>
                <w:bCs/>
              </w:rPr>
              <w:t>Existing Project</w:t>
            </w:r>
          </w:p>
        </w:tc>
        <w:tc>
          <w:tcPr>
            <w:tcW w:w="5033" w:type="dxa"/>
          </w:tcPr>
          <w:p w14:paraId="301ACBB9" w14:textId="77777777" w:rsidR="00A441DB" w:rsidRDefault="00A441DB" w:rsidP="00A441DB">
            <w:pPr>
              <w:pStyle w:val="BodyText"/>
              <w:spacing w:before="120" w:after="120"/>
            </w:pPr>
            <w:r>
              <w:t>The ‘</w:t>
            </w:r>
            <w:r>
              <w:rPr>
                <w:i/>
                <w:iCs/>
              </w:rPr>
              <w:t>[</w:t>
            </w:r>
            <w:r>
              <w:rPr>
                <w:i/>
                <w:iCs/>
                <w:highlight w:val="yellow"/>
              </w:rPr>
              <w:t>insert project name</w:t>
            </w:r>
            <w:r>
              <w:rPr>
                <w:i/>
                <w:iCs/>
              </w:rPr>
              <w:t>]</w:t>
            </w:r>
            <w:r>
              <w:t>’, which [will be] /[is] a [</w:t>
            </w:r>
            <w:r>
              <w:rPr>
                <w:highlight w:val="yellow"/>
              </w:rPr>
              <w:t>insert resource type e.g. battery</w:t>
            </w:r>
            <w:r>
              <w:t>] that is co-located with, and electrically connected to, the Project and with:</w:t>
            </w:r>
          </w:p>
          <w:p w14:paraId="0F0646E3" w14:textId="77777777" w:rsidR="00A441DB" w:rsidRDefault="00A441DB" w:rsidP="008F660B">
            <w:pPr>
              <w:pStyle w:val="BodyText"/>
              <w:numPr>
                <w:ilvl w:val="0"/>
                <w:numId w:val="102"/>
              </w:numPr>
              <w:spacing w:before="120" w:after="120"/>
            </w:pPr>
            <w:r>
              <w:t>an import capacity, that is between 95% and 105% of the EP Import Capacity;</w:t>
            </w:r>
          </w:p>
          <w:p w14:paraId="7EDA1B4C" w14:textId="77777777" w:rsidR="00A441DB" w:rsidRDefault="00A441DB" w:rsidP="008F660B">
            <w:pPr>
              <w:pStyle w:val="BodyText"/>
              <w:numPr>
                <w:ilvl w:val="0"/>
                <w:numId w:val="102"/>
              </w:numPr>
              <w:spacing w:before="120" w:after="120"/>
            </w:pPr>
            <w:r>
              <w:t xml:space="preserve">an export capacity that is between 95% and 105% of the EP Export Capacity; and </w:t>
            </w:r>
          </w:p>
          <w:p w14:paraId="10563297" w14:textId="77777777" w:rsidR="00A441DB" w:rsidRDefault="00A441DB" w:rsidP="008F660B">
            <w:pPr>
              <w:pStyle w:val="BodyText"/>
              <w:numPr>
                <w:ilvl w:val="0"/>
                <w:numId w:val="102"/>
              </w:numPr>
              <w:spacing w:before="120" w:after="120"/>
            </w:pPr>
            <w:r>
              <w:t xml:space="preserve">an energy storage capacity that is between 95% and 105% of the EP Storage Capacity, </w:t>
            </w:r>
          </w:p>
          <w:p w14:paraId="55DF879F" w14:textId="77777777" w:rsidR="00A441DB" w:rsidRDefault="00A441DB" w:rsidP="00A441DB">
            <w:pPr>
              <w:pStyle w:val="BodyText"/>
              <w:spacing w:before="120" w:after="120"/>
            </w:pPr>
            <w:r>
              <w:t xml:space="preserve">but, for the purposes of this agreement, excludes the Project and the Shared Infrastructure. </w:t>
            </w:r>
          </w:p>
          <w:p w14:paraId="3B891E41" w14:textId="7B62C483" w:rsidR="00A441DB" w:rsidRDefault="00A441DB" w:rsidP="00A441DB">
            <w:pPr>
              <w:pStyle w:val="BodyText"/>
              <w:spacing w:before="120" w:after="120"/>
            </w:pPr>
            <w:r>
              <w:rPr>
                <w:highlight w:val="lightGray"/>
              </w:rPr>
              <w:t>[</w:t>
            </w:r>
            <w:r>
              <w:rPr>
                <w:b/>
                <w:i/>
                <w:highlight w:val="lightGray"/>
              </w:rPr>
              <w:t>Note: t</w:t>
            </w:r>
            <w:r>
              <w:rPr>
                <w:b/>
                <w:bCs/>
                <w:i/>
                <w:iCs/>
                <w:highlight w:val="lightGray"/>
              </w:rPr>
              <w:t xml:space="preserve">he wording in square brackets ‘will be’ or ‘is’ </w:t>
            </w:r>
            <w:r>
              <w:rPr>
                <w:b/>
                <w:i/>
                <w:highlight w:val="lightGray"/>
              </w:rPr>
              <w:t>to be selected based on whether the Existing Project has reached commercial operation before the Signing Date or is to be developed after execution</w:t>
            </w:r>
            <w:r>
              <w:rPr>
                <w:b/>
                <w:bCs/>
                <w:i/>
                <w:iCs/>
                <w:highlight w:val="lightGray"/>
              </w:rPr>
              <w:t>.]</w:t>
            </w:r>
          </w:p>
        </w:tc>
      </w:tr>
      <w:tr w:rsidR="00184B58" w:rsidRPr="0006608D" w14:paraId="4F5DE1EA" w14:textId="77777777" w:rsidTr="008F660B">
        <w:trPr>
          <w:jc w:val="center"/>
        </w:trPr>
        <w:tc>
          <w:tcPr>
            <w:tcW w:w="525" w:type="dxa"/>
          </w:tcPr>
          <w:p w14:paraId="62063772" w14:textId="77777777" w:rsidR="00184B58" w:rsidRPr="0006608D" w:rsidRDefault="00184B58" w:rsidP="00184B58">
            <w:pPr>
              <w:pStyle w:val="BodyText"/>
              <w:numPr>
                <w:ilvl w:val="0"/>
                <w:numId w:val="47"/>
              </w:numPr>
              <w:spacing w:before="120" w:after="120"/>
            </w:pPr>
            <w:bookmarkStart w:id="47" w:name="_Ref206180891"/>
          </w:p>
        </w:tc>
        <w:bookmarkEnd w:id="47"/>
        <w:tc>
          <w:tcPr>
            <w:tcW w:w="3651" w:type="dxa"/>
          </w:tcPr>
          <w:p w14:paraId="2389F8A4" w14:textId="6B7ADEF8" w:rsidR="00184B58" w:rsidRDefault="00184B58" w:rsidP="00184B58">
            <w:pPr>
              <w:pStyle w:val="BodyText"/>
              <w:spacing w:before="120" w:after="120"/>
            </w:pPr>
            <w:r w:rsidRPr="00F059FF">
              <w:rPr>
                <w:bCs/>
              </w:rPr>
              <w:t>Existing Project Commencement Date</w:t>
            </w:r>
          </w:p>
        </w:tc>
        <w:tc>
          <w:tcPr>
            <w:tcW w:w="5033" w:type="dxa"/>
          </w:tcPr>
          <w:p w14:paraId="20A2CB17" w14:textId="77777777" w:rsidR="00A441DB" w:rsidRDefault="00184B58" w:rsidP="00A441DB">
            <w:pPr>
              <w:pStyle w:val="BodyText"/>
              <w:spacing w:before="120" w:after="120"/>
              <w:rPr>
                <w:b/>
                <w:bCs/>
                <w:i/>
                <w:iCs/>
                <w:highlight w:val="lightGray"/>
              </w:rPr>
            </w:pPr>
            <w:r w:rsidRPr="008129EB">
              <w:t>[</w:t>
            </w:r>
            <w:r w:rsidR="00A441DB">
              <w:rPr>
                <w:highlight w:val="yellow"/>
              </w:rPr>
              <w:t>insert</w:t>
            </w:r>
            <w:r w:rsidR="00A441DB">
              <w:t>]. [</w:t>
            </w:r>
            <w:r w:rsidR="00A441DB">
              <w:rPr>
                <w:b/>
                <w:bCs/>
                <w:i/>
                <w:iCs/>
                <w:highlight w:val="lightGray"/>
              </w:rPr>
              <w:t>Note:</w:t>
            </w:r>
            <w:r w:rsidR="00A441DB">
              <w:rPr>
                <w:b/>
                <w:i/>
                <w:highlight w:val="lightGray"/>
              </w:rPr>
              <w:t xml:space="preserve"> if the Existing Project has reached commercial operations prior to the Signing Date, include the </w:t>
            </w:r>
            <w:r w:rsidR="00A441DB">
              <w:rPr>
                <w:b/>
                <w:bCs/>
                <w:i/>
                <w:iCs/>
                <w:highlight w:val="lightGray"/>
              </w:rPr>
              <w:t>date on which</w:t>
            </w:r>
            <w:r w:rsidR="00A441DB">
              <w:rPr>
                <w:b/>
                <w:i/>
                <w:highlight w:val="lightGray"/>
              </w:rPr>
              <w:t xml:space="preserve"> the </w:t>
            </w:r>
            <w:r w:rsidR="00A441DB">
              <w:rPr>
                <w:b/>
                <w:bCs/>
                <w:i/>
                <w:iCs/>
                <w:highlight w:val="lightGray"/>
              </w:rPr>
              <w:t>Existing</w:t>
            </w:r>
            <w:r w:rsidR="00A441DB">
              <w:rPr>
                <w:b/>
                <w:i/>
                <w:highlight w:val="lightGray"/>
              </w:rPr>
              <w:t xml:space="preserve"> Project </w:t>
            </w:r>
            <w:r w:rsidR="00A441DB">
              <w:rPr>
                <w:b/>
                <w:bCs/>
                <w:i/>
                <w:iCs/>
                <w:highlight w:val="lightGray"/>
              </w:rPr>
              <w:t xml:space="preserve">reached the commercial operations date.] </w:t>
            </w:r>
          </w:p>
          <w:p w14:paraId="75163CE6" w14:textId="77777777" w:rsidR="001C460B" w:rsidRDefault="001C460B" w:rsidP="00A441DB">
            <w:pPr>
              <w:pStyle w:val="BodyText"/>
              <w:spacing w:before="120" w:after="120"/>
            </w:pPr>
            <w:r>
              <w:t>The date on which the Existing Project becomes physically capable of exporting energy to the Network regardless of the level of output of the Existing Project and whether or not the Existing Project is capable of exporting energy at 100% of the EP Export Capacity, which as at the Signing Date is anticipated to be [</w:t>
            </w:r>
            <w:r>
              <w:rPr>
                <w:highlight w:val="yellow"/>
              </w:rPr>
              <w:t>insert</w:t>
            </w:r>
            <w:r>
              <w:t>].]</w:t>
            </w:r>
          </w:p>
          <w:p w14:paraId="7F147873" w14:textId="1CF833FA" w:rsidR="00184B58" w:rsidRDefault="001C460B" w:rsidP="00A441DB">
            <w:pPr>
              <w:pStyle w:val="BodyText"/>
              <w:spacing w:before="120" w:after="120"/>
            </w:pPr>
            <w:r>
              <w:rPr>
                <w:highlight w:val="lightGray"/>
              </w:rPr>
              <w:t>[</w:t>
            </w:r>
            <w:r>
              <w:rPr>
                <w:b/>
                <w:i/>
                <w:highlight w:val="lightGray"/>
              </w:rPr>
              <w:t>Note: wording to be included for Staged Projects in which the Existing Project has not reached its commercial operations date as at the Signing Date. Anticipated commencement date must be inserted by the Proponent and must be before the Commercial Operations Date for the Project.</w:t>
            </w:r>
            <w:r>
              <w:rPr>
                <w:highlight w:val="lightGray"/>
              </w:rPr>
              <w:t>]</w:t>
            </w:r>
          </w:p>
        </w:tc>
      </w:tr>
      <w:tr w:rsidR="00A441DB" w:rsidRPr="0006608D" w14:paraId="2BC50969" w14:textId="77777777" w:rsidTr="008F660B">
        <w:trPr>
          <w:jc w:val="center"/>
        </w:trPr>
        <w:tc>
          <w:tcPr>
            <w:tcW w:w="525" w:type="dxa"/>
          </w:tcPr>
          <w:p w14:paraId="06036C0C" w14:textId="77777777" w:rsidR="00A441DB" w:rsidRPr="0006608D" w:rsidRDefault="00A441DB" w:rsidP="00A441DB">
            <w:pPr>
              <w:pStyle w:val="BodyText"/>
              <w:numPr>
                <w:ilvl w:val="0"/>
                <w:numId w:val="47"/>
              </w:numPr>
              <w:spacing w:before="120" w:after="120"/>
            </w:pPr>
          </w:p>
        </w:tc>
        <w:tc>
          <w:tcPr>
            <w:tcW w:w="3651" w:type="dxa"/>
          </w:tcPr>
          <w:p w14:paraId="4C54B551" w14:textId="10B58A9B" w:rsidR="00A441DB" w:rsidRDefault="00A441DB" w:rsidP="00A441DB">
            <w:pPr>
              <w:pStyle w:val="BodyText"/>
              <w:spacing w:before="120" w:after="120"/>
            </w:pPr>
            <w:r>
              <w:t xml:space="preserve">EP Import Capacity </w:t>
            </w:r>
          </w:p>
        </w:tc>
        <w:tc>
          <w:tcPr>
            <w:tcW w:w="5033" w:type="dxa"/>
          </w:tcPr>
          <w:p w14:paraId="68BCBDAA" w14:textId="1F932238" w:rsidR="00A441DB" w:rsidRDefault="00A441DB" w:rsidP="00A441DB">
            <w:pPr>
              <w:keepNext/>
              <w:spacing w:before="120"/>
              <w:rPr>
                <w:b/>
                <w:bCs/>
              </w:rPr>
            </w:pPr>
            <w:r>
              <w:t>[</w:t>
            </w:r>
            <w:r>
              <w:rPr>
                <w:highlight w:val="yellow"/>
              </w:rPr>
              <w:t>insert</w:t>
            </w:r>
            <w:r>
              <w:t>] MW (being the import capacity of the Existing Project as measured at the Measurement Point for the Existing Project in AC).</w:t>
            </w:r>
          </w:p>
        </w:tc>
      </w:tr>
      <w:tr w:rsidR="00A441DB" w:rsidRPr="0006608D" w14:paraId="153318C4" w14:textId="77777777" w:rsidTr="008F660B">
        <w:trPr>
          <w:jc w:val="center"/>
        </w:trPr>
        <w:tc>
          <w:tcPr>
            <w:tcW w:w="525" w:type="dxa"/>
          </w:tcPr>
          <w:p w14:paraId="339A7F06" w14:textId="77777777" w:rsidR="00A441DB" w:rsidRPr="0006608D" w:rsidRDefault="00A441DB" w:rsidP="00A441DB">
            <w:pPr>
              <w:pStyle w:val="BodyText"/>
              <w:numPr>
                <w:ilvl w:val="0"/>
                <w:numId w:val="47"/>
              </w:numPr>
              <w:spacing w:before="120" w:after="120"/>
            </w:pPr>
          </w:p>
        </w:tc>
        <w:tc>
          <w:tcPr>
            <w:tcW w:w="3651" w:type="dxa"/>
          </w:tcPr>
          <w:p w14:paraId="4907D814" w14:textId="42A4D873" w:rsidR="00A441DB" w:rsidRDefault="00A441DB" w:rsidP="00A441DB">
            <w:pPr>
              <w:pStyle w:val="BodyText"/>
              <w:spacing w:before="120" w:after="120"/>
            </w:pPr>
            <w:r>
              <w:t>EP Export Capacity</w:t>
            </w:r>
          </w:p>
        </w:tc>
        <w:tc>
          <w:tcPr>
            <w:tcW w:w="5033" w:type="dxa"/>
          </w:tcPr>
          <w:p w14:paraId="4CF95B5F" w14:textId="49109136" w:rsidR="00A441DB" w:rsidRDefault="00A441DB" w:rsidP="00A441DB">
            <w:pPr>
              <w:keepNext/>
              <w:spacing w:before="120"/>
              <w:rPr>
                <w:b/>
                <w:bCs/>
              </w:rPr>
            </w:pPr>
            <w:r>
              <w:t>[</w:t>
            </w:r>
            <w:r>
              <w:rPr>
                <w:highlight w:val="yellow"/>
              </w:rPr>
              <w:t>insert</w:t>
            </w:r>
            <w:r>
              <w:t>] MW (being the export capacity of the Existing Project as measured at the Measurement Point for the Existing Project in AC).</w:t>
            </w:r>
          </w:p>
        </w:tc>
      </w:tr>
      <w:tr w:rsidR="00A441DB" w:rsidRPr="0006608D" w14:paraId="0FF1F2AF" w14:textId="77777777" w:rsidTr="008F660B">
        <w:trPr>
          <w:jc w:val="center"/>
        </w:trPr>
        <w:tc>
          <w:tcPr>
            <w:tcW w:w="525" w:type="dxa"/>
          </w:tcPr>
          <w:p w14:paraId="2C518E23" w14:textId="77777777" w:rsidR="00A441DB" w:rsidRPr="0006608D" w:rsidRDefault="00A441DB" w:rsidP="00A441DB">
            <w:pPr>
              <w:pStyle w:val="BodyText"/>
              <w:numPr>
                <w:ilvl w:val="0"/>
                <w:numId w:val="47"/>
              </w:numPr>
              <w:spacing w:before="120" w:after="120"/>
            </w:pPr>
          </w:p>
        </w:tc>
        <w:tc>
          <w:tcPr>
            <w:tcW w:w="3651" w:type="dxa"/>
          </w:tcPr>
          <w:p w14:paraId="4FC6B273" w14:textId="6F84D9E6" w:rsidR="00A441DB" w:rsidRDefault="00A441DB" w:rsidP="00A441DB">
            <w:pPr>
              <w:pStyle w:val="BodyText"/>
              <w:spacing w:before="120" w:after="120"/>
            </w:pPr>
            <w:r>
              <w:t>EP Storage Capacity</w:t>
            </w:r>
          </w:p>
        </w:tc>
        <w:tc>
          <w:tcPr>
            <w:tcW w:w="5033" w:type="dxa"/>
          </w:tcPr>
          <w:p w14:paraId="1EE45533" w14:textId="77777777" w:rsidR="00A441DB" w:rsidRDefault="00A441DB" w:rsidP="00A441DB">
            <w:pPr>
              <w:rPr>
                <w:b/>
                <w:bCs/>
                <w:i/>
                <w:iCs/>
              </w:rPr>
            </w:pPr>
            <w:r>
              <w:rPr>
                <w:b/>
                <w:bCs/>
                <w:i/>
                <w:iCs/>
              </w:rPr>
              <w:t>[</w:t>
            </w:r>
            <w:r>
              <w:rPr>
                <w:b/>
                <w:bCs/>
                <w:i/>
                <w:iCs/>
                <w:highlight w:val="lightGray"/>
              </w:rPr>
              <w:t>Note: the storage capacity set out here is to reflect degradation to the extent relevant for the technology type. The number of rows in the table below should reflect the number of Operations Years and Support Years that apply to this Agreement.]</w:t>
            </w:r>
            <w:r>
              <w:rPr>
                <w:b/>
                <w:bCs/>
                <w:i/>
                <w:iCs/>
              </w:rPr>
              <w:t xml:space="preserve"> </w:t>
            </w:r>
          </w:p>
          <w:p w14:paraId="17E4383A" w14:textId="77777777" w:rsidR="00A441DB" w:rsidRDefault="00A441DB" w:rsidP="00A441DB">
            <w:pPr>
              <w:rPr>
                <w:b/>
                <w:bCs/>
                <w:i/>
                <w:iCs/>
              </w:rPr>
            </w:pPr>
          </w:p>
          <w:p w14:paraId="38A55241" w14:textId="2A7F21F4" w:rsidR="00A441DB" w:rsidRDefault="00A441DB" w:rsidP="00A441DB">
            <w:pPr>
              <w:rPr>
                <w:b/>
                <w:bCs/>
                <w:i/>
                <w:iCs/>
              </w:rPr>
            </w:pPr>
            <w:r>
              <w:rPr>
                <w:b/>
                <w:bCs/>
                <w:i/>
                <w:iCs/>
                <w:highlight w:val="lightGray"/>
              </w:rPr>
              <w:t>[Note: the value provided by Project Operator for the first Operations Year in this item refers to the first Operations Year arising under this agreement.</w:t>
            </w:r>
            <w:r w:rsidR="00BC2BE9">
              <w:rPr>
                <w:b/>
                <w:bCs/>
                <w:i/>
                <w:iCs/>
                <w:highlight w:val="lightGray"/>
              </w:rPr>
              <w:t xml:space="preserve"> </w:t>
            </w:r>
            <w:r>
              <w:rPr>
                <w:b/>
                <w:bCs/>
                <w:i/>
                <w:iCs/>
                <w:highlight w:val="lightGray"/>
              </w:rPr>
              <w:t>For example, if the Existing Project has been in operation for seven (7) years before the Signing Date of this agreement, the first Operations Year for this item would be the eighth operating year of the Existing Project.]</w:t>
            </w:r>
          </w:p>
          <w:p w14:paraId="7DD00AEF" w14:textId="77777777" w:rsidR="00A441DB" w:rsidRDefault="00A441DB" w:rsidP="00A441DB"/>
          <w:p w14:paraId="39516174" w14:textId="77777777" w:rsidR="00A441DB" w:rsidRDefault="00A441DB" w:rsidP="00A441DB">
            <w:pPr>
              <w:keepNext/>
            </w:pPr>
            <w:r>
              <w:rPr>
                <w:b/>
                <w:bCs/>
              </w:rPr>
              <w:t>Storage Capacity</w:t>
            </w:r>
            <w:r>
              <w:t xml:space="preserve"> means the storage capacity for the Existing Project as at and from COD and for each Support Year and for each Operations Year as measured at the Measurement Point for the Project as follows: </w:t>
            </w:r>
          </w:p>
          <w:tbl>
            <w:tblPr>
              <w:tblpPr w:leftFromText="180" w:rightFromText="180" w:vertAnchor="text" w:horzAnchor="margin" w:tblpY="193"/>
              <w:tblOverlap w:val="never"/>
              <w:tblW w:w="5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3373"/>
            </w:tblGrid>
            <w:tr w:rsidR="00A441DB" w14:paraId="4B82C2DE" w14:textId="77777777" w:rsidTr="008F660B">
              <w:trPr>
                <w:trHeight w:val="195"/>
              </w:trPr>
              <w:tc>
                <w:tcPr>
                  <w:tcW w:w="2263" w:type="dxa"/>
                </w:tcPr>
                <w:p w14:paraId="021470D1" w14:textId="77777777" w:rsidR="00A441DB" w:rsidRDefault="00A441DB" w:rsidP="00A441DB">
                  <w:pPr>
                    <w:pStyle w:val="BodyText"/>
                    <w:spacing w:before="120" w:after="120"/>
                  </w:pPr>
                  <w:r>
                    <w:t xml:space="preserve">Operations Years </w:t>
                  </w:r>
                </w:p>
              </w:tc>
              <w:tc>
                <w:tcPr>
                  <w:tcW w:w="3373" w:type="dxa"/>
                </w:tcPr>
                <w:p w14:paraId="6538B4F3" w14:textId="77777777" w:rsidR="00A441DB" w:rsidRDefault="00A441DB" w:rsidP="00A441DB">
                  <w:pPr>
                    <w:pStyle w:val="BodyText"/>
                    <w:spacing w:before="120" w:after="120"/>
                  </w:pPr>
                  <w:r>
                    <w:t>Storage Capacity (MWh)</w:t>
                  </w:r>
                </w:p>
              </w:tc>
            </w:tr>
            <w:tr w:rsidR="00A441DB" w14:paraId="33A8C915" w14:textId="77777777" w:rsidTr="008F660B">
              <w:trPr>
                <w:trHeight w:val="130"/>
              </w:trPr>
              <w:tc>
                <w:tcPr>
                  <w:tcW w:w="2263" w:type="dxa"/>
                </w:tcPr>
                <w:p w14:paraId="727AA167" w14:textId="77777777" w:rsidR="00A441DB" w:rsidRDefault="00A441DB" w:rsidP="00A441DB">
                  <w:pPr>
                    <w:pStyle w:val="BodyText"/>
                    <w:spacing w:before="120" w:after="120"/>
                  </w:pPr>
                  <w:r>
                    <w:t>As at COD</w:t>
                  </w:r>
                </w:p>
              </w:tc>
              <w:tc>
                <w:tcPr>
                  <w:tcW w:w="3373" w:type="dxa"/>
                </w:tcPr>
                <w:p w14:paraId="658ED5B1" w14:textId="77777777" w:rsidR="00A441DB" w:rsidRDefault="00A441DB" w:rsidP="00A441DB">
                  <w:pPr>
                    <w:pStyle w:val="BodyText"/>
                    <w:spacing w:before="120" w:after="120"/>
                  </w:pPr>
                  <w:r>
                    <w:t>[</w:t>
                  </w:r>
                  <w:r>
                    <w:rPr>
                      <w:highlight w:val="yellow"/>
                    </w:rPr>
                    <w:t>insert</w:t>
                  </w:r>
                  <w:r>
                    <w:t>] MWh</w:t>
                  </w:r>
                </w:p>
              </w:tc>
            </w:tr>
            <w:tr w:rsidR="00A441DB" w14:paraId="6DA256DE" w14:textId="77777777" w:rsidTr="008F660B">
              <w:trPr>
                <w:trHeight w:val="130"/>
              </w:trPr>
              <w:tc>
                <w:tcPr>
                  <w:tcW w:w="2263" w:type="dxa"/>
                </w:tcPr>
                <w:p w14:paraId="6D37060A" w14:textId="77777777" w:rsidR="00A441DB" w:rsidRDefault="00A441DB" w:rsidP="00A441DB">
                  <w:pPr>
                    <w:pStyle w:val="BodyText"/>
                    <w:spacing w:before="120" w:after="120"/>
                  </w:pPr>
                  <w:r>
                    <w:t>For the first Operations Year</w:t>
                  </w:r>
                </w:p>
              </w:tc>
              <w:tc>
                <w:tcPr>
                  <w:tcW w:w="3373" w:type="dxa"/>
                </w:tcPr>
                <w:p w14:paraId="72EF9E8C" w14:textId="77777777" w:rsidR="00A441DB" w:rsidRDefault="00A441DB" w:rsidP="00A441DB">
                  <w:pPr>
                    <w:pStyle w:val="BodyText"/>
                    <w:spacing w:before="120" w:after="120"/>
                  </w:pPr>
                  <w:r>
                    <w:t>[</w:t>
                  </w:r>
                  <w:r>
                    <w:rPr>
                      <w:highlight w:val="yellow"/>
                    </w:rPr>
                    <w:t>insert</w:t>
                  </w:r>
                  <w:r>
                    <w:t>] MWh</w:t>
                  </w:r>
                </w:p>
              </w:tc>
            </w:tr>
            <w:tr w:rsidR="00A441DB" w14:paraId="441C4F19" w14:textId="77777777" w:rsidTr="008F660B">
              <w:trPr>
                <w:trHeight w:val="130"/>
              </w:trPr>
              <w:tc>
                <w:tcPr>
                  <w:tcW w:w="2263" w:type="dxa"/>
                </w:tcPr>
                <w:p w14:paraId="07EB8627" w14:textId="77777777" w:rsidR="00A441DB" w:rsidRDefault="00A441DB" w:rsidP="00A441DB">
                  <w:pPr>
                    <w:pStyle w:val="BodyText"/>
                    <w:spacing w:before="120" w:after="120"/>
                  </w:pPr>
                  <w:r>
                    <w:t>For the second Operations Year</w:t>
                  </w:r>
                </w:p>
              </w:tc>
              <w:tc>
                <w:tcPr>
                  <w:tcW w:w="3373" w:type="dxa"/>
                </w:tcPr>
                <w:p w14:paraId="71863140" w14:textId="77777777" w:rsidR="00A441DB" w:rsidRDefault="00A441DB" w:rsidP="00A441DB">
                  <w:pPr>
                    <w:pStyle w:val="BodyText"/>
                    <w:spacing w:before="120" w:after="120"/>
                  </w:pPr>
                  <w:r>
                    <w:t>[</w:t>
                  </w:r>
                  <w:r>
                    <w:rPr>
                      <w:highlight w:val="yellow"/>
                    </w:rPr>
                    <w:t>insert</w:t>
                  </w:r>
                  <w:r>
                    <w:t>] MWh</w:t>
                  </w:r>
                </w:p>
              </w:tc>
            </w:tr>
            <w:tr w:rsidR="00A441DB" w14:paraId="45695BDC" w14:textId="77777777" w:rsidTr="008F660B">
              <w:trPr>
                <w:trHeight w:val="133"/>
              </w:trPr>
              <w:tc>
                <w:tcPr>
                  <w:tcW w:w="2263" w:type="dxa"/>
                </w:tcPr>
                <w:p w14:paraId="0D134CD3" w14:textId="77777777" w:rsidR="00A441DB" w:rsidRDefault="00A441DB" w:rsidP="00A441DB">
                  <w:pPr>
                    <w:pStyle w:val="BodyText"/>
                    <w:spacing w:before="120" w:after="120"/>
                  </w:pPr>
                  <w:r>
                    <w:t>For the third Operations Year</w:t>
                  </w:r>
                </w:p>
              </w:tc>
              <w:tc>
                <w:tcPr>
                  <w:tcW w:w="3373" w:type="dxa"/>
                </w:tcPr>
                <w:p w14:paraId="3876ECDB" w14:textId="77777777" w:rsidR="00A441DB" w:rsidRDefault="00A441DB" w:rsidP="00A441DB">
                  <w:pPr>
                    <w:pStyle w:val="BodyText"/>
                    <w:spacing w:before="120" w:after="120"/>
                  </w:pPr>
                  <w:r>
                    <w:t>[</w:t>
                  </w:r>
                  <w:r>
                    <w:rPr>
                      <w:highlight w:val="yellow"/>
                    </w:rPr>
                    <w:t>insert</w:t>
                  </w:r>
                  <w:r>
                    <w:t>] MWh</w:t>
                  </w:r>
                </w:p>
              </w:tc>
            </w:tr>
            <w:tr w:rsidR="00A441DB" w14:paraId="0F2DB172" w14:textId="77777777" w:rsidTr="008F660B">
              <w:trPr>
                <w:trHeight w:val="133"/>
              </w:trPr>
              <w:tc>
                <w:tcPr>
                  <w:tcW w:w="2263" w:type="dxa"/>
                </w:tcPr>
                <w:p w14:paraId="75F5D9A4" w14:textId="77777777" w:rsidR="00A441DB" w:rsidRDefault="00A441DB" w:rsidP="00A441DB">
                  <w:pPr>
                    <w:pStyle w:val="BodyText"/>
                    <w:spacing w:before="120" w:after="120"/>
                  </w:pPr>
                  <w:r>
                    <w:t>For the fourth Operations Year</w:t>
                  </w:r>
                </w:p>
              </w:tc>
              <w:tc>
                <w:tcPr>
                  <w:tcW w:w="3373" w:type="dxa"/>
                </w:tcPr>
                <w:p w14:paraId="73AB56CB" w14:textId="77777777" w:rsidR="00A441DB" w:rsidRDefault="00A441DB" w:rsidP="00A441DB">
                  <w:pPr>
                    <w:pStyle w:val="BodyText"/>
                    <w:spacing w:before="120" w:after="120"/>
                  </w:pPr>
                  <w:r>
                    <w:t>[</w:t>
                  </w:r>
                  <w:r>
                    <w:rPr>
                      <w:highlight w:val="yellow"/>
                    </w:rPr>
                    <w:t>insert</w:t>
                  </w:r>
                  <w:r>
                    <w:t>] MWh</w:t>
                  </w:r>
                </w:p>
              </w:tc>
            </w:tr>
            <w:tr w:rsidR="00A441DB" w14:paraId="7E362383" w14:textId="77777777" w:rsidTr="008F660B">
              <w:trPr>
                <w:trHeight w:val="133"/>
              </w:trPr>
              <w:tc>
                <w:tcPr>
                  <w:tcW w:w="2263" w:type="dxa"/>
                </w:tcPr>
                <w:p w14:paraId="66FD1417" w14:textId="77777777" w:rsidR="00A441DB" w:rsidRDefault="00A441DB" w:rsidP="00A441DB">
                  <w:pPr>
                    <w:pStyle w:val="BodyText"/>
                    <w:spacing w:before="120" w:after="120"/>
                  </w:pPr>
                  <w:r>
                    <w:t>For the fifth Operations Year</w:t>
                  </w:r>
                </w:p>
              </w:tc>
              <w:tc>
                <w:tcPr>
                  <w:tcW w:w="3373" w:type="dxa"/>
                </w:tcPr>
                <w:p w14:paraId="15F8A09B" w14:textId="77777777" w:rsidR="00A441DB" w:rsidRDefault="00A441DB" w:rsidP="00A441DB">
                  <w:pPr>
                    <w:pStyle w:val="BodyText"/>
                    <w:spacing w:before="120" w:after="120"/>
                  </w:pPr>
                  <w:r>
                    <w:t>[</w:t>
                  </w:r>
                  <w:r>
                    <w:rPr>
                      <w:highlight w:val="yellow"/>
                    </w:rPr>
                    <w:t>insert</w:t>
                  </w:r>
                  <w:r>
                    <w:t>] MWh</w:t>
                  </w:r>
                </w:p>
              </w:tc>
            </w:tr>
            <w:tr w:rsidR="00A441DB" w14:paraId="0D1E6368" w14:textId="77777777" w:rsidTr="008F660B">
              <w:trPr>
                <w:trHeight w:val="133"/>
              </w:trPr>
              <w:tc>
                <w:tcPr>
                  <w:tcW w:w="2263" w:type="dxa"/>
                </w:tcPr>
                <w:p w14:paraId="7DFD442F" w14:textId="77777777" w:rsidR="00A441DB" w:rsidRDefault="00A441DB" w:rsidP="00A441DB">
                  <w:pPr>
                    <w:pStyle w:val="BodyText"/>
                    <w:spacing w:before="120" w:after="120"/>
                  </w:pPr>
                  <w:r>
                    <w:t>For the sixth Operations Year</w:t>
                  </w:r>
                </w:p>
              </w:tc>
              <w:tc>
                <w:tcPr>
                  <w:tcW w:w="3373" w:type="dxa"/>
                </w:tcPr>
                <w:p w14:paraId="782DB8FB" w14:textId="77777777" w:rsidR="00A441DB" w:rsidRDefault="00A441DB" w:rsidP="00A441DB">
                  <w:pPr>
                    <w:pStyle w:val="BodyText"/>
                    <w:spacing w:before="120" w:after="120"/>
                  </w:pPr>
                  <w:r>
                    <w:t>[</w:t>
                  </w:r>
                  <w:r>
                    <w:rPr>
                      <w:highlight w:val="yellow"/>
                    </w:rPr>
                    <w:t>insert</w:t>
                  </w:r>
                  <w:r>
                    <w:t>] MWh</w:t>
                  </w:r>
                </w:p>
              </w:tc>
            </w:tr>
            <w:tr w:rsidR="00A441DB" w14:paraId="1ECF17C3" w14:textId="77777777" w:rsidTr="008F660B">
              <w:trPr>
                <w:trHeight w:val="133"/>
              </w:trPr>
              <w:tc>
                <w:tcPr>
                  <w:tcW w:w="2263" w:type="dxa"/>
                </w:tcPr>
                <w:p w14:paraId="61D847C0" w14:textId="77777777" w:rsidR="00A441DB" w:rsidRDefault="00A441DB" w:rsidP="00A441DB">
                  <w:pPr>
                    <w:pStyle w:val="BodyText"/>
                    <w:spacing w:before="120" w:after="120"/>
                  </w:pPr>
                  <w:r>
                    <w:t>For the seventh Operations Year</w:t>
                  </w:r>
                </w:p>
              </w:tc>
              <w:tc>
                <w:tcPr>
                  <w:tcW w:w="3373" w:type="dxa"/>
                </w:tcPr>
                <w:p w14:paraId="414568B7" w14:textId="77777777" w:rsidR="00A441DB" w:rsidRDefault="00A441DB" w:rsidP="00A441DB">
                  <w:pPr>
                    <w:pStyle w:val="BodyText"/>
                    <w:spacing w:before="120" w:after="120"/>
                  </w:pPr>
                  <w:r>
                    <w:t>[</w:t>
                  </w:r>
                  <w:r>
                    <w:rPr>
                      <w:highlight w:val="yellow"/>
                    </w:rPr>
                    <w:t>insert</w:t>
                  </w:r>
                  <w:r>
                    <w:t>] MWh</w:t>
                  </w:r>
                </w:p>
              </w:tc>
            </w:tr>
            <w:tr w:rsidR="00A441DB" w14:paraId="788E0CBF" w14:textId="77777777" w:rsidTr="008F660B">
              <w:trPr>
                <w:trHeight w:val="133"/>
              </w:trPr>
              <w:tc>
                <w:tcPr>
                  <w:tcW w:w="2263" w:type="dxa"/>
                </w:tcPr>
                <w:p w14:paraId="09CF612B" w14:textId="77777777" w:rsidR="00A441DB" w:rsidRDefault="00A441DB" w:rsidP="00A441DB">
                  <w:pPr>
                    <w:pStyle w:val="BodyText"/>
                    <w:spacing w:before="120" w:after="120"/>
                  </w:pPr>
                  <w:r>
                    <w:t>For the eighth Operations Year</w:t>
                  </w:r>
                </w:p>
              </w:tc>
              <w:tc>
                <w:tcPr>
                  <w:tcW w:w="3373" w:type="dxa"/>
                </w:tcPr>
                <w:p w14:paraId="73CF737A" w14:textId="77777777" w:rsidR="00A441DB" w:rsidRDefault="00A441DB" w:rsidP="00A441DB">
                  <w:pPr>
                    <w:pStyle w:val="BodyText"/>
                    <w:spacing w:before="120" w:after="120"/>
                  </w:pPr>
                  <w:r>
                    <w:t>[</w:t>
                  </w:r>
                  <w:r>
                    <w:rPr>
                      <w:highlight w:val="yellow"/>
                    </w:rPr>
                    <w:t>insert</w:t>
                  </w:r>
                  <w:r>
                    <w:t>] MWh</w:t>
                  </w:r>
                </w:p>
              </w:tc>
            </w:tr>
            <w:tr w:rsidR="00A441DB" w14:paraId="230E5572" w14:textId="77777777" w:rsidTr="008F660B">
              <w:trPr>
                <w:trHeight w:val="133"/>
              </w:trPr>
              <w:tc>
                <w:tcPr>
                  <w:tcW w:w="2263" w:type="dxa"/>
                </w:tcPr>
                <w:p w14:paraId="7C8BFE48" w14:textId="77777777" w:rsidR="00A441DB" w:rsidRDefault="00A441DB" w:rsidP="00A441DB">
                  <w:pPr>
                    <w:pStyle w:val="BodyText"/>
                    <w:spacing w:before="120" w:after="120"/>
                  </w:pPr>
                  <w:r>
                    <w:t>For the ninth Operations Year</w:t>
                  </w:r>
                </w:p>
              </w:tc>
              <w:tc>
                <w:tcPr>
                  <w:tcW w:w="3373" w:type="dxa"/>
                </w:tcPr>
                <w:p w14:paraId="21A71CF3" w14:textId="77777777" w:rsidR="00A441DB" w:rsidRDefault="00A441DB" w:rsidP="00A441DB">
                  <w:pPr>
                    <w:pStyle w:val="BodyText"/>
                    <w:spacing w:before="120" w:after="120"/>
                  </w:pPr>
                  <w:r>
                    <w:t>[</w:t>
                  </w:r>
                  <w:r>
                    <w:rPr>
                      <w:highlight w:val="yellow"/>
                    </w:rPr>
                    <w:t>insert</w:t>
                  </w:r>
                  <w:r>
                    <w:t>] MWh</w:t>
                  </w:r>
                </w:p>
              </w:tc>
            </w:tr>
            <w:tr w:rsidR="00A441DB" w14:paraId="07A75414" w14:textId="77777777" w:rsidTr="008F660B">
              <w:trPr>
                <w:trHeight w:val="133"/>
              </w:trPr>
              <w:tc>
                <w:tcPr>
                  <w:tcW w:w="2263" w:type="dxa"/>
                </w:tcPr>
                <w:p w14:paraId="77F0AE9B" w14:textId="77777777" w:rsidR="00A441DB" w:rsidRDefault="00A441DB" w:rsidP="00A441DB">
                  <w:pPr>
                    <w:pStyle w:val="BodyText"/>
                    <w:spacing w:before="120" w:after="120"/>
                  </w:pPr>
                  <w:r>
                    <w:t>For the tenth Operations Year</w:t>
                  </w:r>
                </w:p>
              </w:tc>
              <w:tc>
                <w:tcPr>
                  <w:tcW w:w="3373" w:type="dxa"/>
                </w:tcPr>
                <w:p w14:paraId="6767795A" w14:textId="77777777" w:rsidR="00A441DB" w:rsidRDefault="00A441DB" w:rsidP="00A441DB">
                  <w:pPr>
                    <w:pStyle w:val="BodyText"/>
                    <w:spacing w:before="120" w:after="120"/>
                  </w:pPr>
                  <w:r>
                    <w:t>[</w:t>
                  </w:r>
                  <w:r>
                    <w:rPr>
                      <w:highlight w:val="yellow"/>
                    </w:rPr>
                    <w:t>insert</w:t>
                  </w:r>
                  <w:r>
                    <w:t>] MWh</w:t>
                  </w:r>
                </w:p>
              </w:tc>
            </w:tr>
            <w:tr w:rsidR="00A441DB" w14:paraId="555B7464" w14:textId="77777777" w:rsidTr="008F660B">
              <w:trPr>
                <w:trHeight w:val="133"/>
              </w:trPr>
              <w:tc>
                <w:tcPr>
                  <w:tcW w:w="2263" w:type="dxa"/>
                </w:tcPr>
                <w:p w14:paraId="395149B3" w14:textId="77777777" w:rsidR="00A441DB" w:rsidRDefault="00A441DB" w:rsidP="00A441DB">
                  <w:pPr>
                    <w:pStyle w:val="BodyText"/>
                    <w:spacing w:before="120" w:after="120"/>
                  </w:pPr>
                  <w:r>
                    <w:t>For the eleventh Operations Year</w:t>
                  </w:r>
                </w:p>
              </w:tc>
              <w:tc>
                <w:tcPr>
                  <w:tcW w:w="3373" w:type="dxa"/>
                </w:tcPr>
                <w:p w14:paraId="7E8527F9" w14:textId="77777777" w:rsidR="00A441DB" w:rsidRDefault="00A441DB" w:rsidP="00A441DB">
                  <w:pPr>
                    <w:pStyle w:val="BodyText"/>
                    <w:spacing w:before="120" w:after="120"/>
                  </w:pPr>
                  <w:r>
                    <w:t>[</w:t>
                  </w:r>
                  <w:r>
                    <w:rPr>
                      <w:highlight w:val="yellow"/>
                    </w:rPr>
                    <w:t>insert</w:t>
                  </w:r>
                  <w:r>
                    <w:t>] MWh</w:t>
                  </w:r>
                </w:p>
              </w:tc>
            </w:tr>
            <w:tr w:rsidR="00A441DB" w14:paraId="6E801E03" w14:textId="77777777" w:rsidTr="008F660B">
              <w:trPr>
                <w:trHeight w:val="133"/>
              </w:trPr>
              <w:tc>
                <w:tcPr>
                  <w:tcW w:w="2263" w:type="dxa"/>
                </w:tcPr>
                <w:p w14:paraId="308D00C3" w14:textId="77777777" w:rsidR="00A441DB" w:rsidRDefault="00A441DB" w:rsidP="00A441DB">
                  <w:pPr>
                    <w:pStyle w:val="BodyText"/>
                    <w:spacing w:before="120" w:after="120"/>
                  </w:pPr>
                  <w:r>
                    <w:t>For the twelfth Operations Year</w:t>
                  </w:r>
                </w:p>
              </w:tc>
              <w:tc>
                <w:tcPr>
                  <w:tcW w:w="3373" w:type="dxa"/>
                </w:tcPr>
                <w:p w14:paraId="2C6309EA" w14:textId="77777777" w:rsidR="00A441DB" w:rsidRDefault="00A441DB" w:rsidP="00A441DB">
                  <w:pPr>
                    <w:pStyle w:val="BodyText"/>
                    <w:spacing w:before="120" w:after="120"/>
                  </w:pPr>
                  <w:r>
                    <w:t>[</w:t>
                  </w:r>
                  <w:r>
                    <w:rPr>
                      <w:highlight w:val="yellow"/>
                    </w:rPr>
                    <w:t>insert</w:t>
                  </w:r>
                  <w:r>
                    <w:t>] MWh</w:t>
                  </w:r>
                </w:p>
              </w:tc>
            </w:tr>
            <w:tr w:rsidR="00A441DB" w14:paraId="2EF82295" w14:textId="77777777" w:rsidTr="008F660B">
              <w:trPr>
                <w:trHeight w:val="133"/>
              </w:trPr>
              <w:tc>
                <w:tcPr>
                  <w:tcW w:w="2263" w:type="dxa"/>
                </w:tcPr>
                <w:p w14:paraId="440C4849" w14:textId="77777777" w:rsidR="00A441DB" w:rsidRDefault="00A441DB" w:rsidP="00A441DB">
                  <w:pPr>
                    <w:pStyle w:val="BodyText"/>
                    <w:spacing w:before="120" w:after="120"/>
                  </w:pPr>
                  <w:r>
                    <w:t>For the thirteenth Operations Year</w:t>
                  </w:r>
                </w:p>
              </w:tc>
              <w:tc>
                <w:tcPr>
                  <w:tcW w:w="3373" w:type="dxa"/>
                </w:tcPr>
                <w:p w14:paraId="263DE147" w14:textId="77777777" w:rsidR="00A441DB" w:rsidRDefault="00A441DB" w:rsidP="00A441DB">
                  <w:pPr>
                    <w:pStyle w:val="BodyText"/>
                    <w:spacing w:before="120" w:after="120"/>
                  </w:pPr>
                  <w:r>
                    <w:t>[</w:t>
                  </w:r>
                  <w:r>
                    <w:rPr>
                      <w:highlight w:val="yellow"/>
                    </w:rPr>
                    <w:t>insert</w:t>
                  </w:r>
                  <w:r>
                    <w:t>] MWh</w:t>
                  </w:r>
                </w:p>
              </w:tc>
            </w:tr>
            <w:tr w:rsidR="00A441DB" w14:paraId="77AA5FAD" w14:textId="77777777" w:rsidTr="008F660B">
              <w:trPr>
                <w:trHeight w:val="133"/>
              </w:trPr>
              <w:tc>
                <w:tcPr>
                  <w:tcW w:w="2263" w:type="dxa"/>
                </w:tcPr>
                <w:p w14:paraId="0053740B" w14:textId="77777777" w:rsidR="00A441DB" w:rsidRDefault="00A441DB" w:rsidP="00A441DB">
                  <w:pPr>
                    <w:pStyle w:val="BodyText"/>
                    <w:spacing w:before="120" w:after="120"/>
                  </w:pPr>
                  <w:r>
                    <w:t>For the fourteenth Operations Year</w:t>
                  </w:r>
                </w:p>
              </w:tc>
              <w:tc>
                <w:tcPr>
                  <w:tcW w:w="3373" w:type="dxa"/>
                </w:tcPr>
                <w:p w14:paraId="1C97692B" w14:textId="77777777" w:rsidR="00A441DB" w:rsidRDefault="00A441DB" w:rsidP="00A441DB">
                  <w:pPr>
                    <w:pStyle w:val="BodyText"/>
                    <w:spacing w:before="120" w:after="120"/>
                  </w:pPr>
                  <w:r>
                    <w:t>[</w:t>
                  </w:r>
                  <w:r>
                    <w:rPr>
                      <w:highlight w:val="yellow"/>
                    </w:rPr>
                    <w:t>insert</w:t>
                  </w:r>
                  <w:r>
                    <w:t>] MWh</w:t>
                  </w:r>
                </w:p>
              </w:tc>
            </w:tr>
            <w:tr w:rsidR="00A441DB" w14:paraId="5FAE9B3B" w14:textId="77777777" w:rsidTr="008F660B">
              <w:trPr>
                <w:trHeight w:val="133"/>
              </w:trPr>
              <w:tc>
                <w:tcPr>
                  <w:tcW w:w="2263" w:type="dxa"/>
                </w:tcPr>
                <w:p w14:paraId="5E255BE5" w14:textId="77777777" w:rsidR="00A441DB" w:rsidRDefault="00A441DB" w:rsidP="00A441DB">
                  <w:pPr>
                    <w:pStyle w:val="BodyText"/>
                    <w:spacing w:before="120" w:after="120"/>
                  </w:pPr>
                  <w:r>
                    <w:t>For the fifteenth Operations Year</w:t>
                  </w:r>
                </w:p>
              </w:tc>
              <w:tc>
                <w:tcPr>
                  <w:tcW w:w="3373" w:type="dxa"/>
                </w:tcPr>
                <w:p w14:paraId="5A433755" w14:textId="77777777" w:rsidR="00A441DB" w:rsidRDefault="00A441DB" w:rsidP="00A441DB">
                  <w:pPr>
                    <w:pStyle w:val="BodyText"/>
                    <w:spacing w:before="120" w:after="120"/>
                  </w:pPr>
                  <w:r>
                    <w:t>[</w:t>
                  </w:r>
                  <w:r>
                    <w:rPr>
                      <w:highlight w:val="yellow"/>
                    </w:rPr>
                    <w:t>insert</w:t>
                  </w:r>
                  <w:r>
                    <w:t>] MWh</w:t>
                  </w:r>
                </w:p>
              </w:tc>
            </w:tr>
            <w:tr w:rsidR="00A441DB" w14:paraId="73F19DF1" w14:textId="77777777" w:rsidTr="008F660B">
              <w:trPr>
                <w:trHeight w:val="699"/>
              </w:trPr>
              <w:tc>
                <w:tcPr>
                  <w:tcW w:w="2263" w:type="dxa"/>
                </w:tcPr>
                <w:p w14:paraId="48862117" w14:textId="77777777" w:rsidR="00A441DB" w:rsidRDefault="00A441DB" w:rsidP="00A441DB">
                  <w:pPr>
                    <w:pStyle w:val="BodyText"/>
                    <w:spacing w:before="120" w:after="120"/>
                  </w:pPr>
                  <w:r>
                    <w:t>For the sixteenth Operations Year</w:t>
                  </w:r>
                </w:p>
              </w:tc>
              <w:tc>
                <w:tcPr>
                  <w:tcW w:w="3373" w:type="dxa"/>
                </w:tcPr>
                <w:p w14:paraId="5CB05675" w14:textId="77777777" w:rsidR="00A441DB" w:rsidRDefault="00A441DB" w:rsidP="00A441DB">
                  <w:pPr>
                    <w:pStyle w:val="BodyText"/>
                    <w:spacing w:before="120" w:after="120"/>
                  </w:pPr>
                  <w:r>
                    <w:t>[</w:t>
                  </w:r>
                  <w:r>
                    <w:rPr>
                      <w:highlight w:val="yellow"/>
                    </w:rPr>
                    <w:t>insert</w:t>
                  </w:r>
                  <w:r>
                    <w:t>] MWh</w:t>
                  </w:r>
                </w:p>
              </w:tc>
            </w:tr>
          </w:tbl>
          <w:p w14:paraId="14B8C889" w14:textId="61C35D6F" w:rsidR="00A441DB" w:rsidRDefault="00A441DB" w:rsidP="00A441DB">
            <w:pPr>
              <w:pStyle w:val="BodyText"/>
              <w:spacing w:before="120" w:after="120"/>
            </w:pPr>
          </w:p>
        </w:tc>
      </w:tr>
      <w:tr w:rsidR="00A441DB" w:rsidRPr="0006608D" w14:paraId="5E4A1151" w14:textId="77777777" w:rsidTr="008F660B">
        <w:trPr>
          <w:jc w:val="center"/>
        </w:trPr>
        <w:tc>
          <w:tcPr>
            <w:tcW w:w="525" w:type="dxa"/>
          </w:tcPr>
          <w:p w14:paraId="2562FDAB" w14:textId="77777777" w:rsidR="00A441DB" w:rsidRPr="0006608D" w:rsidRDefault="00A441DB" w:rsidP="00A441DB">
            <w:pPr>
              <w:pStyle w:val="BodyText"/>
              <w:numPr>
                <w:ilvl w:val="0"/>
                <w:numId w:val="47"/>
              </w:numPr>
              <w:spacing w:before="120" w:after="120"/>
            </w:pPr>
            <w:bookmarkStart w:id="48" w:name="_Ref203744629"/>
          </w:p>
        </w:tc>
        <w:bookmarkEnd w:id="48"/>
        <w:tc>
          <w:tcPr>
            <w:tcW w:w="3651" w:type="dxa"/>
          </w:tcPr>
          <w:p w14:paraId="61AA4549" w14:textId="0E5D4C29" w:rsidR="00A441DB" w:rsidRDefault="00A441DB" w:rsidP="00A441DB">
            <w:pPr>
              <w:pStyle w:val="BodyText"/>
              <w:spacing w:before="120" w:after="120"/>
            </w:pPr>
            <w:r>
              <w:t>EP Minimum Hours</w:t>
            </w:r>
          </w:p>
        </w:tc>
        <w:tc>
          <w:tcPr>
            <w:tcW w:w="5033" w:type="dxa"/>
          </w:tcPr>
          <w:p w14:paraId="7A6D563B" w14:textId="02BD4956" w:rsidR="00A441DB" w:rsidRPr="008F660B" w:rsidRDefault="00A441DB" w:rsidP="008F660B">
            <w:pPr>
              <w:spacing w:before="120" w:after="120"/>
            </w:pPr>
            <w:r>
              <w:rPr>
                <w:u w:val="single"/>
              </w:rPr>
              <w:t>[</w:t>
            </w:r>
            <w:r>
              <w:rPr>
                <w:b/>
                <w:bCs/>
                <w:i/>
                <w:iCs/>
                <w:highlight w:val="lightGray"/>
              </w:rPr>
              <w:t>Note: the Minimum Hours must not be less than 2 hours.</w:t>
            </w:r>
            <w:r>
              <w:t xml:space="preserve">] </w:t>
            </w:r>
          </w:p>
          <w:p w14:paraId="5C30FC40" w14:textId="43F71F02" w:rsidR="00A441DB" w:rsidRDefault="00A441DB" w:rsidP="00A441DB">
            <w:pPr>
              <w:pStyle w:val="BodyText"/>
              <w:spacing w:before="120" w:after="120"/>
            </w:pPr>
            <w:r w:rsidRPr="001B4646">
              <w:rPr>
                <w:highlight w:val="yellow"/>
              </w:rPr>
              <w:t>[insert number]</w:t>
            </w:r>
            <w:r w:rsidRPr="008129EB">
              <w:t xml:space="preserve"> hours.</w:t>
            </w:r>
          </w:p>
        </w:tc>
      </w:tr>
      <w:tr w:rsidR="007016AA" w:rsidRPr="0006608D" w14:paraId="2737BDF7" w14:textId="77777777" w:rsidTr="00BE576B">
        <w:trPr>
          <w:jc w:val="center"/>
        </w:trPr>
        <w:tc>
          <w:tcPr>
            <w:tcW w:w="525" w:type="dxa"/>
          </w:tcPr>
          <w:p w14:paraId="5F5047C2" w14:textId="77777777" w:rsidR="007016AA" w:rsidRPr="0006608D" w:rsidRDefault="007016AA" w:rsidP="00A441DB">
            <w:pPr>
              <w:pStyle w:val="BodyText"/>
              <w:numPr>
                <w:ilvl w:val="0"/>
                <w:numId w:val="47"/>
              </w:numPr>
              <w:spacing w:before="120" w:after="120"/>
            </w:pPr>
            <w:bookmarkStart w:id="49" w:name="_Ref206685267"/>
          </w:p>
        </w:tc>
        <w:bookmarkEnd w:id="49"/>
        <w:tc>
          <w:tcPr>
            <w:tcW w:w="3651" w:type="dxa"/>
          </w:tcPr>
          <w:p w14:paraId="25DDC2A2" w14:textId="1BED77EF" w:rsidR="007016AA" w:rsidRDefault="007016AA" w:rsidP="00A441DB">
            <w:pPr>
              <w:pStyle w:val="BodyText"/>
              <w:spacing w:before="120" w:after="120"/>
            </w:pPr>
            <w:r>
              <w:t>EP Minimum</w:t>
            </w:r>
            <w:r w:rsidR="0015041E">
              <w:t xml:space="preserve"> State of </w:t>
            </w:r>
            <w:r>
              <w:t>Charge</w:t>
            </w:r>
          </w:p>
        </w:tc>
        <w:tc>
          <w:tcPr>
            <w:tcW w:w="5033" w:type="dxa"/>
          </w:tcPr>
          <w:p w14:paraId="3A7C0475" w14:textId="77777777" w:rsidR="007016AA" w:rsidRDefault="0015041E" w:rsidP="0015041E">
            <w:pPr>
              <w:pStyle w:val="BodyText"/>
              <w:spacing w:before="120" w:after="120"/>
              <w:rPr>
                <w:b/>
                <w:bCs/>
              </w:rPr>
            </w:pPr>
            <w:r w:rsidRPr="008129EB">
              <w:t>[</w:t>
            </w:r>
            <w:r w:rsidRPr="00F059FF">
              <w:rPr>
                <w:highlight w:val="yellow"/>
              </w:rPr>
              <w:t>insert</w:t>
            </w:r>
            <w:r w:rsidRPr="008129EB">
              <w:t>] MWh.</w:t>
            </w:r>
            <w:r w:rsidRPr="008129EB">
              <w:rPr>
                <w:b/>
                <w:bCs/>
              </w:rPr>
              <w:t xml:space="preserve"> </w:t>
            </w:r>
          </w:p>
          <w:p w14:paraId="47807C92" w14:textId="42C3E1E2" w:rsidR="00243094" w:rsidRPr="008F660B" w:rsidRDefault="00243094" w:rsidP="008F660B">
            <w:pPr>
              <w:pStyle w:val="BodyText"/>
              <w:spacing w:before="120" w:after="120"/>
              <w:rPr>
                <w:b/>
                <w:bCs/>
              </w:rPr>
            </w:pPr>
            <w:r w:rsidRPr="005E1F02">
              <w:t>[</w:t>
            </w:r>
            <w:r w:rsidRPr="005E1F02">
              <w:rPr>
                <w:b/>
                <w:bCs/>
                <w:i/>
                <w:iCs/>
                <w:highlight w:val="lightGray"/>
              </w:rPr>
              <w:t>Note: see agreement cover note regarding Non-Storage Projects</w:t>
            </w:r>
            <w:r>
              <w:rPr>
                <w:b/>
                <w:bCs/>
                <w:i/>
                <w:iCs/>
                <w:highlight w:val="lightGray"/>
              </w:rPr>
              <w:t>. If the Project is a Non-Storage Project, this Item should be replaced with ‘Not used.’</w:t>
            </w:r>
            <w:r w:rsidRPr="005E1F02">
              <w:t>]</w:t>
            </w:r>
          </w:p>
        </w:tc>
      </w:tr>
      <w:tr w:rsidR="00A441DB" w:rsidRPr="0006608D" w14:paraId="2DC2F73F" w14:textId="77777777" w:rsidTr="008F660B">
        <w:trPr>
          <w:jc w:val="center"/>
        </w:trPr>
        <w:tc>
          <w:tcPr>
            <w:tcW w:w="9209" w:type="dxa"/>
            <w:gridSpan w:val="3"/>
            <w:shd w:val="clear" w:color="auto" w:fill="D9D9D9" w:themeFill="background1" w:themeFillShade="D9"/>
          </w:tcPr>
          <w:p w14:paraId="4AD6CEA9" w14:textId="77777777" w:rsidR="00A441DB" w:rsidRPr="00EC07E2" w:rsidRDefault="00A441DB" w:rsidP="00A441DB">
            <w:pPr>
              <w:pStyle w:val="BodyText"/>
              <w:keepNext/>
              <w:spacing w:before="120" w:after="120"/>
              <w:rPr>
                <w:b/>
                <w:bCs/>
              </w:rPr>
            </w:pPr>
            <w:r w:rsidRPr="00EC07E2">
              <w:rPr>
                <w:b/>
                <w:bCs/>
              </w:rPr>
              <w:t>Term</w:t>
            </w:r>
          </w:p>
        </w:tc>
      </w:tr>
      <w:tr w:rsidR="00A441DB" w:rsidRPr="0006608D" w14:paraId="20243286" w14:textId="77777777" w:rsidTr="008F660B">
        <w:trPr>
          <w:jc w:val="center"/>
        </w:trPr>
        <w:tc>
          <w:tcPr>
            <w:tcW w:w="525" w:type="dxa"/>
          </w:tcPr>
          <w:p w14:paraId="2B93FB2A" w14:textId="77777777" w:rsidR="00A441DB" w:rsidRPr="0023535B" w:rsidRDefault="00A441DB" w:rsidP="00A441DB">
            <w:pPr>
              <w:pStyle w:val="BodyText"/>
              <w:numPr>
                <w:ilvl w:val="0"/>
                <w:numId w:val="47"/>
              </w:numPr>
              <w:spacing w:before="120" w:after="120"/>
            </w:pPr>
            <w:bookmarkStart w:id="50" w:name="_Ref172454921"/>
            <w:bookmarkStart w:id="51" w:name="_Hlk177036549"/>
          </w:p>
        </w:tc>
        <w:bookmarkEnd w:id="50"/>
        <w:tc>
          <w:tcPr>
            <w:tcW w:w="3651" w:type="dxa"/>
          </w:tcPr>
          <w:p w14:paraId="6717347A" w14:textId="77777777" w:rsidR="00A441DB" w:rsidRPr="0023535B" w:rsidRDefault="00A441DB" w:rsidP="00A441DB">
            <w:pPr>
              <w:pStyle w:val="BodyText"/>
              <w:spacing w:before="120" w:after="120"/>
            </w:pPr>
            <w:r w:rsidRPr="00792B2E">
              <w:t>Final Support Commencement Date</w:t>
            </w:r>
          </w:p>
        </w:tc>
        <w:tc>
          <w:tcPr>
            <w:tcW w:w="5033" w:type="dxa"/>
          </w:tcPr>
          <w:p w14:paraId="321D5624" w14:textId="5618AF8A" w:rsidR="00A441DB" w:rsidRDefault="00A441DB" w:rsidP="00A441DB">
            <w:pPr>
              <w:pStyle w:val="BodyText"/>
              <w:spacing w:before="120" w:after="120"/>
            </w:pPr>
            <w:r>
              <w:t xml:space="preserve"> </w:t>
            </w:r>
            <w:r w:rsidRPr="00792B2E">
              <w:t>[</w:t>
            </w:r>
            <w:r w:rsidRPr="008C2E11">
              <w:rPr>
                <w:highlight w:val="yellow"/>
              </w:rPr>
              <w:t>insert</w:t>
            </w:r>
            <w:r w:rsidRPr="008C2E11">
              <w:t>]</w:t>
            </w:r>
            <w:r>
              <w:t xml:space="preserve">. </w:t>
            </w:r>
          </w:p>
          <w:p w14:paraId="73D07BA4" w14:textId="7996E7BA" w:rsidR="00A441DB" w:rsidRPr="00C662B5" w:rsidRDefault="00A441DB" w:rsidP="00A441DB">
            <w:pPr>
              <w:pStyle w:val="BodyText"/>
              <w:spacing w:before="120" w:after="120"/>
            </w:pPr>
            <w:r>
              <w:t>[</w:t>
            </w:r>
            <w:r w:rsidRPr="008C2E11">
              <w:rPr>
                <w:b/>
                <w:bCs/>
                <w:i/>
                <w:iCs/>
                <w:highlight w:val="lightGray"/>
              </w:rPr>
              <w:t xml:space="preserve">Note: the date that is bid by the </w:t>
            </w:r>
            <w:r>
              <w:rPr>
                <w:b/>
                <w:bCs/>
                <w:i/>
                <w:iCs/>
                <w:highlight w:val="lightGray"/>
              </w:rPr>
              <w:t>P</w:t>
            </w:r>
            <w:r w:rsidRPr="008C2E11">
              <w:rPr>
                <w:b/>
                <w:bCs/>
                <w:i/>
                <w:iCs/>
                <w:highlight w:val="lightGray"/>
              </w:rPr>
              <w:t>roponent as the COD Sunset Date will be included as the Final Support Commencement Date. The Final Support Commencement Date is the last date by which Support must commence</w:t>
            </w:r>
            <w:r w:rsidRPr="00666ED4">
              <w:rPr>
                <w:b/>
                <w:bCs/>
                <w:i/>
                <w:iCs/>
                <w:highlight w:val="lightGray"/>
              </w:rPr>
              <w:t xml:space="preserve"> under this agreement and cannot be extended under this agreement</w:t>
            </w:r>
            <w:r>
              <w:rPr>
                <w:b/>
                <w:bCs/>
                <w:i/>
                <w:iCs/>
                <w:highlight w:val="lightGray"/>
              </w:rPr>
              <w:t xml:space="preserve"> (even if the COD Sunset Date is extended by reason of Force Majeure)</w:t>
            </w:r>
            <w:r w:rsidRPr="00666ED4">
              <w:rPr>
                <w:b/>
                <w:bCs/>
                <w:i/>
                <w:iCs/>
                <w:highlight w:val="lightGray"/>
              </w:rPr>
              <w:t xml:space="preserve">. The Support Period may commence prior to the making of Support Payments due to the lack of assignment of </w:t>
            </w:r>
            <w:r w:rsidR="005B7A0C">
              <w:rPr>
                <w:b/>
                <w:bCs/>
                <w:i/>
                <w:iCs/>
                <w:highlight w:val="lightGray"/>
              </w:rPr>
              <w:t xml:space="preserve">Peak </w:t>
            </w:r>
            <w:r w:rsidRPr="00666ED4">
              <w:rPr>
                <w:b/>
                <w:bCs/>
                <w:i/>
                <w:iCs/>
                <w:highlight w:val="lightGray"/>
              </w:rPr>
              <w:t xml:space="preserve">Capacity Credits or </w:t>
            </w:r>
            <w:r>
              <w:rPr>
                <w:b/>
                <w:bCs/>
                <w:i/>
                <w:iCs/>
                <w:highlight w:val="lightGray"/>
              </w:rPr>
              <w:t xml:space="preserve">the </w:t>
            </w:r>
            <w:r w:rsidRPr="00666ED4">
              <w:rPr>
                <w:b/>
                <w:bCs/>
                <w:i/>
                <w:iCs/>
                <w:highlight w:val="lightGray"/>
              </w:rPr>
              <w:t>non-achievement o</w:t>
            </w:r>
            <w:r w:rsidRPr="00666ED4">
              <w:rPr>
                <w:b/>
                <w:bCs/>
                <w:i/>
                <w:iCs/>
                <w:highlight w:val="lightGray"/>
                <w:shd w:val="clear" w:color="auto" w:fill="D9D9D9" w:themeFill="background1" w:themeFillShade="D9"/>
              </w:rPr>
              <w:t>f COD.</w:t>
            </w:r>
            <w:r w:rsidRPr="00332185">
              <w:rPr>
                <w:shd w:val="clear" w:color="auto" w:fill="D9D9D9" w:themeFill="background1" w:themeFillShade="D9"/>
              </w:rPr>
              <w:t>]</w:t>
            </w:r>
          </w:p>
        </w:tc>
      </w:tr>
      <w:tr w:rsidR="00A441DB" w:rsidRPr="0006608D" w14:paraId="4CB2E3D6" w14:textId="77777777" w:rsidTr="008F660B">
        <w:trPr>
          <w:jc w:val="center"/>
        </w:trPr>
        <w:tc>
          <w:tcPr>
            <w:tcW w:w="525" w:type="dxa"/>
          </w:tcPr>
          <w:p w14:paraId="27B30EC8" w14:textId="77777777" w:rsidR="00A441DB" w:rsidRPr="0023535B" w:rsidRDefault="00A441DB" w:rsidP="00A441DB">
            <w:pPr>
              <w:pStyle w:val="BodyText"/>
              <w:numPr>
                <w:ilvl w:val="0"/>
                <w:numId w:val="47"/>
              </w:numPr>
              <w:spacing w:before="120" w:after="120"/>
            </w:pPr>
            <w:bookmarkStart w:id="52" w:name="_Ref_ContractCompanion_9kb9Ur3DE"/>
            <w:bookmarkStart w:id="53" w:name="_Ref172455240"/>
            <w:bookmarkEnd w:id="51"/>
            <w:bookmarkEnd w:id="52"/>
          </w:p>
        </w:tc>
        <w:bookmarkEnd w:id="53"/>
        <w:tc>
          <w:tcPr>
            <w:tcW w:w="3651" w:type="dxa"/>
          </w:tcPr>
          <w:p w14:paraId="1B4AC8CE" w14:textId="77777777" w:rsidR="00A441DB" w:rsidRPr="0023535B" w:rsidRDefault="00A441DB" w:rsidP="00A441DB">
            <w:pPr>
              <w:pStyle w:val="BodyText"/>
              <w:spacing w:before="120" w:after="120"/>
            </w:pPr>
            <w:r w:rsidRPr="0023535B">
              <w:t>Final Support End Date</w:t>
            </w:r>
          </w:p>
        </w:tc>
        <w:tc>
          <w:tcPr>
            <w:tcW w:w="5033" w:type="dxa"/>
          </w:tcPr>
          <w:p w14:paraId="184C6F47" w14:textId="143EA699" w:rsidR="00A441DB" w:rsidRDefault="00A441DB" w:rsidP="00A441DB">
            <w:pPr>
              <w:pStyle w:val="BodyText"/>
              <w:spacing w:before="120" w:after="120"/>
            </w:pPr>
            <w:r>
              <w:rPr>
                <w:b/>
                <w:bCs/>
                <w:i/>
                <w:iCs/>
                <w:highlight w:val="lightGray"/>
              </w:rPr>
              <w:t>[Note: Proponents are not to manually insert these details – please refer to the Returnable Schedules.]</w:t>
            </w:r>
            <w:r>
              <w:t xml:space="preserve"> </w:t>
            </w:r>
          </w:p>
          <w:p w14:paraId="52C05DBA" w14:textId="66F3212B" w:rsidR="00A441DB" w:rsidRDefault="00A441DB" w:rsidP="00A441DB">
            <w:pPr>
              <w:pStyle w:val="BodyText"/>
              <w:spacing w:before="120" w:after="120"/>
            </w:pPr>
            <w:r w:rsidRPr="00792B2E">
              <w:t>The date that is [</w:t>
            </w:r>
            <w:r w:rsidRPr="00131021">
              <w:rPr>
                <w:highlight w:val="yellow"/>
              </w:rPr>
              <w:t>insert</w:t>
            </w:r>
            <w:r w:rsidRPr="00792B2E">
              <w:t>] years after the Support Start Date.</w:t>
            </w:r>
            <w:r>
              <w:t xml:space="preserve"> </w:t>
            </w:r>
          </w:p>
          <w:p w14:paraId="1F063884" w14:textId="42946A57" w:rsidR="00A441DB" w:rsidRDefault="00A441DB" w:rsidP="00A441DB">
            <w:pPr>
              <w:pStyle w:val="BodyText"/>
              <w:spacing w:after="120"/>
            </w:pPr>
            <w:r>
              <w:t>[</w:t>
            </w:r>
            <w:r w:rsidRPr="06AC912F">
              <w:rPr>
                <w:b/>
                <w:bCs/>
                <w:i/>
                <w:iCs/>
                <w:highlight w:val="lightGray"/>
              </w:rPr>
              <w:t>Note: the permitted value for this bid variable is up to a maximum of 15 years.</w:t>
            </w:r>
            <w:r>
              <w:t>]</w:t>
            </w:r>
          </w:p>
        </w:tc>
      </w:tr>
      <w:tr w:rsidR="00A441DB" w:rsidRPr="0006608D" w:rsidDel="00D04D5C" w14:paraId="4FA35A4C" w14:textId="77777777" w:rsidTr="008F660B">
        <w:trPr>
          <w:jc w:val="center"/>
        </w:trPr>
        <w:tc>
          <w:tcPr>
            <w:tcW w:w="9209" w:type="dxa"/>
            <w:gridSpan w:val="3"/>
            <w:shd w:val="clear" w:color="auto" w:fill="D9D9D9" w:themeFill="background1" w:themeFillShade="D9"/>
          </w:tcPr>
          <w:p w14:paraId="05DB7850" w14:textId="77777777" w:rsidR="00A441DB" w:rsidDel="00D04D5C" w:rsidRDefault="00A441DB" w:rsidP="00A441DB">
            <w:pPr>
              <w:pStyle w:val="BodyText"/>
              <w:spacing w:before="120" w:after="120"/>
            </w:pPr>
            <w:r w:rsidRPr="00C707E9">
              <w:rPr>
                <w:b/>
                <w:bCs/>
              </w:rPr>
              <w:t>Delivery dates</w:t>
            </w:r>
          </w:p>
        </w:tc>
      </w:tr>
      <w:tr w:rsidR="00A441DB" w:rsidRPr="0006608D" w:rsidDel="00D04D5C" w14:paraId="6B9F6368" w14:textId="77777777" w:rsidTr="00E56908">
        <w:trPr>
          <w:jc w:val="center"/>
        </w:trPr>
        <w:tc>
          <w:tcPr>
            <w:tcW w:w="525" w:type="dxa"/>
          </w:tcPr>
          <w:p w14:paraId="48CBE927" w14:textId="77777777" w:rsidR="00A441DB" w:rsidRPr="0006608D" w:rsidDel="00D04D5C" w:rsidRDefault="00A441DB" w:rsidP="00A441DB">
            <w:pPr>
              <w:pStyle w:val="BodyText"/>
              <w:numPr>
                <w:ilvl w:val="0"/>
                <w:numId w:val="47"/>
              </w:numPr>
              <w:spacing w:before="120" w:after="120"/>
            </w:pPr>
            <w:bookmarkStart w:id="54" w:name="_Ref159256658"/>
          </w:p>
        </w:tc>
        <w:bookmarkEnd w:id="54"/>
        <w:tc>
          <w:tcPr>
            <w:tcW w:w="3651" w:type="dxa"/>
          </w:tcPr>
          <w:p w14:paraId="51BC6B50" w14:textId="77777777" w:rsidR="00A441DB" w:rsidRPr="00E051C9" w:rsidDel="00E740A6" w:rsidRDefault="00A441DB" w:rsidP="00A441DB">
            <w:pPr>
              <w:pStyle w:val="BodyText"/>
              <w:spacing w:before="120" w:after="120"/>
            </w:pPr>
            <w:r>
              <w:t>Milestones and Milestone Dates</w:t>
            </w:r>
          </w:p>
        </w:tc>
        <w:tc>
          <w:tcPr>
            <w:tcW w:w="5033" w:type="dxa"/>
          </w:tcPr>
          <w:p w14:paraId="446DB65A" w14:textId="77777777" w:rsidR="00A441DB" w:rsidRDefault="00A441DB" w:rsidP="00A441DB">
            <w:pPr>
              <w:pStyle w:val="BodyText"/>
              <w:spacing w:after="0"/>
              <w:rPr>
                <w:highlight w:val="yellow"/>
              </w:rPr>
            </w:pPr>
          </w:p>
          <w:tbl>
            <w:tblPr>
              <w:tblStyle w:val="TableGrid"/>
              <w:tblW w:w="0" w:type="auto"/>
              <w:tblLayout w:type="fixed"/>
              <w:tblLook w:val="04A0" w:firstRow="1" w:lastRow="0" w:firstColumn="1" w:lastColumn="0" w:noHBand="0" w:noVBand="1"/>
            </w:tblPr>
            <w:tblGrid>
              <w:gridCol w:w="767"/>
              <w:gridCol w:w="3401"/>
              <w:gridCol w:w="1271"/>
            </w:tblGrid>
            <w:tr w:rsidR="00A441DB" w:rsidRPr="0086053F" w14:paraId="223ACD81" w14:textId="77777777" w:rsidTr="008F660B">
              <w:trPr>
                <w:trHeight w:val="300"/>
                <w:tblHeader/>
              </w:trPr>
              <w:tc>
                <w:tcPr>
                  <w:tcW w:w="767" w:type="dxa"/>
                  <w:tcBorders>
                    <w:top w:val="single" w:sz="4" w:space="0" w:color="auto"/>
                  </w:tcBorders>
                  <w:shd w:val="clear" w:color="auto" w:fill="D9D9D9" w:themeFill="background1" w:themeFillShade="D9"/>
                </w:tcPr>
                <w:p w14:paraId="3FF96FD0" w14:textId="0048DE0C" w:rsidR="00A441DB" w:rsidRPr="00EE66D6" w:rsidRDefault="00A441DB" w:rsidP="00A441DB">
                  <w:pPr>
                    <w:pStyle w:val="BodyText"/>
                    <w:spacing w:before="120" w:after="120"/>
                    <w:rPr>
                      <w:b/>
                    </w:rPr>
                  </w:pPr>
                  <w:r w:rsidRPr="00EE66D6">
                    <w:rPr>
                      <w:b/>
                    </w:rPr>
                    <w:t>No.</w:t>
                  </w:r>
                </w:p>
              </w:tc>
              <w:tc>
                <w:tcPr>
                  <w:tcW w:w="3401" w:type="dxa"/>
                  <w:tcBorders>
                    <w:top w:val="single" w:sz="4" w:space="0" w:color="auto"/>
                  </w:tcBorders>
                  <w:shd w:val="clear" w:color="auto" w:fill="D9D9D9" w:themeFill="background1" w:themeFillShade="D9"/>
                </w:tcPr>
                <w:p w14:paraId="5F436596" w14:textId="77777777" w:rsidR="00A441DB" w:rsidRPr="00E56557" w:rsidRDefault="00A441DB" w:rsidP="00A441DB">
                  <w:pPr>
                    <w:pStyle w:val="BodyText"/>
                    <w:spacing w:before="120" w:after="120"/>
                    <w:rPr>
                      <w:bCs/>
                    </w:rPr>
                  </w:pPr>
                  <w:r w:rsidRPr="00131021">
                    <w:rPr>
                      <w:b/>
                      <w:bCs/>
                    </w:rPr>
                    <w:t>Milestone</w:t>
                  </w:r>
                </w:p>
              </w:tc>
              <w:tc>
                <w:tcPr>
                  <w:tcW w:w="1271" w:type="dxa"/>
                  <w:tcBorders>
                    <w:top w:val="single" w:sz="4" w:space="0" w:color="auto"/>
                  </w:tcBorders>
                  <w:shd w:val="clear" w:color="auto" w:fill="D9D9D9" w:themeFill="background1" w:themeFillShade="D9"/>
                </w:tcPr>
                <w:p w14:paraId="379D2254" w14:textId="77777777" w:rsidR="00A441DB" w:rsidRPr="00E56557" w:rsidRDefault="00A441DB" w:rsidP="00A441DB">
                  <w:pPr>
                    <w:pStyle w:val="BodyText"/>
                    <w:spacing w:before="120" w:after="120"/>
                    <w:rPr>
                      <w:bCs/>
                    </w:rPr>
                  </w:pPr>
                  <w:r w:rsidRPr="00131021">
                    <w:rPr>
                      <w:b/>
                      <w:bCs/>
                    </w:rPr>
                    <w:t>Milestone Date</w:t>
                  </w:r>
                </w:p>
              </w:tc>
            </w:tr>
            <w:tr w:rsidR="00A441DB" w:rsidRPr="0086053F" w14:paraId="510175A3" w14:textId="77777777" w:rsidTr="008F660B">
              <w:trPr>
                <w:trHeight w:val="300"/>
              </w:trPr>
              <w:tc>
                <w:tcPr>
                  <w:tcW w:w="767" w:type="dxa"/>
                </w:tcPr>
                <w:p w14:paraId="44EA914C" w14:textId="758BC60A" w:rsidR="00A441DB" w:rsidRPr="00792B2E" w:rsidRDefault="00A441DB" w:rsidP="00A441DB">
                  <w:pPr>
                    <w:spacing w:before="120"/>
                    <w:jc w:val="center"/>
                  </w:pPr>
                  <w:r>
                    <w:t>1.</w:t>
                  </w:r>
                </w:p>
              </w:tc>
              <w:tc>
                <w:tcPr>
                  <w:tcW w:w="3401" w:type="dxa"/>
                </w:tcPr>
                <w:p w14:paraId="75D4FCBA" w14:textId="3532307C" w:rsidR="00A441DB" w:rsidRPr="00792B2E" w:rsidRDefault="00A441DB" w:rsidP="00A441DB">
                  <w:pPr>
                    <w:pStyle w:val="BodyText"/>
                    <w:spacing w:before="120" w:after="120"/>
                  </w:pPr>
                  <w:r w:rsidRPr="00792B2E">
                    <w:t>Project Operator securing all Tenure required for the Project.</w:t>
                  </w:r>
                </w:p>
              </w:tc>
              <w:tc>
                <w:tcPr>
                  <w:tcW w:w="1271" w:type="dxa"/>
                </w:tcPr>
                <w:p w14:paraId="06F06FE6" w14:textId="77777777" w:rsidR="00A441DB" w:rsidRPr="00F9089B" w:rsidRDefault="00A441DB" w:rsidP="00A441DB">
                  <w:pPr>
                    <w:pStyle w:val="BodyText"/>
                    <w:spacing w:before="120" w:after="120"/>
                  </w:pPr>
                  <w:r>
                    <w:t>[</w:t>
                  </w:r>
                  <w:r w:rsidRPr="06AC912F">
                    <w:rPr>
                      <w:i/>
                      <w:iCs/>
                      <w:highlight w:val="yellow"/>
                    </w:rPr>
                    <w:t>insert</w:t>
                  </w:r>
                  <w:r>
                    <w:t>]</w:t>
                  </w:r>
                </w:p>
              </w:tc>
            </w:tr>
            <w:tr w:rsidR="00A441DB" w:rsidRPr="0086053F" w14:paraId="7AE331E6" w14:textId="77777777" w:rsidTr="008F660B">
              <w:trPr>
                <w:trHeight w:val="300"/>
              </w:trPr>
              <w:tc>
                <w:tcPr>
                  <w:tcW w:w="767" w:type="dxa"/>
                </w:tcPr>
                <w:p w14:paraId="400AD910" w14:textId="66F89716" w:rsidR="00A441DB" w:rsidRPr="00792B2E" w:rsidRDefault="00A441DB" w:rsidP="00A441DB">
                  <w:pPr>
                    <w:spacing w:before="120"/>
                    <w:jc w:val="center"/>
                  </w:pPr>
                  <w:r>
                    <w:t>2.</w:t>
                  </w:r>
                </w:p>
              </w:tc>
              <w:tc>
                <w:tcPr>
                  <w:tcW w:w="3401" w:type="dxa"/>
                </w:tcPr>
                <w:p w14:paraId="7B361566" w14:textId="757C72CB" w:rsidR="00A441DB" w:rsidRPr="00792B2E" w:rsidRDefault="00A441DB" w:rsidP="00A441DB">
                  <w:pPr>
                    <w:pStyle w:val="BodyText"/>
                    <w:spacing w:before="120" w:after="120"/>
                  </w:pPr>
                  <w:r w:rsidRPr="00792B2E">
                    <w:t xml:space="preserve">Project Operator obtaining all Tier 1 Planning Approvals for the Project </w:t>
                  </w:r>
                  <w:r>
                    <w:t>that</w:t>
                  </w:r>
                  <w:r w:rsidRPr="00792B2E">
                    <w:t xml:space="preserve"> are required to commence works.</w:t>
                  </w:r>
                </w:p>
              </w:tc>
              <w:tc>
                <w:tcPr>
                  <w:tcW w:w="1271" w:type="dxa"/>
                </w:tcPr>
                <w:p w14:paraId="64DFDB0B" w14:textId="77777777" w:rsidR="00A441DB" w:rsidRPr="00F9089B" w:rsidRDefault="00A441DB" w:rsidP="00A441DB">
                  <w:pPr>
                    <w:pStyle w:val="BodyText"/>
                    <w:spacing w:before="120" w:after="120"/>
                  </w:pPr>
                  <w:r>
                    <w:t>[</w:t>
                  </w:r>
                  <w:r w:rsidRPr="06AC912F">
                    <w:rPr>
                      <w:i/>
                      <w:iCs/>
                      <w:highlight w:val="yellow"/>
                    </w:rPr>
                    <w:t>insert</w:t>
                  </w:r>
                  <w:r>
                    <w:t>]</w:t>
                  </w:r>
                </w:p>
              </w:tc>
            </w:tr>
            <w:tr w:rsidR="00A441DB" w:rsidRPr="0086053F" w14:paraId="1F04F1C1" w14:textId="77777777" w:rsidTr="008F660B">
              <w:trPr>
                <w:trHeight w:val="300"/>
              </w:trPr>
              <w:tc>
                <w:tcPr>
                  <w:tcW w:w="767" w:type="dxa"/>
                </w:tcPr>
                <w:p w14:paraId="78FE3CE3" w14:textId="1D594C45" w:rsidR="00A441DB" w:rsidRPr="00792B2E" w:rsidRDefault="00A441DB" w:rsidP="00A441DB">
                  <w:pPr>
                    <w:spacing w:before="120"/>
                    <w:jc w:val="center"/>
                  </w:pPr>
                  <w:r>
                    <w:t>3.</w:t>
                  </w:r>
                </w:p>
              </w:tc>
              <w:tc>
                <w:tcPr>
                  <w:tcW w:w="3401" w:type="dxa"/>
                </w:tcPr>
                <w:p w14:paraId="32D42FAF" w14:textId="059CEE08" w:rsidR="006414FC" w:rsidRDefault="00A441DB" w:rsidP="004E072A">
                  <w:pPr>
                    <w:pStyle w:val="BodyText"/>
                    <w:spacing w:before="120" w:after="120"/>
                  </w:pPr>
                  <w:r>
                    <w:t xml:space="preserve">If applicable (in accordance with Chapter 3A of the ESM Rules), Project Operator being issued with an </w:t>
                  </w:r>
                  <w:r w:rsidRPr="0021710E">
                    <w:t>Approval to Generate Notification</w:t>
                  </w:r>
                  <w:r>
                    <w:t xml:space="preserve"> (as defined in the ESM Rules) in respect of the Project</w:t>
                  </w:r>
                  <w:r w:rsidR="00D37016">
                    <w:t>.</w:t>
                  </w:r>
                </w:p>
                <w:p w14:paraId="4C72C5E1" w14:textId="18C36A3D" w:rsidR="00D37016" w:rsidRPr="004E072A" w:rsidRDefault="00D37016" w:rsidP="00A441DB">
                  <w:pPr>
                    <w:pStyle w:val="BodyText"/>
                    <w:spacing w:before="120" w:after="120"/>
                  </w:pPr>
                  <w:r>
                    <w:t>[</w:t>
                  </w:r>
                  <w:r w:rsidRPr="008F660B">
                    <w:rPr>
                      <w:b/>
                      <w:bCs/>
                      <w:i/>
                      <w:iCs/>
                      <w:highlight w:val="lightGray"/>
                    </w:rPr>
                    <w:t>Note</w:t>
                  </w:r>
                  <w:r w:rsidRPr="004E072A">
                    <w:rPr>
                      <w:b/>
                      <w:bCs/>
                      <w:i/>
                      <w:iCs/>
                      <w:highlight w:val="lightGray"/>
                    </w:rPr>
                    <w:t xml:space="preserve"> for Stag</w:t>
                  </w:r>
                  <w:r w:rsidRPr="002326BB">
                    <w:rPr>
                      <w:b/>
                      <w:bCs/>
                      <w:i/>
                      <w:iCs/>
                      <w:highlight w:val="lightGray"/>
                    </w:rPr>
                    <w:t>ed Project</w:t>
                  </w:r>
                  <w:r>
                    <w:rPr>
                      <w:b/>
                      <w:bCs/>
                      <w:i/>
                      <w:iCs/>
                      <w:highlight w:val="lightGray"/>
                    </w:rPr>
                    <w:t>s (to remain in final CISA)</w:t>
                  </w:r>
                  <w:r w:rsidRPr="008F660B">
                    <w:rPr>
                      <w:b/>
                      <w:bCs/>
                      <w:i/>
                      <w:iCs/>
                      <w:highlight w:val="lightGray"/>
                    </w:rPr>
                    <w:t xml:space="preserve">: In accordance with clause 7.1(f), the Staged Project is required to be classified as one </w:t>
                  </w:r>
                  <w:r w:rsidR="00C826C7">
                    <w:rPr>
                      <w:b/>
                      <w:bCs/>
                      <w:i/>
                      <w:iCs/>
                      <w:highlight w:val="lightGray"/>
                    </w:rPr>
                    <w:t>[</w:t>
                  </w:r>
                  <w:r w:rsidRPr="008F660B">
                    <w:rPr>
                      <w:b/>
                      <w:bCs/>
                      <w:i/>
                      <w:iCs/>
                      <w:highlight w:val="lightGray"/>
                    </w:rPr>
                    <w:t>“Scheduled Facility”</w:t>
                  </w:r>
                  <w:r w:rsidR="00C826C7">
                    <w:rPr>
                      <w:b/>
                      <w:bCs/>
                      <w:i/>
                      <w:iCs/>
                      <w:highlight w:val="lightGray"/>
                    </w:rPr>
                    <w:t>]</w:t>
                  </w:r>
                  <w:r w:rsidRPr="008F660B">
                    <w:rPr>
                      <w:b/>
                      <w:bCs/>
                      <w:i/>
                      <w:iCs/>
                      <w:highlight w:val="lightGray"/>
                    </w:rPr>
                    <w:t xml:space="preserve"> or </w:t>
                  </w:r>
                  <w:r w:rsidR="00C826C7">
                    <w:rPr>
                      <w:b/>
                      <w:bCs/>
                      <w:i/>
                      <w:iCs/>
                      <w:highlight w:val="lightGray"/>
                    </w:rPr>
                    <w:t>[</w:t>
                  </w:r>
                  <w:r w:rsidRPr="008F660B">
                    <w:rPr>
                      <w:b/>
                      <w:bCs/>
                      <w:i/>
                      <w:iCs/>
                      <w:highlight w:val="lightGray"/>
                    </w:rPr>
                    <w:t>“Semi-Scheduled Facility”</w:t>
                  </w:r>
                  <w:r w:rsidR="00C826C7">
                    <w:rPr>
                      <w:b/>
                      <w:bCs/>
                      <w:i/>
                      <w:iCs/>
                      <w:highlight w:val="lightGray"/>
                    </w:rPr>
                    <w:t>]</w:t>
                  </w:r>
                  <w:r w:rsidRPr="008F660B">
                    <w:rPr>
                      <w:b/>
                      <w:bCs/>
                      <w:i/>
                      <w:iCs/>
                      <w:highlight w:val="lightGray"/>
                    </w:rPr>
                    <w:t>, as defined in the ESM Rules.</w:t>
                  </w:r>
                  <w:r>
                    <w:t>]</w:t>
                  </w:r>
                </w:p>
              </w:tc>
              <w:tc>
                <w:tcPr>
                  <w:tcW w:w="1271" w:type="dxa"/>
                </w:tcPr>
                <w:p w14:paraId="6A1E147D" w14:textId="77777777" w:rsidR="00A441DB" w:rsidRDefault="00A441DB" w:rsidP="00A441DB">
                  <w:pPr>
                    <w:pStyle w:val="BodyText"/>
                    <w:spacing w:before="120" w:after="120"/>
                  </w:pPr>
                  <w:r>
                    <w:t>[</w:t>
                  </w:r>
                  <w:r w:rsidRPr="06AC912F">
                    <w:rPr>
                      <w:i/>
                      <w:iCs/>
                      <w:highlight w:val="yellow"/>
                    </w:rPr>
                    <w:t>insert</w:t>
                  </w:r>
                  <w:r>
                    <w:t>]</w:t>
                  </w:r>
                </w:p>
              </w:tc>
            </w:tr>
            <w:tr w:rsidR="00A441DB" w:rsidRPr="0086053F" w14:paraId="262585B0" w14:textId="77777777" w:rsidTr="008F660B">
              <w:trPr>
                <w:trHeight w:val="300"/>
              </w:trPr>
              <w:tc>
                <w:tcPr>
                  <w:tcW w:w="767" w:type="dxa"/>
                </w:tcPr>
                <w:p w14:paraId="1BBB33A3" w14:textId="1FD3276D" w:rsidR="00A441DB" w:rsidRPr="00792B2E" w:rsidRDefault="00A441DB" w:rsidP="00A441DB">
                  <w:pPr>
                    <w:spacing w:before="120"/>
                    <w:jc w:val="center"/>
                  </w:pPr>
                  <w:r>
                    <w:t>4.</w:t>
                  </w:r>
                </w:p>
              </w:tc>
              <w:tc>
                <w:tcPr>
                  <w:tcW w:w="3401" w:type="dxa"/>
                </w:tcPr>
                <w:p w14:paraId="77B8A25E" w14:textId="77E828F4" w:rsidR="00A441DB" w:rsidRPr="008E4A1B" w:rsidRDefault="00A441DB" w:rsidP="00A441DB">
                  <w:pPr>
                    <w:pStyle w:val="BodyText"/>
                    <w:spacing w:before="120" w:after="120"/>
                    <w:rPr>
                      <w:highlight w:val="green"/>
                    </w:rPr>
                  </w:pPr>
                  <w:r w:rsidRPr="000A07AA">
                    <w:t xml:space="preserve">Project Operator obtaining an offer to connect (on terms acceptable to Project Operator) from </w:t>
                  </w:r>
                  <w:r>
                    <w:t xml:space="preserve">Western Power </w:t>
                  </w:r>
                  <w:r w:rsidRPr="000A07AA">
                    <w:t>in respect of the Project.</w:t>
                  </w:r>
                </w:p>
              </w:tc>
              <w:tc>
                <w:tcPr>
                  <w:tcW w:w="1271" w:type="dxa"/>
                </w:tcPr>
                <w:p w14:paraId="0139EC29" w14:textId="77777777" w:rsidR="00A441DB" w:rsidRPr="00F9089B" w:rsidRDefault="00A441DB" w:rsidP="00A441DB">
                  <w:pPr>
                    <w:pStyle w:val="BodyText"/>
                    <w:spacing w:before="120" w:after="120"/>
                  </w:pPr>
                  <w:r>
                    <w:t>[</w:t>
                  </w:r>
                  <w:r w:rsidRPr="06AC912F">
                    <w:rPr>
                      <w:i/>
                      <w:iCs/>
                      <w:highlight w:val="yellow"/>
                    </w:rPr>
                    <w:t>insert</w:t>
                  </w:r>
                  <w:r>
                    <w:t>]</w:t>
                  </w:r>
                </w:p>
              </w:tc>
            </w:tr>
            <w:tr w:rsidR="00A441DB" w:rsidRPr="0086053F" w14:paraId="13284327" w14:textId="77777777" w:rsidTr="008F660B">
              <w:trPr>
                <w:trHeight w:val="300"/>
              </w:trPr>
              <w:tc>
                <w:tcPr>
                  <w:tcW w:w="767" w:type="dxa"/>
                </w:tcPr>
                <w:p w14:paraId="08866B89" w14:textId="6142E62E" w:rsidR="00A441DB" w:rsidRPr="00792B2E" w:rsidRDefault="00A441DB" w:rsidP="00A441DB">
                  <w:pPr>
                    <w:spacing w:before="120"/>
                    <w:jc w:val="center"/>
                  </w:pPr>
                  <w:bookmarkStart w:id="55" w:name="_Ref167912735"/>
                  <w:r>
                    <w:t>5.</w:t>
                  </w:r>
                </w:p>
              </w:tc>
              <w:bookmarkEnd w:id="55"/>
              <w:tc>
                <w:tcPr>
                  <w:tcW w:w="3401" w:type="dxa"/>
                </w:tcPr>
                <w:p w14:paraId="27D82766" w14:textId="4CEEFCF9" w:rsidR="00A441DB" w:rsidRPr="00792B2E" w:rsidRDefault="00A441DB" w:rsidP="00A441DB">
                  <w:pPr>
                    <w:pStyle w:val="BodyText"/>
                    <w:spacing w:before="120" w:after="120"/>
                  </w:pPr>
                  <w:r w:rsidRPr="00792B2E">
                    <w:t>Project Operator achieving Financial Close in respect of the Project.</w:t>
                  </w:r>
                </w:p>
              </w:tc>
              <w:tc>
                <w:tcPr>
                  <w:tcW w:w="1271" w:type="dxa"/>
                </w:tcPr>
                <w:p w14:paraId="2A6C2DDD" w14:textId="77777777" w:rsidR="00A441DB" w:rsidRPr="00F9089B" w:rsidRDefault="00A441DB" w:rsidP="00A441DB">
                  <w:pPr>
                    <w:pStyle w:val="BodyText"/>
                    <w:spacing w:before="120" w:after="120"/>
                  </w:pPr>
                  <w:r>
                    <w:t>[</w:t>
                  </w:r>
                  <w:r w:rsidRPr="06AC912F">
                    <w:rPr>
                      <w:i/>
                      <w:iCs/>
                      <w:highlight w:val="yellow"/>
                    </w:rPr>
                    <w:t>insert</w:t>
                  </w:r>
                  <w:r>
                    <w:t>]</w:t>
                  </w:r>
                </w:p>
              </w:tc>
            </w:tr>
          </w:tbl>
          <w:p w14:paraId="0AA4F26B" w14:textId="3386B319" w:rsidR="00A441DB" w:rsidRDefault="00A441DB" w:rsidP="00A441DB">
            <w:pPr>
              <w:pStyle w:val="BodyText"/>
              <w:spacing w:before="240" w:after="120"/>
            </w:pPr>
            <w:r>
              <w:t>A</w:t>
            </w:r>
            <w:r w:rsidRPr="00A93584">
              <w:t xml:space="preserve"> Milestone Date may be extended under clause</w:t>
            </w:r>
            <w:r>
              <w:t xml:space="preserve">s </w:t>
            </w:r>
            <w:r>
              <w:fldChar w:fldCharType="begin"/>
            </w:r>
            <w:r>
              <w:instrText xml:space="preserve"> REF _Ref165020408 \w \h </w:instrText>
            </w:r>
            <w:r>
              <w:fldChar w:fldCharType="separate"/>
            </w:r>
            <w:r w:rsidR="002E5C6A">
              <w:t>5.2</w:t>
            </w:r>
            <w:r>
              <w:fldChar w:fldCharType="end"/>
            </w:r>
            <w:r>
              <w:t xml:space="preserve"> (“</w:t>
            </w:r>
            <w:r>
              <w:fldChar w:fldCharType="begin"/>
            </w:r>
            <w:r>
              <w:instrText xml:space="preserve">  REF _Ref165020408 \h </w:instrText>
            </w:r>
            <w:r>
              <w:fldChar w:fldCharType="separate"/>
            </w:r>
            <w:r w:rsidR="002E5C6A">
              <w:t>Extension for Force Majeure Events prior to Financial Close</w:t>
            </w:r>
            <w:r>
              <w:fldChar w:fldCharType="end"/>
            </w:r>
            <w:r>
              <w:t xml:space="preserve">”) and </w:t>
            </w:r>
            <w:r>
              <w:fldChar w:fldCharType="begin"/>
            </w:r>
            <w:r>
              <w:instrText xml:space="preserve"> REF _Ref103281885 \w \h  \* MERGEFORMAT </w:instrText>
            </w:r>
            <w:r>
              <w:fldChar w:fldCharType="separate"/>
            </w:r>
            <w:r w:rsidR="002E5C6A">
              <w:t>5.3</w:t>
            </w:r>
            <w:r>
              <w:fldChar w:fldCharType="end"/>
            </w:r>
            <w:r>
              <w:t xml:space="preserve"> (“</w:t>
            </w:r>
            <w:r>
              <w:fldChar w:fldCharType="begin"/>
            </w:r>
            <w:r>
              <w:instrText xml:space="preserve">  REF _Ref103281885 \h  \* MERGEFORMAT </w:instrText>
            </w:r>
            <w:r>
              <w:fldChar w:fldCharType="separate"/>
            </w:r>
            <w:r w:rsidR="002E5C6A">
              <w:t>Milestone Cure Plan other than for Force Majeure Event</w:t>
            </w:r>
            <w:r>
              <w:fldChar w:fldCharType="end"/>
            </w:r>
            <w:r>
              <w:t>”)</w:t>
            </w:r>
            <w:r w:rsidRPr="00A93584">
              <w:t>.</w:t>
            </w:r>
          </w:p>
          <w:p w14:paraId="74F4BA63" w14:textId="622164EE" w:rsidR="00A441DB" w:rsidRPr="00C11B2D" w:rsidDel="00D04D5C" w:rsidRDefault="00A441DB" w:rsidP="00A441DB">
            <w:pPr>
              <w:pStyle w:val="BodyText"/>
              <w:spacing w:before="120" w:after="120"/>
            </w:pPr>
            <w:r>
              <w:t>[</w:t>
            </w:r>
            <w:r w:rsidRPr="004D3942">
              <w:rPr>
                <w:b/>
                <w:bCs/>
                <w:i/>
                <w:iCs/>
                <w:highlight w:val="lightGray"/>
              </w:rPr>
              <w:t>Note: Milestone Dates (as may be extended) are the dates by which the corresponding Milestone must be achieved, failing which the Commonwealth is entitled to terminate this agreement. The initial Milestone Dates are bid variables.</w:t>
            </w:r>
            <w:r w:rsidRPr="00745112">
              <w:t>]</w:t>
            </w:r>
          </w:p>
        </w:tc>
      </w:tr>
      <w:tr w:rsidR="00A441DB" w:rsidRPr="0006608D" w:rsidDel="00D04D5C" w14:paraId="59E81C37" w14:textId="77777777" w:rsidTr="00E56908">
        <w:trPr>
          <w:jc w:val="center"/>
        </w:trPr>
        <w:tc>
          <w:tcPr>
            <w:tcW w:w="525" w:type="dxa"/>
          </w:tcPr>
          <w:p w14:paraId="5CB5838B" w14:textId="77777777" w:rsidR="00A441DB" w:rsidRPr="0006608D" w:rsidDel="00D04D5C" w:rsidRDefault="00A441DB" w:rsidP="00A441DB">
            <w:pPr>
              <w:pStyle w:val="BodyText"/>
              <w:numPr>
                <w:ilvl w:val="0"/>
                <w:numId w:val="47"/>
              </w:numPr>
              <w:spacing w:before="120" w:after="120"/>
            </w:pPr>
            <w:bookmarkStart w:id="56" w:name="_Ref159415173"/>
          </w:p>
        </w:tc>
        <w:bookmarkEnd w:id="56"/>
        <w:tc>
          <w:tcPr>
            <w:tcW w:w="3651" w:type="dxa"/>
          </w:tcPr>
          <w:p w14:paraId="3A844197" w14:textId="77777777" w:rsidR="00A441DB" w:rsidRPr="00E051C9" w:rsidDel="00E740A6" w:rsidRDefault="00A441DB" w:rsidP="00A441DB">
            <w:pPr>
              <w:pStyle w:val="BodyText"/>
              <w:spacing w:before="120" w:after="120"/>
            </w:pPr>
            <w:r>
              <w:t>FC Sunset Date</w:t>
            </w:r>
          </w:p>
        </w:tc>
        <w:tc>
          <w:tcPr>
            <w:tcW w:w="5033" w:type="dxa"/>
          </w:tcPr>
          <w:p w14:paraId="7ED50C60" w14:textId="517D069B" w:rsidR="00A441DB" w:rsidRDefault="00A441DB" w:rsidP="00A441DB">
            <w:pPr>
              <w:pStyle w:val="BodyText"/>
              <w:spacing w:before="120" w:after="120"/>
            </w:pPr>
            <w:r>
              <w:t xml:space="preserve">The Milestone Date for Milestone 5 set out in item </w:t>
            </w:r>
            <w:r>
              <w:fldChar w:fldCharType="begin"/>
            </w:r>
            <w:r>
              <w:instrText xml:space="preserve"> REF _Ref159256658 \w \h </w:instrText>
            </w:r>
            <w:r>
              <w:fldChar w:fldCharType="separate"/>
            </w:r>
            <w:r w:rsidR="002E5C6A">
              <w:t>21</w:t>
            </w:r>
            <w:r>
              <w:fldChar w:fldCharType="end"/>
            </w:r>
            <w:r>
              <w:t xml:space="preserve"> of the Reference Details, as may be extended under clauses </w:t>
            </w:r>
            <w:r>
              <w:fldChar w:fldCharType="begin"/>
            </w:r>
            <w:r>
              <w:instrText xml:space="preserve"> REF _Ref165020408 \w \h </w:instrText>
            </w:r>
            <w:r>
              <w:fldChar w:fldCharType="separate"/>
            </w:r>
            <w:r w:rsidR="002E5C6A">
              <w:t>5.2</w:t>
            </w:r>
            <w:r>
              <w:fldChar w:fldCharType="end"/>
            </w:r>
            <w:r>
              <w:t xml:space="preserve"> (“</w:t>
            </w:r>
            <w:r>
              <w:fldChar w:fldCharType="begin"/>
            </w:r>
            <w:r>
              <w:instrText xml:space="preserve">  REF _Ref165020408 \h </w:instrText>
            </w:r>
            <w:r>
              <w:fldChar w:fldCharType="separate"/>
            </w:r>
            <w:r w:rsidR="002E5C6A">
              <w:t>Extension for Force Majeure Events prior to Financial Close</w:t>
            </w:r>
            <w:r>
              <w:fldChar w:fldCharType="end"/>
            </w:r>
            <w:r>
              <w:t xml:space="preserve">”) and </w:t>
            </w:r>
            <w:r>
              <w:fldChar w:fldCharType="begin"/>
            </w:r>
            <w:r>
              <w:instrText xml:space="preserve"> REF _Ref103281885 \w \h </w:instrText>
            </w:r>
            <w:r>
              <w:fldChar w:fldCharType="separate"/>
            </w:r>
            <w:r w:rsidR="002E5C6A">
              <w:t>5.3</w:t>
            </w:r>
            <w:r>
              <w:fldChar w:fldCharType="end"/>
            </w:r>
            <w:r>
              <w:t xml:space="preserve"> (“</w:t>
            </w:r>
            <w:r>
              <w:fldChar w:fldCharType="begin"/>
            </w:r>
            <w:r>
              <w:instrText xml:space="preserve">  REF _Ref103281885 \h </w:instrText>
            </w:r>
            <w:r>
              <w:fldChar w:fldCharType="separate"/>
            </w:r>
            <w:r w:rsidR="002E5C6A">
              <w:t>Milestone Cure Plan other than for Force Majeure Event</w:t>
            </w:r>
            <w:r>
              <w:fldChar w:fldCharType="end"/>
            </w:r>
            <w:r>
              <w:t>”).</w:t>
            </w:r>
          </w:p>
          <w:p w14:paraId="4E48CCDD" w14:textId="1621ED71" w:rsidR="00A441DB" w:rsidDel="00D04D5C" w:rsidRDefault="00A441DB" w:rsidP="00A441DB">
            <w:pPr>
              <w:pStyle w:val="BodyText"/>
              <w:spacing w:before="120" w:after="120"/>
            </w:pPr>
            <w:r w:rsidRPr="00AD4EA6">
              <w:rPr>
                <w:rFonts w:eastAsia="Arial"/>
                <w:shd w:val="clear" w:color="auto" w:fill="FFFFFF" w:themeFill="background1"/>
              </w:rPr>
              <w:t>[</w:t>
            </w:r>
            <w:r w:rsidRPr="009E2AE6">
              <w:rPr>
                <w:rFonts w:eastAsia="Arial"/>
                <w:b/>
                <w:bCs/>
                <w:i/>
                <w:iCs/>
                <w:shd w:val="clear" w:color="auto" w:fill="D9D9D9" w:themeFill="background1" w:themeFillShade="D9"/>
              </w:rPr>
              <w:t>Note: the FC Sunset Date is the Milestone Date for Financial Close. If Project Operator fails to achieve Financial Close by the FC Sunset Date (as may be extended</w:t>
            </w:r>
            <w:r>
              <w:rPr>
                <w:rFonts w:eastAsia="Arial"/>
                <w:b/>
                <w:bCs/>
                <w:i/>
                <w:iCs/>
                <w:shd w:val="clear" w:color="auto" w:fill="D9D9D9" w:themeFill="background1" w:themeFillShade="D9"/>
              </w:rPr>
              <w:t xml:space="preserve"> with approval of the Commonwealth</w:t>
            </w:r>
            <w:r w:rsidRPr="009E2AE6">
              <w:rPr>
                <w:rFonts w:eastAsia="Arial"/>
                <w:b/>
                <w:bCs/>
                <w:i/>
                <w:iCs/>
                <w:shd w:val="clear" w:color="auto" w:fill="D9D9D9" w:themeFill="background1" w:themeFillShade="D9"/>
              </w:rPr>
              <w:t xml:space="preserve">), then, in addition to the general consequences under clause </w:t>
            </w:r>
            <w:r>
              <w:rPr>
                <w:rFonts w:eastAsia="Arial"/>
                <w:b/>
                <w:bCs/>
                <w:i/>
                <w:iCs/>
                <w:shd w:val="clear" w:color="auto" w:fill="D9D9D9" w:themeFill="background1" w:themeFillShade="D9"/>
              </w:rPr>
              <w:fldChar w:fldCharType="begin"/>
            </w:r>
            <w:r>
              <w:rPr>
                <w:rFonts w:eastAsia="Arial"/>
                <w:b/>
                <w:bCs/>
                <w:i/>
                <w:iCs/>
                <w:shd w:val="clear" w:color="auto" w:fill="D9D9D9" w:themeFill="background1" w:themeFillShade="D9"/>
              </w:rPr>
              <w:instrText xml:space="preserve"> REF _Ref103540128 \r \h </w:instrText>
            </w:r>
            <w:r>
              <w:rPr>
                <w:rFonts w:eastAsia="Arial"/>
                <w:b/>
                <w:bCs/>
                <w:i/>
                <w:iCs/>
                <w:shd w:val="clear" w:color="auto" w:fill="D9D9D9" w:themeFill="background1" w:themeFillShade="D9"/>
              </w:rPr>
            </w:r>
            <w:r>
              <w:rPr>
                <w:rFonts w:eastAsia="Arial"/>
                <w:b/>
                <w:bCs/>
                <w:i/>
                <w:iCs/>
                <w:shd w:val="clear" w:color="auto" w:fill="D9D9D9" w:themeFill="background1" w:themeFillShade="D9"/>
              </w:rPr>
              <w:fldChar w:fldCharType="separate"/>
            </w:r>
            <w:r w:rsidR="002E5C6A">
              <w:rPr>
                <w:rFonts w:eastAsia="Arial"/>
                <w:b/>
                <w:bCs/>
                <w:i/>
                <w:iCs/>
                <w:shd w:val="clear" w:color="auto" w:fill="D9D9D9" w:themeFill="background1" w:themeFillShade="D9"/>
              </w:rPr>
              <w:t>5.4</w:t>
            </w:r>
            <w:r>
              <w:rPr>
                <w:rFonts w:eastAsia="Arial"/>
                <w:b/>
                <w:bCs/>
                <w:i/>
                <w:iCs/>
                <w:shd w:val="clear" w:color="auto" w:fill="D9D9D9" w:themeFill="background1" w:themeFillShade="D9"/>
              </w:rPr>
              <w:fldChar w:fldCharType="end"/>
            </w:r>
            <w:r>
              <w:rPr>
                <w:rFonts w:eastAsia="Arial"/>
                <w:b/>
                <w:bCs/>
                <w:i/>
                <w:iCs/>
                <w:shd w:val="clear" w:color="auto" w:fill="D9D9D9" w:themeFill="background1" w:themeFillShade="D9"/>
              </w:rPr>
              <w:t xml:space="preserve"> </w:t>
            </w:r>
            <w:r w:rsidRPr="009E2AE6">
              <w:rPr>
                <w:rFonts w:eastAsia="Arial"/>
                <w:b/>
                <w:bCs/>
                <w:i/>
                <w:iCs/>
                <w:shd w:val="clear" w:color="auto" w:fill="D9D9D9" w:themeFill="background1" w:themeFillShade="D9"/>
              </w:rPr>
              <w:t xml:space="preserve">that arise as a result of failing to achieve a Milestone by the Milestone Date, the specific automatic termination regime in </w:t>
            </w:r>
            <w:r>
              <w:rPr>
                <w:rFonts w:eastAsia="Arial"/>
                <w:b/>
                <w:bCs/>
                <w:i/>
                <w:iCs/>
                <w:shd w:val="clear" w:color="auto" w:fill="D9D9D9" w:themeFill="background1" w:themeFillShade="D9"/>
              </w:rPr>
              <w:t xml:space="preserve">section 5.5 of Schedule 6 </w:t>
            </w:r>
            <w:r w:rsidRPr="009E2AE6">
              <w:rPr>
                <w:rFonts w:eastAsia="Arial"/>
                <w:b/>
                <w:bCs/>
                <w:i/>
                <w:iCs/>
                <w:shd w:val="clear" w:color="auto" w:fill="D9D9D9" w:themeFill="background1" w:themeFillShade="D9"/>
              </w:rPr>
              <w:t>is enlivened such that</w:t>
            </w:r>
            <w:r>
              <w:rPr>
                <w:rFonts w:eastAsia="Arial"/>
                <w:b/>
                <w:bCs/>
                <w:i/>
                <w:iCs/>
                <w:shd w:val="clear" w:color="auto" w:fill="D9D9D9" w:themeFill="background1" w:themeFillShade="D9"/>
              </w:rPr>
              <w:t>,</w:t>
            </w:r>
            <w:r w:rsidRPr="009E2AE6">
              <w:rPr>
                <w:rFonts w:eastAsia="Arial"/>
                <w:b/>
                <w:bCs/>
                <w:i/>
                <w:iCs/>
                <w:shd w:val="clear" w:color="auto" w:fill="D9D9D9" w:themeFill="background1" w:themeFillShade="D9"/>
              </w:rPr>
              <w:t xml:space="preserve"> if Financial Close is not achieved within 40 Business Days after the FC Sunset Date, this agreement </w:t>
            </w:r>
            <w:r>
              <w:rPr>
                <w:rFonts w:eastAsia="Arial"/>
                <w:b/>
                <w:bCs/>
                <w:i/>
                <w:iCs/>
                <w:shd w:val="clear" w:color="auto" w:fill="D9D9D9" w:themeFill="background1" w:themeFillShade="D9"/>
              </w:rPr>
              <w:t xml:space="preserve">is </w:t>
            </w:r>
            <w:r w:rsidRPr="009E2AE6">
              <w:rPr>
                <w:rFonts w:eastAsia="Arial"/>
                <w:b/>
                <w:bCs/>
                <w:i/>
                <w:iCs/>
                <w:shd w:val="clear" w:color="auto" w:fill="D9D9D9" w:themeFill="background1" w:themeFillShade="D9"/>
              </w:rPr>
              <w:t>automatically terminate</w:t>
            </w:r>
            <w:r>
              <w:rPr>
                <w:rFonts w:eastAsia="Arial"/>
                <w:b/>
                <w:bCs/>
                <w:i/>
                <w:iCs/>
                <w:shd w:val="clear" w:color="auto" w:fill="D9D9D9" w:themeFill="background1" w:themeFillShade="D9"/>
              </w:rPr>
              <w:t>d</w:t>
            </w:r>
            <w:r w:rsidRPr="009E2AE6">
              <w:rPr>
                <w:rFonts w:eastAsia="Arial"/>
                <w:b/>
                <w:bCs/>
                <w:i/>
                <w:iCs/>
                <w:shd w:val="clear" w:color="auto" w:fill="D9D9D9" w:themeFill="background1" w:themeFillShade="D9"/>
              </w:rPr>
              <w:t xml:space="preserve"> unless the Commonwealth extends that 40</w:t>
            </w:r>
            <w:r>
              <w:rPr>
                <w:rFonts w:eastAsia="Arial"/>
                <w:b/>
                <w:bCs/>
                <w:i/>
                <w:iCs/>
                <w:shd w:val="clear" w:color="auto" w:fill="D9D9D9" w:themeFill="background1" w:themeFillShade="D9"/>
              </w:rPr>
              <w:t> </w:t>
            </w:r>
            <w:r w:rsidRPr="009E2AE6">
              <w:rPr>
                <w:rFonts w:eastAsia="Arial"/>
                <w:b/>
                <w:bCs/>
                <w:i/>
                <w:iCs/>
                <w:shd w:val="clear" w:color="auto" w:fill="D9D9D9" w:themeFill="background1" w:themeFillShade="D9"/>
              </w:rPr>
              <w:t>Business Day period.</w:t>
            </w:r>
            <w:r w:rsidRPr="00AD4EA6">
              <w:rPr>
                <w:rFonts w:eastAsia="Arial"/>
                <w:shd w:val="clear" w:color="auto" w:fill="FFFFFF" w:themeFill="background1"/>
              </w:rPr>
              <w:t>]</w:t>
            </w:r>
          </w:p>
        </w:tc>
      </w:tr>
      <w:tr w:rsidR="00A441DB" w:rsidRPr="0006608D" w:rsidDel="00D04D5C" w14:paraId="60E25086" w14:textId="77777777" w:rsidTr="008F660B">
        <w:trPr>
          <w:jc w:val="center"/>
        </w:trPr>
        <w:tc>
          <w:tcPr>
            <w:tcW w:w="525" w:type="dxa"/>
          </w:tcPr>
          <w:p w14:paraId="388F5355" w14:textId="77777777" w:rsidR="00A441DB" w:rsidRPr="0006608D" w:rsidDel="00D04D5C" w:rsidRDefault="00A441DB" w:rsidP="00A441DB">
            <w:pPr>
              <w:pStyle w:val="BodyText"/>
              <w:numPr>
                <w:ilvl w:val="0"/>
                <w:numId w:val="47"/>
              </w:numPr>
              <w:spacing w:before="120" w:after="120"/>
            </w:pPr>
            <w:bookmarkStart w:id="57" w:name="_Ref159251491"/>
          </w:p>
        </w:tc>
        <w:bookmarkEnd w:id="57"/>
        <w:tc>
          <w:tcPr>
            <w:tcW w:w="3651" w:type="dxa"/>
          </w:tcPr>
          <w:p w14:paraId="6D7CA630" w14:textId="77777777" w:rsidR="00A441DB" w:rsidRPr="00E051C9" w:rsidDel="00E740A6" w:rsidRDefault="00A441DB" w:rsidP="00A441DB">
            <w:pPr>
              <w:pStyle w:val="BodyText"/>
              <w:spacing w:before="120" w:after="120"/>
            </w:pPr>
            <w:r>
              <w:t>COD Target Date</w:t>
            </w:r>
          </w:p>
        </w:tc>
        <w:tc>
          <w:tcPr>
            <w:tcW w:w="5033" w:type="dxa"/>
          </w:tcPr>
          <w:p w14:paraId="40DB59AD" w14:textId="51F7DA0B" w:rsidR="00A441DB" w:rsidRDefault="00A441DB" w:rsidP="00A441DB">
            <w:pPr>
              <w:pStyle w:val="BodyText"/>
              <w:spacing w:before="120" w:after="120"/>
            </w:pPr>
            <w:r>
              <w:rPr>
                <w:b/>
                <w:bCs/>
                <w:i/>
                <w:iCs/>
                <w:highlight w:val="lightGray"/>
              </w:rPr>
              <w:t>[Note: Proponents are not to manually insert these details – please refer to the Returnable Schedules.]</w:t>
            </w:r>
            <w:r>
              <w:t xml:space="preserve"> </w:t>
            </w:r>
          </w:p>
          <w:p w14:paraId="6200761F" w14:textId="3624FE97" w:rsidR="00A441DB" w:rsidRDefault="00A441DB" w:rsidP="00A441DB">
            <w:pPr>
              <w:pStyle w:val="BodyText"/>
              <w:spacing w:before="120" w:after="120"/>
            </w:pPr>
            <w:r>
              <w:t>[</w:t>
            </w:r>
            <w:r w:rsidRPr="003C1B35">
              <w:rPr>
                <w:highlight w:val="yellow"/>
              </w:rPr>
              <w:t>inser</w:t>
            </w:r>
            <w:r>
              <w:rPr>
                <w:highlight w:val="yellow"/>
              </w:rPr>
              <w:t>t date</w:t>
            </w:r>
            <w:r>
              <w:t>].</w:t>
            </w:r>
          </w:p>
          <w:p w14:paraId="46C078AD" w14:textId="34D689D5" w:rsidR="00A441DB" w:rsidDel="00D04D5C" w:rsidRDefault="00A441DB" w:rsidP="00A441DB">
            <w:pPr>
              <w:pStyle w:val="Heading8"/>
              <w:numPr>
                <w:ilvl w:val="0"/>
                <w:numId w:val="0"/>
              </w:numPr>
              <w:spacing w:before="120" w:after="120"/>
            </w:pPr>
            <w:r>
              <w:rPr>
                <w:b/>
                <w:bCs/>
                <w:i/>
                <w:iCs/>
              </w:rPr>
              <w:t>[</w:t>
            </w:r>
            <w:r>
              <w:rPr>
                <w:b/>
                <w:bCs/>
                <w:i/>
                <w:iCs/>
                <w:highlight w:val="lightGray"/>
              </w:rPr>
              <w:t xml:space="preserve">Note: the COD Target Date is the target date for Project Operator to </w:t>
            </w:r>
            <w:r w:rsidRPr="00E000B9">
              <w:rPr>
                <w:b/>
                <w:bCs/>
                <w:i/>
                <w:iCs/>
                <w:highlight w:val="lightGray"/>
              </w:rPr>
              <w:t xml:space="preserve">achieve commercial operations for the Project. The initial COD Target Date is a bid variable. </w:t>
            </w:r>
            <w:bookmarkStart w:id="58" w:name="_Hlk206058850"/>
            <w:r w:rsidRPr="00E000B9">
              <w:rPr>
                <w:b/>
                <w:bCs/>
                <w:i/>
                <w:iCs/>
                <w:highlight w:val="lightGray"/>
              </w:rPr>
              <w:t xml:space="preserve">A proposed COD Target Date that is </w:t>
            </w:r>
            <w:r w:rsidR="003C7AB9" w:rsidRPr="008F660B">
              <w:rPr>
                <w:b/>
                <w:bCs/>
                <w:i/>
                <w:iCs/>
                <w:highlight w:val="lightGray"/>
              </w:rPr>
              <w:t>earlier</w:t>
            </w:r>
            <w:r w:rsidRPr="00E000B9">
              <w:rPr>
                <w:b/>
                <w:bCs/>
                <w:i/>
                <w:iCs/>
                <w:highlight w:val="lightGray"/>
              </w:rPr>
              <w:t xml:space="preserve"> than </w:t>
            </w:r>
            <w:r w:rsidR="003C7AB9" w:rsidRPr="008F660B">
              <w:rPr>
                <w:b/>
                <w:bCs/>
                <w:i/>
                <w:iCs/>
                <w:highlight w:val="lightGray"/>
              </w:rPr>
              <w:t>31 December 2030</w:t>
            </w:r>
            <w:r w:rsidR="00E000B9" w:rsidRPr="008F660B">
              <w:rPr>
                <w:b/>
                <w:bCs/>
                <w:i/>
                <w:iCs/>
                <w:highlight w:val="lightGray"/>
              </w:rPr>
              <w:t xml:space="preserve"> and</w:t>
            </w:r>
            <w:r w:rsidR="003C7AB9" w:rsidRPr="008F660B">
              <w:rPr>
                <w:b/>
                <w:bCs/>
                <w:i/>
                <w:iCs/>
                <w:highlight w:val="lightGray"/>
              </w:rPr>
              <w:t>, supported by credible plans,</w:t>
            </w:r>
            <w:r w:rsidRPr="00E000B9">
              <w:rPr>
                <w:b/>
                <w:bCs/>
                <w:i/>
                <w:iCs/>
                <w:highlight w:val="lightGray"/>
              </w:rPr>
              <w:t xml:space="preserve"> will be more highly merit assessed as part of the tender assessment </w:t>
            </w:r>
            <w:r>
              <w:rPr>
                <w:b/>
                <w:bCs/>
                <w:i/>
                <w:iCs/>
                <w:highlight w:val="lightGray"/>
              </w:rPr>
              <w:t>process</w:t>
            </w:r>
            <w:bookmarkEnd w:id="58"/>
            <w:r>
              <w:rPr>
                <w:b/>
                <w:bCs/>
                <w:i/>
                <w:iCs/>
                <w:highlight w:val="lightGray"/>
              </w:rPr>
              <w:t>.</w:t>
            </w:r>
            <w:r>
              <w:rPr>
                <w:b/>
                <w:bCs/>
                <w:i/>
                <w:iCs/>
              </w:rPr>
              <w:t>]</w:t>
            </w:r>
            <w:r w:rsidDel="003A4B83">
              <w:t xml:space="preserve"> </w:t>
            </w:r>
          </w:p>
        </w:tc>
      </w:tr>
      <w:tr w:rsidR="00A441DB" w:rsidRPr="0006608D" w:rsidDel="00D04D5C" w14:paraId="649778C6" w14:textId="77777777" w:rsidTr="00E56908">
        <w:trPr>
          <w:jc w:val="center"/>
        </w:trPr>
        <w:tc>
          <w:tcPr>
            <w:tcW w:w="525" w:type="dxa"/>
          </w:tcPr>
          <w:p w14:paraId="6538100D" w14:textId="77777777" w:rsidR="00A441DB" w:rsidRPr="0006608D" w:rsidDel="00D04D5C" w:rsidRDefault="00A441DB" w:rsidP="00A441DB">
            <w:pPr>
              <w:pStyle w:val="BodyText"/>
              <w:numPr>
                <w:ilvl w:val="0"/>
                <w:numId w:val="47"/>
              </w:numPr>
              <w:spacing w:before="120" w:after="120"/>
            </w:pPr>
            <w:bookmarkStart w:id="59" w:name="_Ref167908788"/>
          </w:p>
        </w:tc>
        <w:bookmarkEnd w:id="59"/>
        <w:tc>
          <w:tcPr>
            <w:tcW w:w="3651" w:type="dxa"/>
          </w:tcPr>
          <w:p w14:paraId="32CCA7BA" w14:textId="77777777" w:rsidR="00A441DB" w:rsidRPr="00E051C9" w:rsidDel="00E740A6" w:rsidRDefault="00A441DB" w:rsidP="00A441DB">
            <w:pPr>
              <w:pStyle w:val="BodyText"/>
              <w:spacing w:before="120" w:after="120"/>
            </w:pPr>
            <w:r>
              <w:t>COD Sunset Date</w:t>
            </w:r>
          </w:p>
        </w:tc>
        <w:tc>
          <w:tcPr>
            <w:tcW w:w="5033" w:type="dxa"/>
          </w:tcPr>
          <w:p w14:paraId="704B5EB6" w14:textId="0A5740E6" w:rsidR="00A441DB" w:rsidRDefault="00A441DB" w:rsidP="00A441DB">
            <w:pPr>
              <w:pStyle w:val="Heading8"/>
              <w:numPr>
                <w:ilvl w:val="0"/>
                <w:numId w:val="0"/>
              </w:numPr>
              <w:spacing w:before="120" w:after="120"/>
            </w:pPr>
            <w:r w:rsidRPr="00EB0F64">
              <w:t>[</w:t>
            </w:r>
            <w:r w:rsidRPr="00EB0F64">
              <w:rPr>
                <w:highlight w:val="yellow"/>
              </w:rPr>
              <w:t>insert date</w:t>
            </w:r>
            <w:r w:rsidRPr="00EB0F64">
              <w:t>], as may be extended under clause</w:t>
            </w:r>
            <w:r>
              <w:t>s</w:t>
            </w:r>
            <w:r w:rsidRPr="00EB0F64">
              <w:t xml:space="preserve"> </w:t>
            </w:r>
            <w:r w:rsidRPr="00EB0F64">
              <w:fldChar w:fldCharType="begin"/>
            </w:r>
            <w:r w:rsidRPr="00EB0F64">
              <w:instrText xml:space="preserve"> REF _Ref159418233 \w \h </w:instrText>
            </w:r>
            <w:r w:rsidRPr="00131021">
              <w:instrText xml:space="preserve"> \* MERGEFORMAT </w:instrText>
            </w:r>
            <w:r w:rsidRPr="00EB0F64">
              <w:fldChar w:fldCharType="separate"/>
            </w:r>
            <w:r w:rsidR="002E5C6A">
              <w:t>7.3</w:t>
            </w:r>
            <w:r w:rsidRPr="00EB0F64">
              <w:fldChar w:fldCharType="end"/>
            </w:r>
            <w:r w:rsidRPr="00EB0F64">
              <w:t xml:space="preserve"> (“</w:t>
            </w:r>
            <w:r w:rsidRPr="00EB0F64">
              <w:fldChar w:fldCharType="begin"/>
            </w:r>
            <w:r w:rsidRPr="00EB0F64">
              <w:instrText xml:space="preserve">  REF _Ref159418233 \h </w:instrText>
            </w:r>
            <w:r w:rsidRPr="00131021">
              <w:instrText xml:space="preserve"> \* MERGEFORMAT </w:instrText>
            </w:r>
            <w:r w:rsidRPr="00EB0F64">
              <w:fldChar w:fldCharType="separate"/>
            </w:r>
            <w:r w:rsidR="002E5C6A">
              <w:t>Extension for Force Majeure Event prior to commercial operations</w:t>
            </w:r>
            <w:r w:rsidRPr="00EB0F64">
              <w:fldChar w:fldCharType="end"/>
            </w:r>
            <w:r w:rsidRPr="00EB0F64">
              <w:t>”)</w:t>
            </w:r>
            <w:r>
              <w:t xml:space="preserve"> and </w:t>
            </w:r>
            <w:r>
              <w:fldChar w:fldCharType="begin"/>
            </w:r>
            <w:r>
              <w:instrText xml:space="preserve"> REF _Ref103540138 \w \h </w:instrText>
            </w:r>
            <w:r>
              <w:fldChar w:fldCharType="separate"/>
            </w:r>
            <w:r w:rsidR="002E5C6A">
              <w:t>7.4</w:t>
            </w:r>
            <w:r>
              <w:fldChar w:fldCharType="end"/>
            </w:r>
            <w:r>
              <w:t xml:space="preserve"> (“</w:t>
            </w:r>
            <w:r>
              <w:fldChar w:fldCharType="begin"/>
            </w:r>
            <w:r>
              <w:instrText xml:space="preserve"> REF _Ref100062312 \h </w:instrText>
            </w:r>
            <w:r>
              <w:fldChar w:fldCharType="separate"/>
            </w:r>
            <w:r w:rsidR="002E5C6A">
              <w:t>COD Cure Plan other than for Force Majeure Event</w:t>
            </w:r>
            <w:r>
              <w:fldChar w:fldCharType="end"/>
            </w:r>
            <w:r>
              <w:t>”)</w:t>
            </w:r>
            <w:r w:rsidRPr="00EB0F64">
              <w:t>.</w:t>
            </w:r>
            <w:r>
              <w:t xml:space="preserve"> </w:t>
            </w:r>
          </w:p>
          <w:p w14:paraId="167D6BA6" w14:textId="25728CFE" w:rsidR="00A441DB" w:rsidDel="00D04D5C" w:rsidRDefault="00A441DB" w:rsidP="00A441DB">
            <w:pPr>
              <w:pStyle w:val="Heading8"/>
              <w:numPr>
                <w:ilvl w:val="0"/>
                <w:numId w:val="0"/>
              </w:numPr>
              <w:spacing w:before="120" w:after="120"/>
            </w:pPr>
            <w:r>
              <w:t>[</w:t>
            </w:r>
            <w:r w:rsidRPr="004D3942">
              <w:rPr>
                <w:b/>
                <w:bCs/>
                <w:i/>
                <w:iCs/>
                <w:highlight w:val="lightGray"/>
              </w:rPr>
              <w:t xml:space="preserve">Note: the COD Sunset Date is the last date </w:t>
            </w:r>
            <w:r>
              <w:rPr>
                <w:b/>
                <w:bCs/>
                <w:i/>
                <w:iCs/>
                <w:highlight w:val="lightGray"/>
              </w:rPr>
              <w:t xml:space="preserve">(as may be extended in accordance with this agreement) </w:t>
            </w:r>
            <w:r w:rsidRPr="004D3942">
              <w:rPr>
                <w:b/>
                <w:bCs/>
                <w:i/>
                <w:iCs/>
                <w:highlight w:val="lightGray"/>
              </w:rPr>
              <w:t>by which Project Operator must achieve commercial operations for the Project or agree to a cure plan at the discretion of the Commonwealth, failing which the Commonwealth may be entitled to terminate this agreement</w:t>
            </w:r>
            <w:r>
              <w:rPr>
                <w:b/>
                <w:bCs/>
                <w:i/>
                <w:iCs/>
                <w:highlight w:val="lightGray"/>
              </w:rPr>
              <w:t>. T</w:t>
            </w:r>
            <w:r w:rsidRPr="004D3942">
              <w:rPr>
                <w:b/>
                <w:bCs/>
                <w:i/>
                <w:iCs/>
                <w:highlight w:val="lightGray"/>
              </w:rPr>
              <w:t>he COD Sunset Date</w:t>
            </w:r>
            <w:r>
              <w:rPr>
                <w:b/>
                <w:bCs/>
                <w:i/>
                <w:iCs/>
                <w:highlight w:val="lightGray"/>
              </w:rPr>
              <w:t xml:space="preserve"> will be 12 months after the COD Target Date</w:t>
            </w:r>
            <w:r w:rsidRPr="004D3942">
              <w:rPr>
                <w:b/>
                <w:bCs/>
                <w:i/>
                <w:iCs/>
                <w:highlight w:val="lightGray"/>
              </w:rPr>
              <w:t>.</w:t>
            </w:r>
            <w:r>
              <w:t xml:space="preserve">] </w:t>
            </w:r>
          </w:p>
        </w:tc>
      </w:tr>
      <w:tr w:rsidR="00A441DB" w:rsidRPr="0006608D" w14:paraId="21B46B29" w14:textId="77777777" w:rsidTr="008F660B">
        <w:trPr>
          <w:jc w:val="center"/>
        </w:trPr>
        <w:tc>
          <w:tcPr>
            <w:tcW w:w="9209" w:type="dxa"/>
            <w:gridSpan w:val="3"/>
            <w:shd w:val="clear" w:color="auto" w:fill="D9D9D9" w:themeFill="background1" w:themeFillShade="D9"/>
          </w:tcPr>
          <w:p w14:paraId="220129FC" w14:textId="77777777" w:rsidR="00A441DB" w:rsidRPr="00593B5B" w:rsidRDefault="00A441DB" w:rsidP="00A441DB">
            <w:pPr>
              <w:pStyle w:val="BodyText"/>
              <w:keepNext/>
              <w:spacing w:before="120" w:after="120"/>
              <w:rPr>
                <w:b/>
                <w:bCs/>
              </w:rPr>
            </w:pPr>
            <w:r>
              <w:rPr>
                <w:b/>
                <w:bCs/>
              </w:rPr>
              <w:t>Support terms</w:t>
            </w:r>
            <w:r w:rsidRPr="00593B5B">
              <w:rPr>
                <w:b/>
                <w:bCs/>
              </w:rPr>
              <w:t xml:space="preserve"> </w:t>
            </w:r>
          </w:p>
        </w:tc>
      </w:tr>
      <w:tr w:rsidR="00A441DB" w:rsidRPr="0006608D" w14:paraId="0AA7815C" w14:textId="77777777" w:rsidTr="008F660B">
        <w:trPr>
          <w:cantSplit/>
          <w:jc w:val="center"/>
        </w:trPr>
        <w:tc>
          <w:tcPr>
            <w:tcW w:w="525" w:type="dxa"/>
          </w:tcPr>
          <w:p w14:paraId="217FC9BB" w14:textId="77777777" w:rsidR="00A441DB" w:rsidRPr="0006608D" w:rsidRDefault="00A441DB" w:rsidP="00A441DB">
            <w:pPr>
              <w:pStyle w:val="BodyText"/>
              <w:numPr>
                <w:ilvl w:val="0"/>
                <w:numId w:val="47"/>
              </w:numPr>
              <w:spacing w:before="120" w:after="120"/>
            </w:pPr>
            <w:bookmarkStart w:id="60" w:name="_Ref172455381"/>
          </w:p>
        </w:tc>
        <w:bookmarkEnd w:id="60"/>
        <w:tc>
          <w:tcPr>
            <w:tcW w:w="3651" w:type="dxa"/>
          </w:tcPr>
          <w:p w14:paraId="3E6AC980" w14:textId="77777777" w:rsidR="00A441DB" w:rsidRPr="0006608D" w:rsidRDefault="00A441DB" w:rsidP="00A441DB">
            <w:pPr>
              <w:pStyle w:val="BodyText"/>
              <w:spacing w:before="120" w:after="120"/>
            </w:pPr>
            <w:r>
              <w:t>Annual Floor</w:t>
            </w:r>
          </w:p>
        </w:tc>
        <w:tc>
          <w:tcPr>
            <w:tcW w:w="5033" w:type="dxa"/>
          </w:tcPr>
          <w:p w14:paraId="65FDE695" w14:textId="42914B42" w:rsidR="00A441DB" w:rsidRDefault="00A441DB" w:rsidP="00A441DB">
            <w:pPr>
              <w:pStyle w:val="BodyText"/>
              <w:spacing w:before="120" w:after="120"/>
            </w:pPr>
            <w:r>
              <w:rPr>
                <w:b/>
                <w:bCs/>
                <w:i/>
                <w:iCs/>
                <w:highlight w:val="lightGray"/>
              </w:rPr>
              <w:t>[Note: Proponents are not to manually insert these details – please refer to the Returnable Schedules.]</w:t>
            </w:r>
            <w:r>
              <w:t xml:space="preserve"> </w:t>
            </w:r>
          </w:p>
          <w:p w14:paraId="21C100AE" w14:textId="442DBEE0" w:rsidR="00A441DB" w:rsidRDefault="00A441DB" w:rsidP="00A441DB">
            <w:pPr>
              <w:pStyle w:val="Heading8"/>
              <w:numPr>
                <w:ilvl w:val="0"/>
                <w:numId w:val="0"/>
              </w:numPr>
              <w:spacing w:before="120" w:after="120"/>
            </w:pPr>
            <w:r>
              <w:t>[</w:t>
            </w:r>
            <w:r w:rsidRPr="004D3942">
              <w:rPr>
                <w:i/>
                <w:iCs/>
                <w:highlight w:val="lightGray"/>
              </w:rPr>
              <w:t xml:space="preserve">Option 1: for bids </w:t>
            </w:r>
            <w:r>
              <w:rPr>
                <w:i/>
                <w:iCs/>
                <w:highlight w:val="lightGray"/>
              </w:rPr>
              <w:t>in which</w:t>
            </w:r>
            <w:r w:rsidRPr="004D3942">
              <w:rPr>
                <w:i/>
                <w:iCs/>
                <w:highlight w:val="lightGray"/>
              </w:rPr>
              <w:t xml:space="preserve"> the Annual</w:t>
            </w:r>
            <w:r>
              <w:rPr>
                <w:i/>
                <w:iCs/>
                <w:highlight w:val="lightGray"/>
              </w:rPr>
              <w:t xml:space="preserve"> </w:t>
            </w:r>
            <w:r w:rsidRPr="004D3942">
              <w:rPr>
                <w:i/>
                <w:iCs/>
                <w:highlight w:val="lightGray"/>
              </w:rPr>
              <w:t xml:space="preserve">Floor is a fixed nominal price for the </w:t>
            </w:r>
            <w:r>
              <w:rPr>
                <w:i/>
                <w:iCs/>
                <w:highlight w:val="lightGray"/>
              </w:rPr>
              <w:t>Support Period</w:t>
            </w:r>
            <w:r w:rsidRPr="004D3942">
              <w:rPr>
                <w:i/>
                <w:iCs/>
                <w:highlight w:val="lightGray"/>
              </w:rPr>
              <w:t>.</w:t>
            </w:r>
            <w:r>
              <w:t>]</w:t>
            </w:r>
          </w:p>
          <w:p w14:paraId="0443CA23" w14:textId="3697B33B" w:rsidR="00A441DB" w:rsidRDefault="00A441DB" w:rsidP="00A441DB">
            <w:pPr>
              <w:pStyle w:val="BodyText"/>
              <w:spacing w:before="120" w:after="120"/>
            </w:pPr>
            <w:r w:rsidRPr="003C0305">
              <w:t>$[</w:t>
            </w:r>
            <w:r w:rsidRPr="003C0305">
              <w:rPr>
                <w:highlight w:val="yellow"/>
              </w:rPr>
              <w:t>insert</w:t>
            </w:r>
            <w:r w:rsidRPr="003C0305">
              <w:t>]/MW</w:t>
            </w:r>
            <w:r>
              <w:t xml:space="preserve"> for each Peak Capacity Credit assigned by AEMO, in accordance with the ESM Rules, to the Project in respect of a Support Year.</w:t>
            </w:r>
          </w:p>
          <w:p w14:paraId="37AE59A9" w14:textId="77777777" w:rsidR="00A441DB" w:rsidRDefault="00A441DB" w:rsidP="00A441DB">
            <w:pPr>
              <w:pStyle w:val="Heading8"/>
              <w:numPr>
                <w:ilvl w:val="0"/>
                <w:numId w:val="0"/>
              </w:numPr>
              <w:spacing w:before="120" w:after="120"/>
            </w:pPr>
            <w:r>
              <w:t>[</w:t>
            </w:r>
            <w:r w:rsidRPr="004D3942">
              <w:rPr>
                <w:i/>
                <w:iCs/>
                <w:highlight w:val="lightGray"/>
              </w:rPr>
              <w:t>End option 1.</w:t>
            </w:r>
            <w:r>
              <w:t>]</w:t>
            </w:r>
          </w:p>
          <w:p w14:paraId="36B28408" w14:textId="3E925E0B" w:rsidR="00A441DB" w:rsidRDefault="00A441DB" w:rsidP="00A441DB">
            <w:pPr>
              <w:pStyle w:val="Heading8"/>
              <w:numPr>
                <w:ilvl w:val="0"/>
                <w:numId w:val="0"/>
              </w:numPr>
              <w:spacing w:before="120" w:after="120"/>
            </w:pPr>
            <w:r>
              <w:t>[</w:t>
            </w:r>
            <w:r>
              <w:rPr>
                <w:i/>
                <w:iCs/>
                <w:color w:val="000000"/>
                <w:shd w:val="clear" w:color="auto" w:fill="D3D3D3"/>
              </w:rPr>
              <w:t>Option 2: for bids in which the Annual Floor is a fixed nominal amount for each Support Year. This amount may vary from year-to-year over the Support Period</w:t>
            </w:r>
            <w:r w:rsidRPr="004D3942">
              <w:rPr>
                <w:i/>
                <w:iCs/>
                <w:highlight w:val="lightGray"/>
              </w:rPr>
              <w:t>.</w:t>
            </w:r>
            <w:r>
              <w:t>]</w:t>
            </w:r>
          </w:p>
          <w:p w14:paraId="7980065D" w14:textId="77777777" w:rsidR="00A441DB" w:rsidRDefault="00A441DB" w:rsidP="00A441DB">
            <w:pPr>
              <w:pStyle w:val="Heading8"/>
              <w:numPr>
                <w:ilvl w:val="0"/>
                <w:numId w:val="0"/>
              </w:numPr>
              <w:spacing w:before="120" w:after="120"/>
            </w:pPr>
            <w:r>
              <w:t xml:space="preserve">The </w:t>
            </w:r>
            <w:r w:rsidRPr="00A80D25">
              <w:t>amount</w:t>
            </w:r>
            <w:r>
              <w:t>s</w:t>
            </w:r>
            <w:r w:rsidRPr="00A80D25">
              <w:t xml:space="preserve"> set out in the table </w:t>
            </w:r>
            <w:r>
              <w:t>below</w:t>
            </w:r>
            <w:r w:rsidRPr="00A80D25">
              <w:t xml:space="preserve"> for </w:t>
            </w:r>
            <w:r>
              <w:t>each</w:t>
            </w:r>
            <w:r w:rsidRPr="00A80D25">
              <w:t xml:space="preserve"> </w:t>
            </w:r>
            <w:r>
              <w:t>Support Year.</w:t>
            </w:r>
          </w:p>
          <w:tbl>
            <w:tblPr>
              <w:tblpPr w:leftFromText="180" w:rightFromText="180" w:vertAnchor="text" w:horzAnchor="margin" w:tblpXSpec="center" w:tblpY="193"/>
              <w:tblOverlap w:val="never"/>
              <w:tblW w:w="4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957"/>
            </w:tblGrid>
            <w:tr w:rsidR="00A441DB" w14:paraId="0424F2CB" w14:textId="77777777" w:rsidTr="008F660B">
              <w:trPr>
                <w:trHeight w:val="195"/>
              </w:trPr>
              <w:tc>
                <w:tcPr>
                  <w:tcW w:w="1838" w:type="dxa"/>
                </w:tcPr>
                <w:p w14:paraId="3BD4419C" w14:textId="77777777" w:rsidR="00A441DB" w:rsidRPr="00982398" w:rsidRDefault="00A441DB" w:rsidP="00A441DB">
                  <w:pPr>
                    <w:pStyle w:val="BodyText"/>
                    <w:spacing w:before="120" w:after="120"/>
                  </w:pPr>
                  <w:r w:rsidRPr="00982398">
                    <w:t>Support Year</w:t>
                  </w:r>
                </w:p>
              </w:tc>
              <w:tc>
                <w:tcPr>
                  <w:tcW w:w="2957" w:type="dxa"/>
                </w:tcPr>
                <w:p w14:paraId="58E5D4E3" w14:textId="77777777" w:rsidR="00A441DB" w:rsidRPr="00982398" w:rsidRDefault="00A441DB" w:rsidP="00A441DB">
                  <w:pPr>
                    <w:pStyle w:val="BodyText"/>
                    <w:spacing w:before="120" w:after="120"/>
                  </w:pPr>
                  <w:r w:rsidRPr="00982398">
                    <w:t>Annual Floor ($/MW for each Peak Capacity Credit assigned by AEMO, in accordance with the ESM Rules, to the Project in respect of a Support Year)</w:t>
                  </w:r>
                </w:p>
              </w:tc>
            </w:tr>
            <w:tr w:rsidR="00A441DB" w14:paraId="3F9183BC" w14:textId="77777777" w:rsidTr="008F660B">
              <w:trPr>
                <w:trHeight w:val="130"/>
              </w:trPr>
              <w:tc>
                <w:tcPr>
                  <w:tcW w:w="1838" w:type="dxa"/>
                </w:tcPr>
                <w:p w14:paraId="1882FF8F" w14:textId="77777777" w:rsidR="00A441DB" w:rsidRDefault="00A441DB" w:rsidP="00A441DB">
                  <w:pPr>
                    <w:pStyle w:val="BodyText"/>
                    <w:spacing w:before="120" w:after="120"/>
                  </w:pPr>
                  <w:r>
                    <w:rPr>
                      <w:bCs/>
                    </w:rPr>
                    <w:t>Support Year 1</w:t>
                  </w:r>
                </w:p>
              </w:tc>
              <w:tc>
                <w:tcPr>
                  <w:tcW w:w="2957" w:type="dxa"/>
                </w:tcPr>
                <w:p w14:paraId="7492D20F" w14:textId="77777777" w:rsidR="00A441DB" w:rsidRDefault="00A441DB" w:rsidP="00A441DB">
                  <w:pPr>
                    <w:pStyle w:val="BodyText"/>
                    <w:spacing w:before="120" w:after="120"/>
                  </w:pPr>
                  <w:r>
                    <w:t>[</w:t>
                  </w:r>
                  <w:r>
                    <w:rPr>
                      <w:highlight w:val="yellow"/>
                    </w:rPr>
                    <w:t>insert</w:t>
                  </w:r>
                  <w:r>
                    <w:t>]</w:t>
                  </w:r>
                </w:p>
              </w:tc>
            </w:tr>
            <w:tr w:rsidR="00A441DB" w14:paraId="0BA7A3D9" w14:textId="77777777" w:rsidTr="008F660B">
              <w:trPr>
                <w:trHeight w:val="130"/>
              </w:trPr>
              <w:tc>
                <w:tcPr>
                  <w:tcW w:w="1838" w:type="dxa"/>
                </w:tcPr>
                <w:p w14:paraId="4C77878E" w14:textId="77777777" w:rsidR="00A441DB" w:rsidRDefault="00A441DB" w:rsidP="00A441DB">
                  <w:pPr>
                    <w:pStyle w:val="BodyText"/>
                    <w:spacing w:before="120" w:after="120"/>
                  </w:pPr>
                  <w:r>
                    <w:rPr>
                      <w:bCs/>
                    </w:rPr>
                    <w:t>Support Year 2</w:t>
                  </w:r>
                </w:p>
              </w:tc>
              <w:tc>
                <w:tcPr>
                  <w:tcW w:w="2957" w:type="dxa"/>
                </w:tcPr>
                <w:p w14:paraId="20983EA3" w14:textId="77777777" w:rsidR="00A441DB" w:rsidRDefault="00A441DB" w:rsidP="00A441DB">
                  <w:pPr>
                    <w:pStyle w:val="BodyText"/>
                    <w:spacing w:before="120" w:after="120"/>
                  </w:pPr>
                  <w:r>
                    <w:t>[</w:t>
                  </w:r>
                  <w:r>
                    <w:rPr>
                      <w:highlight w:val="yellow"/>
                    </w:rPr>
                    <w:t>insert</w:t>
                  </w:r>
                  <w:r>
                    <w:t>]</w:t>
                  </w:r>
                </w:p>
              </w:tc>
            </w:tr>
            <w:tr w:rsidR="00A441DB" w14:paraId="3D3CDD5A" w14:textId="77777777" w:rsidTr="008F660B">
              <w:trPr>
                <w:trHeight w:val="130"/>
              </w:trPr>
              <w:tc>
                <w:tcPr>
                  <w:tcW w:w="1838" w:type="dxa"/>
                </w:tcPr>
                <w:p w14:paraId="39456AE3" w14:textId="77777777" w:rsidR="00A441DB" w:rsidRDefault="00A441DB" w:rsidP="00A441DB">
                  <w:pPr>
                    <w:pStyle w:val="BodyText"/>
                    <w:spacing w:before="120" w:after="120"/>
                  </w:pPr>
                  <w:r>
                    <w:rPr>
                      <w:bCs/>
                    </w:rPr>
                    <w:t>Support Year 3</w:t>
                  </w:r>
                </w:p>
              </w:tc>
              <w:tc>
                <w:tcPr>
                  <w:tcW w:w="2957" w:type="dxa"/>
                </w:tcPr>
                <w:p w14:paraId="37226301" w14:textId="77777777" w:rsidR="00A441DB" w:rsidRDefault="00A441DB" w:rsidP="00A441DB">
                  <w:pPr>
                    <w:pStyle w:val="BodyText"/>
                    <w:spacing w:before="120" w:after="120"/>
                  </w:pPr>
                  <w:r>
                    <w:t>[</w:t>
                  </w:r>
                  <w:r>
                    <w:rPr>
                      <w:highlight w:val="yellow"/>
                    </w:rPr>
                    <w:t>insert</w:t>
                  </w:r>
                  <w:r>
                    <w:t>]</w:t>
                  </w:r>
                </w:p>
              </w:tc>
            </w:tr>
            <w:tr w:rsidR="00A441DB" w14:paraId="678299A9" w14:textId="77777777" w:rsidTr="008F660B">
              <w:trPr>
                <w:trHeight w:val="133"/>
              </w:trPr>
              <w:tc>
                <w:tcPr>
                  <w:tcW w:w="1838" w:type="dxa"/>
                </w:tcPr>
                <w:p w14:paraId="6304A42E" w14:textId="77777777" w:rsidR="00A441DB" w:rsidRDefault="00A441DB" w:rsidP="00A441DB">
                  <w:pPr>
                    <w:pStyle w:val="BodyText"/>
                    <w:spacing w:before="120" w:after="120"/>
                  </w:pPr>
                  <w:r>
                    <w:rPr>
                      <w:bCs/>
                    </w:rPr>
                    <w:t>Support Year 4</w:t>
                  </w:r>
                </w:p>
              </w:tc>
              <w:tc>
                <w:tcPr>
                  <w:tcW w:w="2957" w:type="dxa"/>
                </w:tcPr>
                <w:p w14:paraId="441B546C" w14:textId="77777777" w:rsidR="00A441DB" w:rsidRDefault="00A441DB" w:rsidP="00A441DB">
                  <w:pPr>
                    <w:pStyle w:val="BodyText"/>
                    <w:spacing w:before="120" w:after="120"/>
                  </w:pPr>
                  <w:r>
                    <w:t>[</w:t>
                  </w:r>
                  <w:r>
                    <w:rPr>
                      <w:highlight w:val="yellow"/>
                    </w:rPr>
                    <w:t>insert</w:t>
                  </w:r>
                  <w:r>
                    <w:t>]</w:t>
                  </w:r>
                </w:p>
              </w:tc>
            </w:tr>
            <w:tr w:rsidR="00A441DB" w14:paraId="2EAE770A" w14:textId="77777777" w:rsidTr="008F660B">
              <w:trPr>
                <w:trHeight w:val="133"/>
              </w:trPr>
              <w:tc>
                <w:tcPr>
                  <w:tcW w:w="1838" w:type="dxa"/>
                </w:tcPr>
                <w:p w14:paraId="184DCDDA" w14:textId="77777777" w:rsidR="00A441DB" w:rsidRDefault="00A441DB" w:rsidP="00A441DB">
                  <w:pPr>
                    <w:pStyle w:val="BodyText"/>
                    <w:spacing w:before="120" w:after="120"/>
                  </w:pPr>
                  <w:r>
                    <w:rPr>
                      <w:bCs/>
                    </w:rPr>
                    <w:t>Support Year 5</w:t>
                  </w:r>
                </w:p>
              </w:tc>
              <w:tc>
                <w:tcPr>
                  <w:tcW w:w="2957" w:type="dxa"/>
                </w:tcPr>
                <w:p w14:paraId="7BDED56B" w14:textId="77777777" w:rsidR="00A441DB" w:rsidRDefault="00A441DB" w:rsidP="00A441DB">
                  <w:pPr>
                    <w:pStyle w:val="BodyText"/>
                    <w:spacing w:before="120" w:after="120"/>
                  </w:pPr>
                  <w:r>
                    <w:t>[</w:t>
                  </w:r>
                  <w:r>
                    <w:rPr>
                      <w:highlight w:val="yellow"/>
                    </w:rPr>
                    <w:t>insert</w:t>
                  </w:r>
                  <w:r>
                    <w:t>]</w:t>
                  </w:r>
                </w:p>
              </w:tc>
            </w:tr>
          </w:tbl>
          <w:p w14:paraId="6F0C0C85" w14:textId="77777777" w:rsidR="00A441DB" w:rsidRDefault="00A441DB" w:rsidP="00A441DB">
            <w:pPr>
              <w:pStyle w:val="Heading8"/>
              <w:numPr>
                <w:ilvl w:val="0"/>
                <w:numId w:val="0"/>
              </w:numPr>
              <w:spacing w:before="120" w:after="120"/>
            </w:pPr>
          </w:p>
          <w:p w14:paraId="41E9170A" w14:textId="67CD534D" w:rsidR="00A441DB" w:rsidRDefault="00A441DB" w:rsidP="00A441DB">
            <w:pPr>
              <w:pStyle w:val="BodyText"/>
              <w:spacing w:before="120" w:after="120"/>
            </w:pPr>
            <w:r>
              <w:t>[</w:t>
            </w:r>
            <w:r w:rsidRPr="004D3942">
              <w:rPr>
                <w:i/>
                <w:iCs/>
                <w:highlight w:val="lightGray"/>
              </w:rPr>
              <w:t>End option 2.</w:t>
            </w:r>
            <w:r>
              <w:t>]</w:t>
            </w:r>
          </w:p>
          <w:p w14:paraId="78FFDBFD" w14:textId="23880D52" w:rsidR="00A441DB" w:rsidRPr="0006608D" w:rsidRDefault="00A441DB" w:rsidP="00A441DB">
            <w:pPr>
              <w:pStyle w:val="BodyText"/>
              <w:spacing w:before="120" w:after="120"/>
            </w:pPr>
            <w:r>
              <w:t>[</w:t>
            </w:r>
            <w:r>
              <w:rPr>
                <w:b/>
                <w:bCs/>
                <w:i/>
                <w:iCs/>
                <w:highlight w:val="lightGray"/>
              </w:rPr>
              <w:t xml:space="preserve">Note: bidders </w:t>
            </w:r>
            <w:r>
              <w:rPr>
                <w:b/>
                <w:bCs/>
                <w:i/>
                <w:iCs/>
                <w:highlight w:val="lightGray"/>
                <w:shd w:val="clear" w:color="auto" w:fill="FFFFFF"/>
              </w:rPr>
              <w:t>can put ‘N/A’ for the Annual Floor values in Support Years in which they do not wish to receive Commonwealth support.</w:t>
            </w:r>
            <w:r>
              <w:t>]</w:t>
            </w:r>
          </w:p>
        </w:tc>
      </w:tr>
      <w:tr w:rsidR="00A441DB" w:rsidRPr="0006608D" w14:paraId="57B1D3C4" w14:textId="77777777" w:rsidTr="008F660B">
        <w:trPr>
          <w:jc w:val="center"/>
        </w:trPr>
        <w:tc>
          <w:tcPr>
            <w:tcW w:w="525" w:type="dxa"/>
          </w:tcPr>
          <w:p w14:paraId="571A510E" w14:textId="77777777" w:rsidR="00A441DB" w:rsidRPr="0006608D" w:rsidRDefault="00A441DB" w:rsidP="00A441DB">
            <w:pPr>
              <w:pStyle w:val="BodyText"/>
              <w:numPr>
                <w:ilvl w:val="0"/>
                <w:numId w:val="47"/>
              </w:numPr>
              <w:spacing w:before="120" w:after="120"/>
            </w:pPr>
            <w:bookmarkStart w:id="61" w:name="_Ref172455407"/>
          </w:p>
        </w:tc>
        <w:bookmarkEnd w:id="61"/>
        <w:tc>
          <w:tcPr>
            <w:tcW w:w="3651" w:type="dxa"/>
          </w:tcPr>
          <w:p w14:paraId="27A46D7D" w14:textId="77777777" w:rsidR="00A441DB" w:rsidRPr="0006608D" w:rsidRDefault="00A441DB" w:rsidP="00A441DB">
            <w:pPr>
              <w:pStyle w:val="BodyText"/>
              <w:spacing w:before="120" w:after="120"/>
            </w:pPr>
            <w:r>
              <w:t>Annual Ceiling</w:t>
            </w:r>
          </w:p>
        </w:tc>
        <w:tc>
          <w:tcPr>
            <w:tcW w:w="5033" w:type="dxa"/>
          </w:tcPr>
          <w:p w14:paraId="70A43EB2" w14:textId="5B00F7CB" w:rsidR="00A441DB" w:rsidRDefault="00A441DB" w:rsidP="008F660B">
            <w:pPr>
              <w:pStyle w:val="BodyText"/>
              <w:spacing w:before="120" w:after="120"/>
            </w:pPr>
            <w:r>
              <w:rPr>
                <w:b/>
                <w:bCs/>
                <w:i/>
                <w:iCs/>
                <w:highlight w:val="lightGray"/>
              </w:rPr>
              <w:t>[Note: Proponents are not to manually insert these details – please refer to the Returnable Schedules.]</w:t>
            </w:r>
            <w:r>
              <w:t xml:space="preserve"> </w:t>
            </w:r>
          </w:p>
          <w:p w14:paraId="6A09215C" w14:textId="39BF080A" w:rsidR="00A441DB" w:rsidRDefault="00A441DB" w:rsidP="00A441DB">
            <w:pPr>
              <w:pStyle w:val="Heading8"/>
              <w:numPr>
                <w:ilvl w:val="0"/>
                <w:numId w:val="0"/>
              </w:numPr>
              <w:spacing w:before="120" w:after="120"/>
            </w:pPr>
            <w:r>
              <w:t>[</w:t>
            </w:r>
            <w:r w:rsidRPr="004D3942">
              <w:rPr>
                <w:i/>
                <w:iCs/>
                <w:highlight w:val="lightGray"/>
              </w:rPr>
              <w:t xml:space="preserve">Option 1: for bids </w:t>
            </w:r>
            <w:r>
              <w:rPr>
                <w:i/>
                <w:iCs/>
                <w:highlight w:val="lightGray"/>
              </w:rPr>
              <w:t>in which</w:t>
            </w:r>
            <w:r w:rsidRPr="004D3942">
              <w:rPr>
                <w:i/>
                <w:iCs/>
                <w:highlight w:val="lightGray"/>
              </w:rPr>
              <w:t xml:space="preserve"> the Annual Ceiling is a fixed nominal amount for the </w:t>
            </w:r>
            <w:r>
              <w:rPr>
                <w:i/>
                <w:iCs/>
                <w:highlight w:val="lightGray"/>
              </w:rPr>
              <w:t>Support Period</w:t>
            </w:r>
            <w:r w:rsidRPr="004D3942">
              <w:rPr>
                <w:i/>
                <w:iCs/>
                <w:highlight w:val="lightGray"/>
              </w:rPr>
              <w:t>.</w:t>
            </w:r>
            <w:r>
              <w:t>]</w:t>
            </w:r>
          </w:p>
          <w:p w14:paraId="7B51B52A" w14:textId="74C3B8CB" w:rsidR="00A441DB" w:rsidRDefault="00A441DB" w:rsidP="00A441DB">
            <w:pPr>
              <w:pStyle w:val="Heading8"/>
              <w:numPr>
                <w:ilvl w:val="0"/>
                <w:numId w:val="0"/>
              </w:numPr>
              <w:spacing w:before="120" w:after="120"/>
            </w:pPr>
            <w:r w:rsidRPr="003C0305">
              <w:t>$[</w:t>
            </w:r>
            <w:r w:rsidRPr="003C0305">
              <w:rPr>
                <w:highlight w:val="yellow"/>
              </w:rPr>
              <w:t>insert</w:t>
            </w:r>
            <w:r w:rsidRPr="003C0305">
              <w:t>]/MW</w:t>
            </w:r>
            <w:r>
              <w:t xml:space="preserve"> for each Peak Capacity Credit assigned by AEMO, in accordance with the ESM Rules, to the Project in respect of a Support Year.</w:t>
            </w:r>
          </w:p>
          <w:p w14:paraId="089FF7EF" w14:textId="4EAED74D" w:rsidR="00A441DB" w:rsidRDefault="00A441DB" w:rsidP="00A441DB">
            <w:pPr>
              <w:pStyle w:val="Heading8"/>
              <w:numPr>
                <w:ilvl w:val="0"/>
                <w:numId w:val="0"/>
              </w:numPr>
              <w:spacing w:before="120" w:after="120"/>
            </w:pPr>
            <w:r>
              <w:t>[</w:t>
            </w:r>
            <w:r w:rsidRPr="004D3942">
              <w:rPr>
                <w:i/>
                <w:iCs/>
                <w:highlight w:val="lightGray"/>
              </w:rPr>
              <w:t>End option 1.</w:t>
            </w:r>
            <w:r>
              <w:t>]</w:t>
            </w:r>
          </w:p>
          <w:p w14:paraId="7BF7400C" w14:textId="17108405" w:rsidR="00A441DB" w:rsidRPr="003E4371" w:rsidRDefault="00A441DB" w:rsidP="00A441DB">
            <w:pPr>
              <w:pStyle w:val="NormalWeb"/>
              <w:rPr>
                <w:rFonts w:ascii="Calibri" w:hAnsi="Calibri" w:cs="Calibri"/>
                <w:lang w:eastAsia="en-AU"/>
              </w:rPr>
            </w:pPr>
            <w:r>
              <w:t>[</w:t>
            </w:r>
            <w:r>
              <w:rPr>
                <w:i/>
                <w:iCs/>
                <w:color w:val="000000"/>
                <w:sz w:val="20"/>
                <w:szCs w:val="20"/>
                <w:shd w:val="clear" w:color="auto" w:fill="D3D3D3"/>
              </w:rPr>
              <w:t>Option 2: for bids in which the Annual Ceiling is a fixed nominal amount for each Support Year. This amount may vary from year-to-year over the Support Period</w:t>
            </w:r>
            <w:r w:rsidRPr="004D3942">
              <w:rPr>
                <w:i/>
                <w:iCs/>
                <w:highlight w:val="lightGray"/>
              </w:rPr>
              <w:t>.</w:t>
            </w:r>
            <w:r>
              <w:t>]</w:t>
            </w:r>
          </w:p>
          <w:p w14:paraId="5760FD5A" w14:textId="77777777" w:rsidR="00A441DB" w:rsidRDefault="00A441DB" w:rsidP="00A441DB">
            <w:pPr>
              <w:pStyle w:val="Heading8"/>
              <w:numPr>
                <w:ilvl w:val="0"/>
                <w:numId w:val="0"/>
              </w:numPr>
              <w:spacing w:before="120" w:after="120"/>
            </w:pPr>
            <w:r>
              <w:t xml:space="preserve">The </w:t>
            </w:r>
            <w:r w:rsidRPr="00A80D25">
              <w:t>amount</w:t>
            </w:r>
            <w:r>
              <w:t>s</w:t>
            </w:r>
            <w:r w:rsidRPr="00A80D25">
              <w:t xml:space="preserve"> set out in the table </w:t>
            </w:r>
            <w:r>
              <w:t>below</w:t>
            </w:r>
            <w:r w:rsidRPr="00A80D25">
              <w:t xml:space="preserve"> for </w:t>
            </w:r>
            <w:r>
              <w:t>each</w:t>
            </w:r>
            <w:r w:rsidRPr="00A80D25">
              <w:t xml:space="preserve"> </w:t>
            </w:r>
            <w:r>
              <w:t>Support Year.</w:t>
            </w:r>
          </w:p>
          <w:tbl>
            <w:tblPr>
              <w:tblpPr w:leftFromText="180" w:rightFromText="180" w:vertAnchor="text" w:horzAnchor="margin" w:tblpXSpec="center" w:tblpY="193"/>
              <w:tblOverlap w:val="never"/>
              <w:tblW w:w="4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963"/>
            </w:tblGrid>
            <w:tr w:rsidR="00A441DB" w14:paraId="32537BB0" w14:textId="77777777" w:rsidTr="008F660B">
              <w:trPr>
                <w:trHeight w:val="195"/>
              </w:trPr>
              <w:tc>
                <w:tcPr>
                  <w:tcW w:w="1696" w:type="dxa"/>
                </w:tcPr>
                <w:p w14:paraId="7A8044FF" w14:textId="77777777" w:rsidR="00A441DB" w:rsidRDefault="00A441DB" w:rsidP="00A441DB">
                  <w:pPr>
                    <w:pStyle w:val="BodyText"/>
                    <w:spacing w:before="120" w:after="120"/>
                  </w:pPr>
                  <w:r>
                    <w:t>Support Year</w:t>
                  </w:r>
                </w:p>
              </w:tc>
              <w:tc>
                <w:tcPr>
                  <w:tcW w:w="2963" w:type="dxa"/>
                </w:tcPr>
                <w:p w14:paraId="25E3E1A0" w14:textId="77777777" w:rsidR="00A441DB" w:rsidRDefault="00A441DB" w:rsidP="00A441DB">
                  <w:pPr>
                    <w:pStyle w:val="BodyText"/>
                    <w:spacing w:before="120" w:after="120"/>
                  </w:pPr>
                  <w:r>
                    <w:t>Annual Ceiling ($/MW for each Peak Capacity Credit assigned by AEMO, in accordance with the ESM Rules, to the Project in respect of a Support Year)</w:t>
                  </w:r>
                </w:p>
              </w:tc>
            </w:tr>
            <w:tr w:rsidR="00A441DB" w14:paraId="01FC0ED8" w14:textId="77777777" w:rsidTr="008F660B">
              <w:trPr>
                <w:trHeight w:val="130"/>
              </w:trPr>
              <w:tc>
                <w:tcPr>
                  <w:tcW w:w="1696" w:type="dxa"/>
                </w:tcPr>
                <w:p w14:paraId="47BCCA21" w14:textId="77777777" w:rsidR="00A441DB" w:rsidRDefault="00A441DB" w:rsidP="00A441DB">
                  <w:pPr>
                    <w:pStyle w:val="BodyText"/>
                    <w:spacing w:before="120" w:after="120"/>
                  </w:pPr>
                  <w:r>
                    <w:rPr>
                      <w:bCs/>
                    </w:rPr>
                    <w:t>Support Year 1</w:t>
                  </w:r>
                </w:p>
              </w:tc>
              <w:tc>
                <w:tcPr>
                  <w:tcW w:w="2963" w:type="dxa"/>
                </w:tcPr>
                <w:p w14:paraId="30A340DC" w14:textId="77777777" w:rsidR="00A441DB" w:rsidRDefault="00A441DB" w:rsidP="00A441DB">
                  <w:pPr>
                    <w:pStyle w:val="BodyText"/>
                    <w:spacing w:before="120" w:after="120"/>
                  </w:pPr>
                  <w:r>
                    <w:t>[</w:t>
                  </w:r>
                  <w:r>
                    <w:rPr>
                      <w:highlight w:val="yellow"/>
                    </w:rPr>
                    <w:t>insert</w:t>
                  </w:r>
                  <w:r>
                    <w:t>]</w:t>
                  </w:r>
                </w:p>
              </w:tc>
            </w:tr>
            <w:tr w:rsidR="00A441DB" w14:paraId="1512CB82" w14:textId="77777777" w:rsidTr="008F660B">
              <w:trPr>
                <w:trHeight w:val="130"/>
              </w:trPr>
              <w:tc>
                <w:tcPr>
                  <w:tcW w:w="1696" w:type="dxa"/>
                </w:tcPr>
                <w:p w14:paraId="3DD21C8E" w14:textId="77777777" w:rsidR="00A441DB" w:rsidRDefault="00A441DB" w:rsidP="00A441DB">
                  <w:pPr>
                    <w:pStyle w:val="BodyText"/>
                    <w:spacing w:before="120" w:after="120"/>
                  </w:pPr>
                  <w:r>
                    <w:rPr>
                      <w:bCs/>
                    </w:rPr>
                    <w:t>Support Year 2</w:t>
                  </w:r>
                </w:p>
              </w:tc>
              <w:tc>
                <w:tcPr>
                  <w:tcW w:w="2963" w:type="dxa"/>
                </w:tcPr>
                <w:p w14:paraId="409E543F" w14:textId="77777777" w:rsidR="00A441DB" w:rsidRDefault="00A441DB" w:rsidP="00A441DB">
                  <w:pPr>
                    <w:pStyle w:val="BodyText"/>
                    <w:spacing w:before="120" w:after="120"/>
                  </w:pPr>
                  <w:r>
                    <w:t>[</w:t>
                  </w:r>
                  <w:r>
                    <w:rPr>
                      <w:highlight w:val="yellow"/>
                    </w:rPr>
                    <w:t>insert</w:t>
                  </w:r>
                  <w:r>
                    <w:t>]</w:t>
                  </w:r>
                </w:p>
              </w:tc>
            </w:tr>
            <w:tr w:rsidR="00A441DB" w14:paraId="7E891C83" w14:textId="77777777" w:rsidTr="008F660B">
              <w:trPr>
                <w:trHeight w:val="130"/>
              </w:trPr>
              <w:tc>
                <w:tcPr>
                  <w:tcW w:w="1696" w:type="dxa"/>
                </w:tcPr>
                <w:p w14:paraId="0D15ECCE" w14:textId="77777777" w:rsidR="00A441DB" w:rsidRDefault="00A441DB" w:rsidP="00A441DB">
                  <w:pPr>
                    <w:pStyle w:val="BodyText"/>
                    <w:spacing w:before="120" w:after="120"/>
                  </w:pPr>
                  <w:r>
                    <w:rPr>
                      <w:bCs/>
                    </w:rPr>
                    <w:t>Support Year 3</w:t>
                  </w:r>
                </w:p>
              </w:tc>
              <w:tc>
                <w:tcPr>
                  <w:tcW w:w="2963" w:type="dxa"/>
                </w:tcPr>
                <w:p w14:paraId="1D2A659E" w14:textId="77777777" w:rsidR="00A441DB" w:rsidRDefault="00A441DB" w:rsidP="00A441DB">
                  <w:pPr>
                    <w:pStyle w:val="BodyText"/>
                    <w:spacing w:before="120" w:after="120"/>
                  </w:pPr>
                  <w:r>
                    <w:t>[</w:t>
                  </w:r>
                  <w:r>
                    <w:rPr>
                      <w:highlight w:val="yellow"/>
                    </w:rPr>
                    <w:t>insert</w:t>
                  </w:r>
                  <w:r>
                    <w:t>]</w:t>
                  </w:r>
                </w:p>
              </w:tc>
            </w:tr>
            <w:tr w:rsidR="00A441DB" w14:paraId="74C611D7" w14:textId="77777777" w:rsidTr="008F660B">
              <w:trPr>
                <w:trHeight w:val="133"/>
              </w:trPr>
              <w:tc>
                <w:tcPr>
                  <w:tcW w:w="1696" w:type="dxa"/>
                </w:tcPr>
                <w:p w14:paraId="6D17BDAE" w14:textId="77777777" w:rsidR="00A441DB" w:rsidRDefault="00A441DB" w:rsidP="00A441DB">
                  <w:pPr>
                    <w:pStyle w:val="BodyText"/>
                    <w:spacing w:before="120" w:after="120"/>
                  </w:pPr>
                  <w:r>
                    <w:rPr>
                      <w:bCs/>
                    </w:rPr>
                    <w:t>Support Year 4</w:t>
                  </w:r>
                </w:p>
              </w:tc>
              <w:tc>
                <w:tcPr>
                  <w:tcW w:w="2963" w:type="dxa"/>
                </w:tcPr>
                <w:p w14:paraId="42D4B239" w14:textId="77777777" w:rsidR="00A441DB" w:rsidRDefault="00A441DB" w:rsidP="00A441DB">
                  <w:pPr>
                    <w:pStyle w:val="BodyText"/>
                    <w:spacing w:before="120" w:after="120"/>
                  </w:pPr>
                  <w:r>
                    <w:t>[</w:t>
                  </w:r>
                  <w:r>
                    <w:rPr>
                      <w:highlight w:val="yellow"/>
                    </w:rPr>
                    <w:t>insert</w:t>
                  </w:r>
                  <w:r>
                    <w:t>]</w:t>
                  </w:r>
                </w:p>
              </w:tc>
            </w:tr>
            <w:tr w:rsidR="00A441DB" w14:paraId="77F06D12" w14:textId="77777777" w:rsidTr="008F660B">
              <w:trPr>
                <w:trHeight w:val="133"/>
              </w:trPr>
              <w:tc>
                <w:tcPr>
                  <w:tcW w:w="1696" w:type="dxa"/>
                </w:tcPr>
                <w:p w14:paraId="6DA75CD7" w14:textId="77777777" w:rsidR="00A441DB" w:rsidRDefault="00A441DB" w:rsidP="00A441DB">
                  <w:pPr>
                    <w:pStyle w:val="BodyText"/>
                    <w:spacing w:before="120" w:after="120"/>
                  </w:pPr>
                  <w:r>
                    <w:rPr>
                      <w:bCs/>
                    </w:rPr>
                    <w:t>Support Year 5</w:t>
                  </w:r>
                </w:p>
              </w:tc>
              <w:tc>
                <w:tcPr>
                  <w:tcW w:w="2963" w:type="dxa"/>
                </w:tcPr>
                <w:p w14:paraId="48A18822" w14:textId="77777777" w:rsidR="00A441DB" w:rsidRDefault="00A441DB" w:rsidP="00A441DB">
                  <w:pPr>
                    <w:pStyle w:val="BodyText"/>
                    <w:spacing w:before="120" w:after="120"/>
                  </w:pPr>
                  <w:r>
                    <w:t>[</w:t>
                  </w:r>
                  <w:r>
                    <w:rPr>
                      <w:highlight w:val="yellow"/>
                    </w:rPr>
                    <w:t>insert</w:t>
                  </w:r>
                  <w:r>
                    <w:t>]</w:t>
                  </w:r>
                </w:p>
              </w:tc>
            </w:tr>
          </w:tbl>
          <w:p w14:paraId="59FA2736" w14:textId="2943D098" w:rsidR="00A441DB" w:rsidRDefault="00A441DB" w:rsidP="00A441DB">
            <w:pPr>
              <w:pStyle w:val="BodyText"/>
              <w:spacing w:before="120" w:after="120"/>
            </w:pPr>
            <w:r>
              <w:t>[</w:t>
            </w:r>
            <w:r w:rsidRPr="004D3942">
              <w:rPr>
                <w:i/>
                <w:iCs/>
                <w:highlight w:val="lightGray"/>
              </w:rPr>
              <w:t>End option 2.</w:t>
            </w:r>
            <w:r>
              <w:t>]</w:t>
            </w:r>
          </w:p>
          <w:p w14:paraId="30B2D568" w14:textId="2FDA8029" w:rsidR="00A441DB" w:rsidRPr="003C0305" w:rsidRDefault="00A441DB" w:rsidP="00A441DB">
            <w:pPr>
              <w:pStyle w:val="BodyText"/>
              <w:spacing w:before="120" w:after="120"/>
            </w:pPr>
            <w:r>
              <w:t>[</w:t>
            </w:r>
            <w:r>
              <w:rPr>
                <w:b/>
                <w:bCs/>
                <w:i/>
                <w:iCs/>
                <w:highlight w:val="lightGray"/>
              </w:rPr>
              <w:t xml:space="preserve">Note: bidders </w:t>
            </w:r>
            <w:r>
              <w:rPr>
                <w:b/>
                <w:bCs/>
                <w:i/>
                <w:iCs/>
                <w:highlight w:val="lightGray"/>
                <w:shd w:val="clear" w:color="auto" w:fill="FFFFFF"/>
              </w:rPr>
              <w:t>can put ‘N/A’ for the Annual Ceiling values in Support Years in which they do not wish to receive Commonwealth support.</w:t>
            </w:r>
            <w:r>
              <w:t>]</w:t>
            </w:r>
          </w:p>
        </w:tc>
      </w:tr>
      <w:tr w:rsidR="00A441DB" w:rsidRPr="0006608D" w14:paraId="25D7729A" w14:textId="77777777" w:rsidTr="00E56908">
        <w:trPr>
          <w:jc w:val="center"/>
        </w:trPr>
        <w:tc>
          <w:tcPr>
            <w:tcW w:w="525" w:type="dxa"/>
          </w:tcPr>
          <w:p w14:paraId="5C15F000" w14:textId="77777777" w:rsidR="00A441DB" w:rsidRPr="0006608D" w:rsidRDefault="00A441DB" w:rsidP="00A441DB">
            <w:pPr>
              <w:pStyle w:val="BodyText"/>
              <w:numPr>
                <w:ilvl w:val="0"/>
                <w:numId w:val="47"/>
              </w:numPr>
              <w:spacing w:before="120" w:after="120"/>
            </w:pPr>
            <w:bookmarkStart w:id="62" w:name="_Ref172455431"/>
          </w:p>
        </w:tc>
        <w:bookmarkEnd w:id="62"/>
        <w:tc>
          <w:tcPr>
            <w:tcW w:w="3651" w:type="dxa"/>
          </w:tcPr>
          <w:p w14:paraId="50A51C1F" w14:textId="77777777" w:rsidR="00A441DB" w:rsidRDefault="00A441DB" w:rsidP="00A441DB">
            <w:pPr>
              <w:pStyle w:val="BodyText"/>
              <w:spacing w:before="120" w:after="120"/>
            </w:pPr>
            <w:r>
              <w:t>Annual Payment Cap</w:t>
            </w:r>
          </w:p>
        </w:tc>
        <w:tc>
          <w:tcPr>
            <w:tcW w:w="5033" w:type="dxa"/>
          </w:tcPr>
          <w:p w14:paraId="5FE9344D" w14:textId="5CC2A34C" w:rsidR="00A441DB" w:rsidRDefault="00A441DB" w:rsidP="008F660B">
            <w:pPr>
              <w:pStyle w:val="BodyText"/>
              <w:spacing w:before="120" w:after="120"/>
            </w:pPr>
            <w:r>
              <w:rPr>
                <w:b/>
                <w:bCs/>
                <w:i/>
                <w:iCs/>
                <w:highlight w:val="lightGray"/>
              </w:rPr>
              <w:t>[Note: Proponents are</w:t>
            </w:r>
            <w:r w:rsidR="0085213B">
              <w:rPr>
                <w:b/>
                <w:bCs/>
                <w:i/>
                <w:iCs/>
                <w:highlight w:val="lightGray"/>
              </w:rPr>
              <w:t xml:space="preserve"> </w:t>
            </w:r>
            <w:r>
              <w:rPr>
                <w:b/>
                <w:bCs/>
                <w:i/>
                <w:iCs/>
                <w:highlight w:val="lightGray"/>
              </w:rPr>
              <w:t>not to manually insert these details – please refer to the Returnable Schedules.]</w:t>
            </w:r>
            <w:r>
              <w:t xml:space="preserve"> </w:t>
            </w:r>
          </w:p>
          <w:p w14:paraId="6934AF38" w14:textId="2963420A" w:rsidR="00A441DB" w:rsidRDefault="00A441DB" w:rsidP="00A441DB">
            <w:pPr>
              <w:pStyle w:val="Heading8"/>
              <w:numPr>
                <w:ilvl w:val="7"/>
                <w:numId w:val="0"/>
              </w:numPr>
              <w:spacing w:before="120" w:after="120"/>
            </w:pPr>
            <w:r>
              <w:t>[</w:t>
            </w:r>
            <w:r w:rsidRPr="06AC912F">
              <w:rPr>
                <w:i/>
                <w:iCs/>
                <w:highlight w:val="lightGray"/>
              </w:rPr>
              <w:t xml:space="preserve">Option 1: for bids </w:t>
            </w:r>
            <w:r>
              <w:rPr>
                <w:i/>
                <w:iCs/>
                <w:highlight w:val="lightGray"/>
              </w:rPr>
              <w:t>in which</w:t>
            </w:r>
            <w:r w:rsidRPr="06AC912F">
              <w:rPr>
                <w:i/>
                <w:iCs/>
                <w:highlight w:val="lightGray"/>
              </w:rPr>
              <w:t xml:space="preserve"> the Annual Payment Cap is a fixed nominal price for the </w:t>
            </w:r>
            <w:r>
              <w:rPr>
                <w:i/>
                <w:iCs/>
                <w:highlight w:val="lightGray"/>
              </w:rPr>
              <w:t>Support Period</w:t>
            </w:r>
            <w:r w:rsidRPr="06AC912F">
              <w:rPr>
                <w:i/>
                <w:iCs/>
                <w:highlight w:val="lightGray"/>
              </w:rPr>
              <w:t>.</w:t>
            </w:r>
            <w:r>
              <w:t>]</w:t>
            </w:r>
          </w:p>
          <w:p w14:paraId="2532EF02" w14:textId="23679DB0" w:rsidR="00A441DB" w:rsidRDefault="00A441DB" w:rsidP="00A441DB">
            <w:pPr>
              <w:pStyle w:val="Heading8"/>
              <w:numPr>
                <w:ilvl w:val="0"/>
                <w:numId w:val="0"/>
              </w:numPr>
              <w:spacing w:before="120" w:after="120"/>
            </w:pPr>
            <w:r>
              <w:t>$[</w:t>
            </w:r>
            <w:r w:rsidRPr="00904053">
              <w:rPr>
                <w:highlight w:val="yellow"/>
              </w:rPr>
              <w:t>insert</w:t>
            </w:r>
            <w:r>
              <w:t xml:space="preserve">], adjusted in accordance with clauses </w:t>
            </w:r>
            <w:r>
              <w:fldChar w:fldCharType="begin"/>
            </w:r>
            <w:r>
              <w:instrText xml:space="preserve"> REF _Ref163722455 \w \h </w:instrText>
            </w:r>
            <w:r>
              <w:fldChar w:fldCharType="separate"/>
            </w:r>
            <w:r w:rsidR="002E5C6A">
              <w:t>1.6</w:t>
            </w:r>
            <w:r>
              <w:fldChar w:fldCharType="end"/>
            </w:r>
            <w:r>
              <w:t xml:space="preserve"> (“</w:t>
            </w:r>
            <w:r>
              <w:fldChar w:fldCharType="begin"/>
            </w:r>
            <w:r>
              <w:instrText xml:space="preserve">  REF _Ref163722455 \h </w:instrText>
            </w:r>
            <w:r>
              <w:fldChar w:fldCharType="separate"/>
            </w:r>
            <w:r w:rsidR="002E5C6A" w:rsidRPr="00F06646">
              <w:t>Adjustment for partial periods</w:t>
            </w:r>
            <w:r>
              <w:fldChar w:fldCharType="end"/>
            </w:r>
            <w:r>
              <w:t xml:space="preserve">”) and </w:t>
            </w:r>
            <w:r>
              <w:fldChar w:fldCharType="begin"/>
            </w:r>
            <w:r>
              <w:instrText xml:space="preserve"> REF _Ref171501340 \w \h </w:instrText>
            </w:r>
            <w:r>
              <w:fldChar w:fldCharType="separate"/>
            </w:r>
            <w:r w:rsidR="002E5C6A">
              <w:t>1.14</w:t>
            </w:r>
            <w:r>
              <w:fldChar w:fldCharType="end"/>
            </w:r>
            <w:r>
              <w:t xml:space="preserve"> (“</w:t>
            </w:r>
            <w:r>
              <w:fldChar w:fldCharType="begin"/>
            </w:r>
            <w:r>
              <w:instrText xml:space="preserve"> REF _Ref171501340 \h </w:instrText>
            </w:r>
            <w:r>
              <w:fldChar w:fldCharType="separate"/>
            </w:r>
            <w:r w:rsidR="002E5C6A">
              <w:t>Early commencement of the First Support Year</w:t>
            </w:r>
            <w:r>
              <w:fldChar w:fldCharType="end"/>
            </w:r>
            <w:r>
              <w:t>”).</w:t>
            </w:r>
          </w:p>
          <w:p w14:paraId="2E07D647" w14:textId="77777777" w:rsidR="00A441DB" w:rsidRDefault="00A441DB" w:rsidP="00A441DB">
            <w:pPr>
              <w:pStyle w:val="Heading8"/>
              <w:numPr>
                <w:ilvl w:val="0"/>
                <w:numId w:val="0"/>
              </w:numPr>
              <w:spacing w:before="120" w:after="120"/>
            </w:pPr>
            <w:r>
              <w:t>[</w:t>
            </w:r>
            <w:r w:rsidRPr="004D3942">
              <w:rPr>
                <w:i/>
                <w:iCs/>
                <w:highlight w:val="lightGray"/>
              </w:rPr>
              <w:t>End option 1.</w:t>
            </w:r>
            <w:r>
              <w:t>]</w:t>
            </w:r>
          </w:p>
          <w:p w14:paraId="7DB41E42" w14:textId="4B177FC8" w:rsidR="00A441DB" w:rsidRDefault="00A441DB" w:rsidP="00A441DB">
            <w:pPr>
              <w:pStyle w:val="NormalWeb"/>
            </w:pPr>
            <w:r>
              <w:t>[</w:t>
            </w:r>
            <w:r>
              <w:rPr>
                <w:i/>
                <w:iCs/>
                <w:color w:val="000000"/>
                <w:sz w:val="20"/>
                <w:szCs w:val="20"/>
                <w:shd w:val="clear" w:color="auto" w:fill="D3D3D3"/>
              </w:rPr>
              <w:t>Option 2: for bids in which the Annual Payment Cap is a fixed nominal amount for each Support Year. This amount may vary from year-to-year over the Support Period</w:t>
            </w:r>
            <w:r w:rsidRPr="06AC912F">
              <w:rPr>
                <w:i/>
                <w:iCs/>
                <w:highlight w:val="lightGray"/>
              </w:rPr>
              <w:t>.</w:t>
            </w:r>
            <w:r>
              <w:t>]</w:t>
            </w:r>
          </w:p>
          <w:p w14:paraId="01F9BA39" w14:textId="1378B228" w:rsidR="00A441DB" w:rsidRDefault="00A441DB" w:rsidP="00A441DB">
            <w:pPr>
              <w:pStyle w:val="Heading8"/>
              <w:numPr>
                <w:ilvl w:val="0"/>
                <w:numId w:val="0"/>
              </w:numPr>
              <w:spacing w:before="120" w:after="120"/>
            </w:pPr>
            <w:r>
              <w:t xml:space="preserve">The </w:t>
            </w:r>
            <w:r w:rsidRPr="00A80D25">
              <w:t>amount</w:t>
            </w:r>
            <w:r>
              <w:t>s</w:t>
            </w:r>
            <w:r w:rsidRPr="00A80D25">
              <w:t xml:space="preserve"> set out in the table </w:t>
            </w:r>
            <w:r>
              <w:t>below</w:t>
            </w:r>
            <w:r w:rsidRPr="00A80D25">
              <w:t xml:space="preserve"> for </w:t>
            </w:r>
            <w:r>
              <w:t>each</w:t>
            </w:r>
            <w:r w:rsidRPr="00A80D25">
              <w:t xml:space="preserve"> </w:t>
            </w:r>
            <w:r>
              <w:t xml:space="preserve">Support Year, adjusted in accordance with clauses </w:t>
            </w:r>
            <w:r>
              <w:fldChar w:fldCharType="begin"/>
            </w:r>
            <w:r>
              <w:instrText xml:space="preserve"> REF _Ref163722455 \w \h </w:instrText>
            </w:r>
            <w:r>
              <w:fldChar w:fldCharType="separate"/>
            </w:r>
            <w:r w:rsidR="002E5C6A">
              <w:t>1.6</w:t>
            </w:r>
            <w:r>
              <w:fldChar w:fldCharType="end"/>
            </w:r>
            <w:r>
              <w:t xml:space="preserve"> (“</w:t>
            </w:r>
            <w:r>
              <w:fldChar w:fldCharType="begin"/>
            </w:r>
            <w:r>
              <w:instrText xml:space="preserve">  REF _Ref163722455 \h </w:instrText>
            </w:r>
            <w:r>
              <w:fldChar w:fldCharType="separate"/>
            </w:r>
            <w:r w:rsidR="002E5C6A" w:rsidRPr="00F06646">
              <w:t>Adjustment for partial periods</w:t>
            </w:r>
            <w:r>
              <w:fldChar w:fldCharType="end"/>
            </w:r>
            <w:r>
              <w:t xml:space="preserve">”) and </w:t>
            </w:r>
            <w:r>
              <w:fldChar w:fldCharType="begin"/>
            </w:r>
            <w:r>
              <w:instrText xml:space="preserve"> REF _Ref171501340 \w \h </w:instrText>
            </w:r>
            <w:r>
              <w:fldChar w:fldCharType="separate"/>
            </w:r>
            <w:r w:rsidR="002E5C6A">
              <w:t>1.14</w:t>
            </w:r>
            <w:r>
              <w:fldChar w:fldCharType="end"/>
            </w:r>
            <w:r>
              <w:t xml:space="preserve"> (“</w:t>
            </w:r>
            <w:r>
              <w:fldChar w:fldCharType="begin"/>
            </w:r>
            <w:r>
              <w:instrText xml:space="preserve"> REF _Ref171501340 \h </w:instrText>
            </w:r>
            <w:r>
              <w:fldChar w:fldCharType="separate"/>
            </w:r>
            <w:r w:rsidR="002E5C6A">
              <w:t>Early commencement of the First Support Year</w:t>
            </w:r>
            <w:r>
              <w:fldChar w:fldCharType="end"/>
            </w:r>
            <w:r>
              <w:t>”).</w:t>
            </w:r>
          </w:p>
          <w:tbl>
            <w:tblPr>
              <w:tblpPr w:leftFromText="180" w:rightFromText="180" w:vertAnchor="text" w:horzAnchor="margin" w:tblpY="193"/>
              <w:tblOverlap w:val="never"/>
              <w:tblW w:w="5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3373"/>
            </w:tblGrid>
            <w:tr w:rsidR="00A441DB" w14:paraId="503D02CE" w14:textId="77777777" w:rsidTr="008F660B">
              <w:trPr>
                <w:trHeight w:val="195"/>
              </w:trPr>
              <w:tc>
                <w:tcPr>
                  <w:tcW w:w="2263" w:type="dxa"/>
                </w:tcPr>
                <w:p w14:paraId="266D0095" w14:textId="77777777" w:rsidR="00A441DB" w:rsidRDefault="00A441DB" w:rsidP="00A441DB">
                  <w:pPr>
                    <w:pStyle w:val="BodyText"/>
                    <w:spacing w:before="120" w:after="120"/>
                  </w:pPr>
                  <w:r>
                    <w:t>Support Year</w:t>
                  </w:r>
                </w:p>
              </w:tc>
              <w:tc>
                <w:tcPr>
                  <w:tcW w:w="3373" w:type="dxa"/>
                </w:tcPr>
                <w:p w14:paraId="3EBC134B" w14:textId="77777777" w:rsidR="00A441DB" w:rsidRDefault="00A441DB" w:rsidP="00A441DB">
                  <w:pPr>
                    <w:pStyle w:val="BodyText"/>
                    <w:spacing w:before="120" w:after="120"/>
                  </w:pPr>
                  <w:r>
                    <w:t>Annual Payment Cap ($)</w:t>
                  </w:r>
                </w:p>
              </w:tc>
            </w:tr>
            <w:tr w:rsidR="00A441DB" w14:paraId="51C91ECE" w14:textId="77777777" w:rsidTr="008F660B">
              <w:trPr>
                <w:trHeight w:val="130"/>
              </w:trPr>
              <w:tc>
                <w:tcPr>
                  <w:tcW w:w="2263" w:type="dxa"/>
                </w:tcPr>
                <w:p w14:paraId="4FA17B84" w14:textId="77777777" w:rsidR="00A441DB" w:rsidRDefault="00A441DB" w:rsidP="00A441DB">
                  <w:pPr>
                    <w:pStyle w:val="BodyText"/>
                    <w:spacing w:before="120" w:after="120"/>
                  </w:pPr>
                  <w:r>
                    <w:rPr>
                      <w:bCs/>
                    </w:rPr>
                    <w:t>Support Year 1</w:t>
                  </w:r>
                </w:p>
              </w:tc>
              <w:tc>
                <w:tcPr>
                  <w:tcW w:w="3373" w:type="dxa"/>
                </w:tcPr>
                <w:p w14:paraId="010C5943" w14:textId="77777777" w:rsidR="00A441DB" w:rsidRDefault="00A441DB" w:rsidP="00A441DB">
                  <w:pPr>
                    <w:pStyle w:val="BodyText"/>
                    <w:spacing w:before="120" w:after="120"/>
                  </w:pPr>
                  <w:r>
                    <w:t>[</w:t>
                  </w:r>
                  <w:r>
                    <w:rPr>
                      <w:highlight w:val="yellow"/>
                    </w:rPr>
                    <w:t>insert</w:t>
                  </w:r>
                  <w:r>
                    <w:t>]</w:t>
                  </w:r>
                </w:p>
              </w:tc>
            </w:tr>
            <w:tr w:rsidR="00A441DB" w14:paraId="657ACE56" w14:textId="77777777" w:rsidTr="008F660B">
              <w:trPr>
                <w:trHeight w:val="130"/>
              </w:trPr>
              <w:tc>
                <w:tcPr>
                  <w:tcW w:w="2263" w:type="dxa"/>
                </w:tcPr>
                <w:p w14:paraId="2BAF98E9" w14:textId="77777777" w:rsidR="00A441DB" w:rsidRDefault="00A441DB" w:rsidP="00A441DB">
                  <w:pPr>
                    <w:pStyle w:val="BodyText"/>
                    <w:spacing w:before="120" w:after="120"/>
                  </w:pPr>
                  <w:r>
                    <w:rPr>
                      <w:bCs/>
                    </w:rPr>
                    <w:t>Support Year 2</w:t>
                  </w:r>
                </w:p>
              </w:tc>
              <w:tc>
                <w:tcPr>
                  <w:tcW w:w="3373" w:type="dxa"/>
                </w:tcPr>
                <w:p w14:paraId="0A89D9F2" w14:textId="77777777" w:rsidR="00A441DB" w:rsidRDefault="00A441DB" w:rsidP="00A441DB">
                  <w:pPr>
                    <w:pStyle w:val="BodyText"/>
                    <w:spacing w:before="120" w:after="120"/>
                  </w:pPr>
                  <w:r>
                    <w:t>[</w:t>
                  </w:r>
                  <w:r>
                    <w:rPr>
                      <w:highlight w:val="yellow"/>
                    </w:rPr>
                    <w:t>insert</w:t>
                  </w:r>
                  <w:r>
                    <w:t>]</w:t>
                  </w:r>
                </w:p>
              </w:tc>
            </w:tr>
            <w:tr w:rsidR="00A441DB" w14:paraId="3D6D7ED3" w14:textId="77777777" w:rsidTr="008F660B">
              <w:trPr>
                <w:trHeight w:val="130"/>
              </w:trPr>
              <w:tc>
                <w:tcPr>
                  <w:tcW w:w="2263" w:type="dxa"/>
                </w:tcPr>
                <w:p w14:paraId="334AA6A3" w14:textId="77777777" w:rsidR="00A441DB" w:rsidRDefault="00A441DB" w:rsidP="00A441DB">
                  <w:pPr>
                    <w:pStyle w:val="BodyText"/>
                    <w:spacing w:before="120" w:after="120"/>
                  </w:pPr>
                  <w:r>
                    <w:rPr>
                      <w:bCs/>
                    </w:rPr>
                    <w:t>Support Year 3</w:t>
                  </w:r>
                </w:p>
              </w:tc>
              <w:tc>
                <w:tcPr>
                  <w:tcW w:w="3373" w:type="dxa"/>
                </w:tcPr>
                <w:p w14:paraId="51E79C8C" w14:textId="77777777" w:rsidR="00A441DB" w:rsidRDefault="00A441DB" w:rsidP="00A441DB">
                  <w:pPr>
                    <w:pStyle w:val="BodyText"/>
                    <w:spacing w:before="120" w:after="120"/>
                  </w:pPr>
                  <w:r>
                    <w:t>[</w:t>
                  </w:r>
                  <w:r>
                    <w:rPr>
                      <w:highlight w:val="yellow"/>
                    </w:rPr>
                    <w:t>insert</w:t>
                  </w:r>
                  <w:r>
                    <w:t>]</w:t>
                  </w:r>
                </w:p>
              </w:tc>
            </w:tr>
            <w:tr w:rsidR="00A441DB" w14:paraId="3AF1C207" w14:textId="77777777" w:rsidTr="008F660B">
              <w:trPr>
                <w:trHeight w:val="133"/>
              </w:trPr>
              <w:tc>
                <w:tcPr>
                  <w:tcW w:w="2263" w:type="dxa"/>
                </w:tcPr>
                <w:p w14:paraId="2CA747EF" w14:textId="77777777" w:rsidR="00A441DB" w:rsidRDefault="00A441DB" w:rsidP="00A441DB">
                  <w:pPr>
                    <w:pStyle w:val="BodyText"/>
                    <w:spacing w:before="120" w:after="120"/>
                  </w:pPr>
                  <w:r>
                    <w:rPr>
                      <w:bCs/>
                    </w:rPr>
                    <w:t>Support Year 4</w:t>
                  </w:r>
                </w:p>
              </w:tc>
              <w:tc>
                <w:tcPr>
                  <w:tcW w:w="3373" w:type="dxa"/>
                </w:tcPr>
                <w:p w14:paraId="287F6927" w14:textId="77777777" w:rsidR="00A441DB" w:rsidRDefault="00A441DB" w:rsidP="00A441DB">
                  <w:pPr>
                    <w:pStyle w:val="BodyText"/>
                    <w:spacing w:before="120" w:after="120"/>
                  </w:pPr>
                  <w:r>
                    <w:t>[</w:t>
                  </w:r>
                  <w:r>
                    <w:rPr>
                      <w:highlight w:val="yellow"/>
                    </w:rPr>
                    <w:t>insert</w:t>
                  </w:r>
                  <w:r>
                    <w:t>]</w:t>
                  </w:r>
                </w:p>
              </w:tc>
            </w:tr>
            <w:tr w:rsidR="00A441DB" w14:paraId="200E45DE" w14:textId="77777777" w:rsidTr="008F660B">
              <w:trPr>
                <w:trHeight w:val="133"/>
              </w:trPr>
              <w:tc>
                <w:tcPr>
                  <w:tcW w:w="2263" w:type="dxa"/>
                </w:tcPr>
                <w:p w14:paraId="67AD5D9C" w14:textId="77777777" w:rsidR="00A441DB" w:rsidRDefault="00A441DB" w:rsidP="00A441DB">
                  <w:pPr>
                    <w:pStyle w:val="BodyText"/>
                    <w:spacing w:before="120" w:after="120"/>
                  </w:pPr>
                  <w:r>
                    <w:rPr>
                      <w:bCs/>
                    </w:rPr>
                    <w:t>Support Year 5</w:t>
                  </w:r>
                </w:p>
              </w:tc>
              <w:tc>
                <w:tcPr>
                  <w:tcW w:w="3373" w:type="dxa"/>
                </w:tcPr>
                <w:p w14:paraId="00ED0610" w14:textId="77777777" w:rsidR="00A441DB" w:rsidRDefault="00A441DB" w:rsidP="00A441DB">
                  <w:pPr>
                    <w:pStyle w:val="BodyText"/>
                    <w:spacing w:before="120" w:after="120"/>
                  </w:pPr>
                  <w:r>
                    <w:t>[</w:t>
                  </w:r>
                  <w:r>
                    <w:rPr>
                      <w:highlight w:val="yellow"/>
                    </w:rPr>
                    <w:t>insert</w:t>
                  </w:r>
                  <w:r>
                    <w:t>]</w:t>
                  </w:r>
                </w:p>
              </w:tc>
            </w:tr>
          </w:tbl>
          <w:p w14:paraId="680A0CE9" w14:textId="77777777" w:rsidR="00A441DB" w:rsidRDefault="00A441DB" w:rsidP="00A441DB">
            <w:pPr>
              <w:pStyle w:val="Heading8"/>
              <w:numPr>
                <w:ilvl w:val="0"/>
                <w:numId w:val="0"/>
              </w:numPr>
              <w:spacing w:before="120" w:after="120"/>
            </w:pPr>
            <w:r>
              <w:t>[</w:t>
            </w:r>
            <w:r w:rsidRPr="004D3942">
              <w:rPr>
                <w:i/>
                <w:iCs/>
                <w:highlight w:val="lightGray"/>
              </w:rPr>
              <w:t>End option 2.</w:t>
            </w:r>
            <w:r>
              <w:t>]</w:t>
            </w:r>
          </w:p>
          <w:p w14:paraId="722C4A73" w14:textId="77777777" w:rsidR="00A441DB" w:rsidRDefault="00A441DB" w:rsidP="00A441DB">
            <w:pPr>
              <w:pStyle w:val="Heading8"/>
              <w:numPr>
                <w:ilvl w:val="7"/>
                <w:numId w:val="0"/>
              </w:numPr>
              <w:spacing w:before="120" w:after="120"/>
              <w:rPr>
                <w:b/>
                <w:bCs/>
                <w:i/>
                <w:iCs/>
                <w:shd w:val="clear" w:color="auto" w:fill="D9D9D9" w:themeFill="background1" w:themeFillShade="D9"/>
              </w:rPr>
            </w:pPr>
            <w:r w:rsidRPr="009E2AE6">
              <w:rPr>
                <w:b/>
                <w:bCs/>
                <w:i/>
                <w:iCs/>
                <w:shd w:val="clear" w:color="auto" w:fill="D9D9D9" w:themeFill="background1" w:themeFillShade="D9"/>
              </w:rPr>
              <w:t xml:space="preserve">[Note: </w:t>
            </w:r>
            <w:r>
              <w:rPr>
                <w:b/>
                <w:bCs/>
                <w:i/>
                <w:iCs/>
                <w:shd w:val="clear" w:color="auto" w:fill="D9D9D9" w:themeFill="background1" w:themeFillShade="D9"/>
              </w:rPr>
              <w:t xml:space="preserve">this item provides </w:t>
            </w:r>
            <w:r w:rsidRPr="009E2AE6">
              <w:rPr>
                <w:b/>
                <w:bCs/>
                <w:i/>
                <w:iCs/>
                <w:shd w:val="clear" w:color="auto" w:fill="D9D9D9" w:themeFill="background1" w:themeFillShade="D9"/>
              </w:rPr>
              <w:t xml:space="preserve">a dollar cap on annual payments by the Commonwealth to Project Operator, and by Project Operator to the Commonwealth, for each </w:t>
            </w:r>
            <w:r>
              <w:rPr>
                <w:b/>
                <w:bCs/>
                <w:i/>
                <w:iCs/>
                <w:shd w:val="clear" w:color="auto" w:fill="D9D9D9" w:themeFill="background1" w:themeFillShade="D9"/>
              </w:rPr>
              <w:t>Support</w:t>
            </w:r>
            <w:r w:rsidRPr="009E2AE6">
              <w:rPr>
                <w:b/>
                <w:bCs/>
                <w:i/>
                <w:iCs/>
                <w:shd w:val="clear" w:color="auto" w:fill="D9D9D9" w:themeFill="background1" w:themeFillShade="D9"/>
              </w:rPr>
              <w:t xml:space="preserve"> Year. The Annual Payment Cap is a bid variable.]</w:t>
            </w:r>
          </w:p>
          <w:p w14:paraId="649E3EAE" w14:textId="0C2B104E" w:rsidR="00A441DB" w:rsidRPr="003A4B83" w:rsidRDefault="00A441DB" w:rsidP="00A441DB">
            <w:pPr>
              <w:pStyle w:val="Heading8"/>
              <w:numPr>
                <w:ilvl w:val="7"/>
                <w:numId w:val="0"/>
              </w:numPr>
              <w:spacing w:before="120" w:after="120"/>
              <w:rPr>
                <w:b/>
                <w:bCs/>
                <w:i/>
                <w:iCs/>
                <w:shd w:val="clear" w:color="auto" w:fill="D9D9D9" w:themeFill="background1" w:themeFillShade="D9"/>
              </w:rPr>
            </w:pPr>
            <w:r>
              <w:rPr>
                <w:i/>
                <w:iCs/>
                <w:u w:val="single"/>
              </w:rPr>
              <w:t>[</w:t>
            </w:r>
            <w:r>
              <w:rPr>
                <w:rFonts w:eastAsia="Arial"/>
                <w:b/>
                <w:i/>
                <w:iCs/>
                <w:shd w:val="clear" w:color="auto" w:fill="D9D9D9"/>
              </w:rPr>
              <w:t>Note: bidders can put ‘N/A’ for the Annual Payment Cap values in Support Years in which they do not wish to receive Commonwealth support.</w:t>
            </w:r>
            <w:r>
              <w:rPr>
                <w:i/>
                <w:iCs/>
              </w:rPr>
              <w:t>]</w:t>
            </w:r>
          </w:p>
        </w:tc>
      </w:tr>
      <w:tr w:rsidR="00A441DB" w:rsidRPr="0006608D" w14:paraId="1DFAFFBD" w14:textId="77777777" w:rsidTr="008F660B">
        <w:trPr>
          <w:jc w:val="center"/>
        </w:trPr>
        <w:tc>
          <w:tcPr>
            <w:tcW w:w="9209" w:type="dxa"/>
            <w:gridSpan w:val="3"/>
            <w:shd w:val="clear" w:color="auto" w:fill="D9D9D9" w:themeFill="background1" w:themeFillShade="D9"/>
          </w:tcPr>
          <w:p w14:paraId="55544C2B" w14:textId="77777777" w:rsidR="00A441DB" w:rsidRPr="0063446A" w:rsidRDefault="00A441DB" w:rsidP="00A441DB">
            <w:pPr>
              <w:pStyle w:val="BodyText"/>
              <w:spacing w:before="120" w:after="120"/>
              <w:rPr>
                <w:b/>
                <w:bCs/>
              </w:rPr>
            </w:pPr>
            <w:r>
              <w:rPr>
                <w:b/>
                <w:bCs/>
              </w:rPr>
              <w:t>Other terms</w:t>
            </w:r>
          </w:p>
        </w:tc>
      </w:tr>
      <w:tr w:rsidR="00A441DB" w:rsidRPr="0006608D" w14:paraId="4A3F9302" w14:textId="77777777" w:rsidTr="008F660B">
        <w:trPr>
          <w:jc w:val="center"/>
        </w:trPr>
        <w:tc>
          <w:tcPr>
            <w:tcW w:w="525" w:type="dxa"/>
          </w:tcPr>
          <w:p w14:paraId="4131C1A3" w14:textId="77777777" w:rsidR="00A441DB" w:rsidRPr="0006608D" w:rsidRDefault="00A441DB" w:rsidP="00A441DB">
            <w:pPr>
              <w:pStyle w:val="BodyText"/>
              <w:numPr>
                <w:ilvl w:val="0"/>
                <w:numId w:val="47"/>
              </w:numPr>
              <w:spacing w:before="120" w:after="120"/>
            </w:pPr>
            <w:bookmarkStart w:id="63" w:name="_Ref172455455"/>
          </w:p>
        </w:tc>
        <w:bookmarkEnd w:id="63"/>
        <w:tc>
          <w:tcPr>
            <w:tcW w:w="3651" w:type="dxa"/>
          </w:tcPr>
          <w:p w14:paraId="2CDE6B19" w14:textId="77777777" w:rsidR="00A441DB" w:rsidRPr="00F70585" w:rsidRDefault="00A441DB" w:rsidP="00A441DB">
            <w:pPr>
              <w:pStyle w:val="BodyText"/>
              <w:spacing w:before="120" w:after="120"/>
              <w:rPr>
                <w:highlight w:val="green"/>
              </w:rPr>
            </w:pPr>
            <w:r w:rsidRPr="0062051D">
              <w:t>Performance</w:t>
            </w:r>
            <w:r>
              <w:t xml:space="preserve"> </w:t>
            </w:r>
            <w:r w:rsidRPr="0062051D">
              <w:t>Security Amount</w:t>
            </w:r>
          </w:p>
        </w:tc>
        <w:tc>
          <w:tcPr>
            <w:tcW w:w="5033" w:type="dxa"/>
          </w:tcPr>
          <w:p w14:paraId="6BBF7299" w14:textId="32D595A6" w:rsidR="00A441DB" w:rsidRDefault="00A441DB" w:rsidP="00A441DB">
            <w:pPr>
              <w:pStyle w:val="BodyText"/>
              <w:spacing w:before="120" w:after="120"/>
            </w:pPr>
            <w:r>
              <w:t xml:space="preserve">$20,000 multiplied by the numerical value of the Export Capacity of the Project in MW, up to a maximum amount of $4,000,000. </w:t>
            </w:r>
          </w:p>
          <w:p w14:paraId="2A9C5397" w14:textId="552FD1D7" w:rsidR="00A441DB" w:rsidRDefault="00A441DB" w:rsidP="00A441DB">
            <w:pPr>
              <w:pStyle w:val="Heading8"/>
              <w:numPr>
                <w:ilvl w:val="0"/>
                <w:numId w:val="0"/>
              </w:numPr>
              <w:spacing w:before="120" w:after="120"/>
            </w:pPr>
            <w:r>
              <w:t>[</w:t>
            </w:r>
            <w:r w:rsidRPr="004D3942">
              <w:rPr>
                <w:b/>
                <w:bCs/>
                <w:i/>
                <w:iCs/>
                <w:highlight w:val="lightGray"/>
              </w:rPr>
              <w:t xml:space="preserve">Note: the Performance Security Amount is the amount of the </w:t>
            </w:r>
            <w:r>
              <w:rPr>
                <w:b/>
                <w:bCs/>
                <w:i/>
                <w:iCs/>
                <w:highlight w:val="lightGray"/>
              </w:rPr>
              <w:t xml:space="preserve">financial </w:t>
            </w:r>
            <w:r w:rsidRPr="004D3942">
              <w:rPr>
                <w:b/>
                <w:bCs/>
                <w:i/>
                <w:iCs/>
                <w:highlight w:val="lightGray"/>
              </w:rPr>
              <w:t>security that Project Operator must provide in accordance with this agreement.</w:t>
            </w:r>
            <w:r>
              <w:t>]</w:t>
            </w:r>
          </w:p>
        </w:tc>
      </w:tr>
      <w:tr w:rsidR="00A441DB" w:rsidRPr="0006608D" w14:paraId="04710AB3" w14:textId="77777777" w:rsidTr="00E56908">
        <w:trPr>
          <w:jc w:val="center"/>
        </w:trPr>
        <w:tc>
          <w:tcPr>
            <w:tcW w:w="525" w:type="dxa"/>
          </w:tcPr>
          <w:p w14:paraId="03F794B0" w14:textId="77777777" w:rsidR="00A441DB" w:rsidRPr="0006608D" w:rsidRDefault="00A441DB" w:rsidP="00A441DB">
            <w:pPr>
              <w:pStyle w:val="BodyText"/>
              <w:numPr>
                <w:ilvl w:val="0"/>
                <w:numId w:val="47"/>
              </w:numPr>
              <w:spacing w:before="120" w:after="120"/>
            </w:pPr>
            <w:bookmarkStart w:id="64" w:name="_Ref172455488"/>
          </w:p>
        </w:tc>
        <w:bookmarkEnd w:id="64"/>
        <w:tc>
          <w:tcPr>
            <w:tcW w:w="3651" w:type="dxa"/>
          </w:tcPr>
          <w:p w14:paraId="4C0FD910" w14:textId="77777777" w:rsidR="00A441DB" w:rsidRDefault="00A441DB" w:rsidP="00A441DB">
            <w:pPr>
              <w:pStyle w:val="BodyText"/>
              <w:spacing w:before="120" w:after="120"/>
            </w:pPr>
            <w:r w:rsidRPr="00B67596">
              <w:t>Cost Change Threshold</w:t>
            </w:r>
          </w:p>
        </w:tc>
        <w:tc>
          <w:tcPr>
            <w:tcW w:w="5033" w:type="dxa"/>
          </w:tcPr>
          <w:p w14:paraId="17070C56" w14:textId="6444EA18" w:rsidR="00A441DB" w:rsidRPr="00224446" w:rsidRDefault="00A441DB" w:rsidP="00A441DB">
            <w:pPr>
              <w:pStyle w:val="Heading8"/>
              <w:numPr>
                <w:ilvl w:val="0"/>
                <w:numId w:val="0"/>
              </w:numPr>
              <w:spacing w:before="120" w:after="120"/>
            </w:pPr>
            <w:r>
              <w:t xml:space="preserve">$2,000,000 + ($10,000 x the numerical value of the Storage Capacity of the Project in MWh as at COD, as specified in Item </w:t>
            </w:r>
            <w:r w:rsidR="00382CE0">
              <w:fldChar w:fldCharType="begin"/>
            </w:r>
            <w:r w:rsidR="00382CE0">
              <w:instrText xml:space="preserve"> REF _Ref172454712 \r \h </w:instrText>
            </w:r>
            <w:r w:rsidR="00382CE0">
              <w:fldChar w:fldCharType="separate"/>
            </w:r>
            <w:r w:rsidR="002E5C6A">
              <w:t>4</w:t>
            </w:r>
            <w:r w:rsidR="00382CE0">
              <w:fldChar w:fldCharType="end"/>
            </w:r>
            <w:r w:rsidR="00382CE0">
              <w:t xml:space="preserve"> </w:t>
            </w:r>
            <w:r>
              <w:t xml:space="preserve">of </w:t>
            </w:r>
            <w:r w:rsidRPr="00272B1D">
              <w:t xml:space="preserve">the Reference Details), up to a maximum of $7,500,000, </w:t>
            </w:r>
            <w:r w:rsidR="0036727A" w:rsidRPr="008F660B">
              <w:t xml:space="preserve">as </w:t>
            </w:r>
            <w:r w:rsidRPr="00272B1D">
              <w:t>adjusted</w:t>
            </w:r>
            <w:r w:rsidR="0036727A" w:rsidRPr="008F660B">
              <w:t xml:space="preserve"> each year</w:t>
            </w:r>
            <w:r w:rsidRPr="00272B1D">
              <w:t xml:space="preserve"> in</w:t>
            </w:r>
            <w:r w:rsidRPr="003C0305">
              <w:t xml:space="preserve"> accordance with clause </w:t>
            </w:r>
            <w:r w:rsidRPr="003C0305">
              <w:fldChar w:fldCharType="begin"/>
            </w:r>
            <w:r w:rsidRPr="003C0305">
              <w:instrText xml:space="preserve"> REF _Ref113622146 \r \h  \* MERGEFORMAT </w:instrText>
            </w:r>
            <w:r w:rsidRPr="003C0305">
              <w:fldChar w:fldCharType="separate"/>
            </w:r>
            <w:r w:rsidR="002E5C6A">
              <w:t>1.5</w:t>
            </w:r>
            <w:r w:rsidRPr="003C0305">
              <w:fldChar w:fldCharType="end"/>
            </w:r>
            <w:r w:rsidRPr="003C0305">
              <w:t xml:space="preserve"> (“</w:t>
            </w:r>
            <w:r w:rsidRPr="003C0305">
              <w:fldChar w:fldCharType="begin"/>
            </w:r>
            <w:r w:rsidRPr="003C0305">
              <w:instrText xml:space="preserve"> REF _Ref113622146 \h  \* MERGEFORMAT </w:instrText>
            </w:r>
            <w:r w:rsidRPr="003C0305">
              <w:fldChar w:fldCharType="separate"/>
            </w:r>
            <w:r w:rsidR="002E5C6A">
              <w:t>Adjustment for indexation</w:t>
            </w:r>
            <w:r w:rsidRPr="003C0305">
              <w:fldChar w:fldCharType="end"/>
            </w:r>
            <w:r w:rsidRPr="003C0305">
              <w:t>”)</w:t>
            </w:r>
            <w:r>
              <w:t>.</w:t>
            </w:r>
          </w:p>
        </w:tc>
      </w:tr>
      <w:tr w:rsidR="00A441DB" w:rsidRPr="0006608D" w14:paraId="7902C57C" w14:textId="77777777" w:rsidTr="008F660B">
        <w:trPr>
          <w:jc w:val="center"/>
        </w:trPr>
        <w:tc>
          <w:tcPr>
            <w:tcW w:w="525" w:type="dxa"/>
          </w:tcPr>
          <w:p w14:paraId="3E2A0BEE" w14:textId="77777777" w:rsidR="00A441DB" w:rsidRPr="0006608D" w:rsidRDefault="00A441DB" w:rsidP="00A441DB">
            <w:pPr>
              <w:pStyle w:val="BodyText"/>
              <w:numPr>
                <w:ilvl w:val="0"/>
                <w:numId w:val="47"/>
              </w:numPr>
              <w:spacing w:before="120" w:after="120"/>
            </w:pPr>
            <w:bookmarkStart w:id="65" w:name="_Ref176510407"/>
          </w:p>
        </w:tc>
        <w:bookmarkEnd w:id="65"/>
        <w:tc>
          <w:tcPr>
            <w:tcW w:w="3651" w:type="dxa"/>
          </w:tcPr>
          <w:p w14:paraId="6E188073" w14:textId="5289F628" w:rsidR="00A441DB" w:rsidRPr="00B67596" w:rsidRDefault="00A441DB" w:rsidP="00A441DB">
            <w:pPr>
              <w:pStyle w:val="BodyText"/>
              <w:spacing w:before="120" w:after="120"/>
            </w:pPr>
            <w:r w:rsidRPr="00001D90">
              <w:t>SLC Reporting Date</w:t>
            </w:r>
            <w:r>
              <w:t>s</w:t>
            </w:r>
          </w:p>
        </w:tc>
        <w:tc>
          <w:tcPr>
            <w:tcW w:w="5033" w:type="dxa"/>
          </w:tcPr>
          <w:p w14:paraId="13AA9CE4" w14:textId="590E124F" w:rsidR="00A441DB" w:rsidRDefault="00A441DB" w:rsidP="008F660B">
            <w:pPr>
              <w:pStyle w:val="Heading8"/>
              <w:numPr>
                <w:ilvl w:val="0"/>
                <w:numId w:val="99"/>
              </w:numPr>
              <w:spacing w:before="120" w:after="120"/>
            </w:pPr>
            <w:r>
              <w:t>Prior to the Commercial Operations Date:</w:t>
            </w:r>
          </w:p>
          <w:p w14:paraId="13518AE8" w14:textId="77777777" w:rsidR="00A441DB" w:rsidRDefault="00A441DB" w:rsidP="008F660B">
            <w:pPr>
              <w:pStyle w:val="Heading8"/>
              <w:numPr>
                <w:ilvl w:val="1"/>
                <w:numId w:val="100"/>
              </w:numPr>
              <w:spacing w:before="120" w:after="120"/>
            </w:pPr>
            <w:r w:rsidRPr="007F5ECD">
              <w:t>[</w:t>
            </w:r>
            <w:r w:rsidRPr="008F660B">
              <w:rPr>
                <w:i/>
                <w:iCs/>
                <w:highlight w:val="yellow"/>
              </w:rPr>
              <w:t>insert</w:t>
            </w:r>
            <w:r w:rsidRPr="007F5ECD">
              <w:t>]</w:t>
            </w:r>
            <w:r>
              <w:t xml:space="preserve"> in each year of the Term</w:t>
            </w:r>
            <w:r w:rsidRPr="007F5ECD">
              <w:t>.</w:t>
            </w:r>
          </w:p>
          <w:p w14:paraId="3A4AA2F9" w14:textId="77777777" w:rsidR="00A441DB" w:rsidRDefault="00A441DB" w:rsidP="008F660B">
            <w:pPr>
              <w:pStyle w:val="Heading8"/>
              <w:numPr>
                <w:ilvl w:val="1"/>
                <w:numId w:val="100"/>
              </w:numPr>
              <w:spacing w:before="120" w:after="120"/>
            </w:pPr>
            <w:r w:rsidRPr="007F5ECD">
              <w:t>[</w:t>
            </w:r>
            <w:r w:rsidRPr="008F660B">
              <w:rPr>
                <w:i/>
                <w:iCs/>
                <w:highlight w:val="yellow"/>
              </w:rPr>
              <w:t>insert</w:t>
            </w:r>
            <w:r w:rsidRPr="007F5ECD">
              <w:t>]</w:t>
            </w:r>
            <w:r>
              <w:t xml:space="preserve"> in each year of the Term</w:t>
            </w:r>
            <w:r w:rsidRPr="007F5ECD">
              <w:t>.</w:t>
            </w:r>
          </w:p>
          <w:p w14:paraId="5C5B093D" w14:textId="77777777" w:rsidR="00A441DB" w:rsidRDefault="00A441DB" w:rsidP="008F660B">
            <w:pPr>
              <w:pStyle w:val="Heading8"/>
              <w:numPr>
                <w:ilvl w:val="1"/>
                <w:numId w:val="100"/>
              </w:numPr>
              <w:spacing w:before="120" w:after="120"/>
            </w:pPr>
            <w:r w:rsidRPr="007F5ECD">
              <w:t>[</w:t>
            </w:r>
            <w:r w:rsidRPr="008F660B">
              <w:rPr>
                <w:i/>
                <w:iCs/>
                <w:highlight w:val="yellow"/>
              </w:rPr>
              <w:t>insert</w:t>
            </w:r>
            <w:r w:rsidRPr="007F5ECD">
              <w:t>]</w:t>
            </w:r>
            <w:r>
              <w:t xml:space="preserve"> in each year of the Term</w:t>
            </w:r>
            <w:r w:rsidRPr="007F5ECD">
              <w:t>.</w:t>
            </w:r>
          </w:p>
          <w:p w14:paraId="2B7E60BF" w14:textId="77777777" w:rsidR="00A441DB" w:rsidRDefault="00A441DB" w:rsidP="008F660B">
            <w:pPr>
              <w:pStyle w:val="Heading8"/>
              <w:numPr>
                <w:ilvl w:val="1"/>
                <w:numId w:val="100"/>
              </w:numPr>
              <w:spacing w:before="120" w:after="120"/>
            </w:pPr>
            <w:r w:rsidRPr="007F5ECD">
              <w:t>[</w:t>
            </w:r>
            <w:r w:rsidRPr="008F660B">
              <w:rPr>
                <w:i/>
                <w:iCs/>
                <w:highlight w:val="yellow"/>
              </w:rPr>
              <w:t>insert</w:t>
            </w:r>
            <w:r w:rsidRPr="007F5ECD">
              <w:t>]</w:t>
            </w:r>
            <w:r>
              <w:t xml:space="preserve"> in each year of the Term</w:t>
            </w:r>
            <w:r w:rsidRPr="007F5ECD">
              <w:t>.</w:t>
            </w:r>
          </w:p>
          <w:p w14:paraId="2A525555" w14:textId="77777777" w:rsidR="00A441DB" w:rsidRDefault="00A441DB" w:rsidP="008F660B">
            <w:pPr>
              <w:pStyle w:val="ListParagraph"/>
              <w:numPr>
                <w:ilvl w:val="0"/>
                <w:numId w:val="99"/>
              </w:numPr>
              <w:spacing w:before="120" w:after="120"/>
            </w:pPr>
            <w:r>
              <w:t>After the Commercial Operations Date:</w:t>
            </w:r>
          </w:p>
          <w:p w14:paraId="33A05E78" w14:textId="77777777" w:rsidR="00A441DB" w:rsidRPr="004A0A86" w:rsidRDefault="00A441DB" w:rsidP="008F660B">
            <w:pPr>
              <w:pStyle w:val="Heading8"/>
              <w:numPr>
                <w:ilvl w:val="1"/>
                <w:numId w:val="101"/>
              </w:numPr>
              <w:spacing w:before="120" w:after="120"/>
            </w:pPr>
            <w:r w:rsidRPr="007F5ECD">
              <w:t>[</w:t>
            </w:r>
            <w:r w:rsidRPr="008F660B">
              <w:rPr>
                <w:i/>
                <w:iCs/>
                <w:highlight w:val="yellow"/>
              </w:rPr>
              <w:t>insert</w:t>
            </w:r>
            <w:r w:rsidRPr="007F5ECD">
              <w:t>]</w:t>
            </w:r>
            <w:r>
              <w:t xml:space="preserve"> in each year of the Term</w:t>
            </w:r>
            <w:r w:rsidRPr="007F5ECD">
              <w:t>.</w:t>
            </w:r>
          </w:p>
          <w:p w14:paraId="3D04B78F" w14:textId="358D1A5C" w:rsidR="00A441DB" w:rsidRDefault="00A441DB" w:rsidP="00A441DB">
            <w:pPr>
              <w:pStyle w:val="Heading8"/>
              <w:numPr>
                <w:ilvl w:val="0"/>
                <w:numId w:val="0"/>
              </w:numPr>
              <w:spacing w:before="120" w:after="120"/>
            </w:pPr>
            <w:r w:rsidRPr="005F383E">
              <w:t>[</w:t>
            </w:r>
            <w:r>
              <w:rPr>
                <w:b/>
                <w:bCs/>
                <w:i/>
                <w:iCs/>
                <w:highlight w:val="lightGray"/>
              </w:rPr>
              <w:t xml:space="preserve">Note: The dates listed here will apply approximately quarterly prior to COD, and annually after COD, and will </w:t>
            </w:r>
            <w:r w:rsidRPr="00E45CB4">
              <w:rPr>
                <w:b/>
                <w:bCs/>
                <w:i/>
                <w:iCs/>
                <w:highlight w:val="lightGray"/>
              </w:rPr>
              <w:t>be advised by the Commonwealth in finalisation of this agreement</w:t>
            </w:r>
            <w:r>
              <w:rPr>
                <w:b/>
                <w:bCs/>
                <w:i/>
                <w:iCs/>
                <w:highlight w:val="lightGray"/>
              </w:rPr>
              <w:t>, so as to stagger reporting dates throughout each year during the Term and avoid receiving all reports on the same day. The dates as advised by the Commonwealth will be inserted by the Commonwealth (not the Proponent)</w:t>
            </w:r>
            <w:r w:rsidRPr="00E45CB4">
              <w:rPr>
                <w:b/>
                <w:bCs/>
                <w:i/>
                <w:iCs/>
                <w:highlight w:val="lightGray"/>
              </w:rPr>
              <w:t>.</w:t>
            </w:r>
            <w:r w:rsidRPr="005F383E">
              <w:t>]</w:t>
            </w:r>
          </w:p>
        </w:tc>
      </w:tr>
      <w:tr w:rsidR="00E84A04" w:rsidRPr="0006608D" w14:paraId="57780F86" w14:textId="77777777" w:rsidTr="008F660B">
        <w:trPr>
          <w:jc w:val="center"/>
        </w:trPr>
        <w:tc>
          <w:tcPr>
            <w:tcW w:w="525" w:type="dxa"/>
          </w:tcPr>
          <w:p w14:paraId="4F023B1F" w14:textId="77777777" w:rsidR="00E84A04" w:rsidRPr="0006608D" w:rsidRDefault="00E84A04" w:rsidP="00E84A04">
            <w:pPr>
              <w:pStyle w:val="BodyText"/>
              <w:numPr>
                <w:ilvl w:val="0"/>
                <w:numId w:val="47"/>
              </w:numPr>
              <w:spacing w:before="120" w:after="120"/>
            </w:pPr>
            <w:bookmarkStart w:id="66" w:name="_Ref206183202"/>
          </w:p>
        </w:tc>
        <w:bookmarkEnd w:id="66"/>
        <w:tc>
          <w:tcPr>
            <w:tcW w:w="3651" w:type="dxa"/>
          </w:tcPr>
          <w:p w14:paraId="23A2F36C" w14:textId="4BB9D98C" w:rsidR="00E84A04" w:rsidRPr="00001D90" w:rsidRDefault="00E84A04" w:rsidP="00E84A04">
            <w:pPr>
              <w:pStyle w:val="BodyText"/>
              <w:spacing w:before="120" w:after="120"/>
            </w:pPr>
            <w:r>
              <w:t>Labour Standards Reporting Dates</w:t>
            </w:r>
          </w:p>
        </w:tc>
        <w:tc>
          <w:tcPr>
            <w:tcW w:w="5033" w:type="dxa"/>
          </w:tcPr>
          <w:p w14:paraId="33DB9FBC" w14:textId="77777777" w:rsidR="00E84A04" w:rsidRDefault="00E84A04" w:rsidP="008F660B">
            <w:pPr>
              <w:pStyle w:val="BodyText"/>
              <w:numPr>
                <w:ilvl w:val="0"/>
                <w:numId w:val="105"/>
              </w:numPr>
              <w:spacing w:before="120" w:after="120"/>
            </w:pPr>
            <w:r>
              <w:t>Prior to the Commercial Operations Date:</w:t>
            </w:r>
          </w:p>
          <w:p w14:paraId="0B8BBAE7" w14:textId="77777777" w:rsidR="00E84A04" w:rsidRDefault="00E84A04" w:rsidP="008F660B">
            <w:pPr>
              <w:pStyle w:val="BodyText"/>
              <w:numPr>
                <w:ilvl w:val="0"/>
                <w:numId w:val="106"/>
              </w:numPr>
              <w:spacing w:before="120" w:after="120"/>
            </w:pPr>
            <w:r>
              <w:t>[</w:t>
            </w:r>
            <w:r>
              <w:rPr>
                <w:i/>
                <w:iCs/>
                <w:highlight w:val="yellow"/>
              </w:rPr>
              <w:t>insert</w:t>
            </w:r>
            <w:r>
              <w:t>] in each year of the Term.</w:t>
            </w:r>
          </w:p>
          <w:p w14:paraId="0A8DEDF6" w14:textId="77777777" w:rsidR="00E84A04" w:rsidRDefault="00E84A04" w:rsidP="008F660B">
            <w:pPr>
              <w:pStyle w:val="BodyText"/>
              <w:numPr>
                <w:ilvl w:val="0"/>
                <w:numId w:val="106"/>
              </w:numPr>
              <w:spacing w:before="120" w:after="120"/>
            </w:pPr>
            <w:r>
              <w:t>[</w:t>
            </w:r>
            <w:r>
              <w:rPr>
                <w:i/>
                <w:iCs/>
                <w:highlight w:val="yellow"/>
              </w:rPr>
              <w:t>insert</w:t>
            </w:r>
            <w:r>
              <w:t>] in each year of the Term.</w:t>
            </w:r>
          </w:p>
          <w:p w14:paraId="01EEB922" w14:textId="77777777" w:rsidR="00E84A04" w:rsidRDefault="00E84A04" w:rsidP="008F660B">
            <w:pPr>
              <w:pStyle w:val="BodyText"/>
              <w:numPr>
                <w:ilvl w:val="0"/>
                <w:numId w:val="106"/>
              </w:numPr>
              <w:spacing w:before="120" w:after="120"/>
            </w:pPr>
            <w:r>
              <w:t>[</w:t>
            </w:r>
            <w:r>
              <w:rPr>
                <w:i/>
                <w:iCs/>
                <w:highlight w:val="yellow"/>
              </w:rPr>
              <w:t>insert</w:t>
            </w:r>
            <w:r>
              <w:t>] in each year of the Term.</w:t>
            </w:r>
          </w:p>
          <w:p w14:paraId="3E40FAC2" w14:textId="77777777" w:rsidR="00E84A04" w:rsidRDefault="00E84A04" w:rsidP="008F660B">
            <w:pPr>
              <w:pStyle w:val="BodyText"/>
              <w:numPr>
                <w:ilvl w:val="0"/>
                <w:numId w:val="106"/>
              </w:numPr>
              <w:spacing w:before="120" w:after="120"/>
            </w:pPr>
            <w:r>
              <w:t>[</w:t>
            </w:r>
            <w:r>
              <w:rPr>
                <w:i/>
                <w:iCs/>
                <w:highlight w:val="yellow"/>
              </w:rPr>
              <w:t>insert</w:t>
            </w:r>
            <w:r>
              <w:t>] in each year of the Term.</w:t>
            </w:r>
          </w:p>
          <w:p w14:paraId="5DE0C12A" w14:textId="77777777" w:rsidR="00E84A04" w:rsidRDefault="00E84A04" w:rsidP="008F660B">
            <w:pPr>
              <w:pStyle w:val="BodyText"/>
              <w:numPr>
                <w:ilvl w:val="0"/>
                <w:numId w:val="105"/>
              </w:numPr>
              <w:spacing w:before="120" w:after="120"/>
            </w:pPr>
            <w:r>
              <w:t>After the Commercial Operations Date:</w:t>
            </w:r>
          </w:p>
          <w:p w14:paraId="125F4D30" w14:textId="77777777" w:rsidR="00E84A04" w:rsidRDefault="00E84A04" w:rsidP="008F660B">
            <w:pPr>
              <w:pStyle w:val="BodyText"/>
              <w:numPr>
                <w:ilvl w:val="0"/>
                <w:numId w:val="107"/>
              </w:numPr>
              <w:spacing w:before="120" w:after="120"/>
            </w:pPr>
            <w:r>
              <w:t>[</w:t>
            </w:r>
            <w:r>
              <w:rPr>
                <w:i/>
                <w:iCs/>
                <w:highlight w:val="yellow"/>
              </w:rPr>
              <w:t>insert</w:t>
            </w:r>
            <w:r>
              <w:t>] in each year of the Term.</w:t>
            </w:r>
          </w:p>
          <w:p w14:paraId="3D6143EF" w14:textId="6D20F79C" w:rsidR="00E84A04" w:rsidRDefault="00E84A04" w:rsidP="008F660B">
            <w:pPr>
              <w:pStyle w:val="Heading8"/>
              <w:numPr>
                <w:ilvl w:val="0"/>
                <w:numId w:val="0"/>
              </w:numPr>
              <w:spacing w:before="120" w:after="120"/>
              <w:ind w:left="720"/>
            </w:pPr>
            <w:r>
              <w:t>[</w:t>
            </w:r>
            <w:r>
              <w:rPr>
                <w:b/>
                <w:bCs/>
                <w:i/>
                <w:iCs/>
                <w:highlight w:val="lightGray"/>
              </w:rPr>
              <w:t>Note: the dates listed here will apply approximately quarterly prior to COD, and annually after COD, and will be advised by the Commonwealth in finalisation of this agreement, so as to stagger reporting dates throughout each year during the Term and avoid receiving all reports on the same day. The dates as advised by the Commonwealth will be inserted by the Commonwealth (not the Proponent).</w:t>
            </w:r>
            <w:r>
              <w:t>]</w:t>
            </w:r>
          </w:p>
        </w:tc>
      </w:tr>
      <w:bookmarkEnd w:id="32"/>
      <w:bookmarkEnd w:id="38"/>
    </w:tbl>
    <w:p w14:paraId="7FB42521" w14:textId="77777777" w:rsidR="00A80D25" w:rsidRPr="00791555" w:rsidRDefault="00A80D25" w:rsidP="00756445">
      <w:pPr>
        <w:pStyle w:val="SchedH3"/>
        <w:numPr>
          <w:ilvl w:val="0"/>
          <w:numId w:val="0"/>
        </w:numPr>
      </w:pPr>
    </w:p>
    <w:p w14:paraId="3D01545B" w14:textId="77777777" w:rsidR="00A80D25" w:rsidRDefault="00A80D25" w:rsidP="00756445">
      <w:pPr>
        <w:pStyle w:val="Headersub"/>
        <w:spacing w:after="1000"/>
        <w:sectPr w:rsidR="00A80D25" w:rsidSect="00E5595F">
          <w:headerReference w:type="even" r:id="rId30"/>
          <w:headerReference w:type="default" r:id="rId31"/>
          <w:footerReference w:type="even" r:id="rId32"/>
          <w:footerReference w:type="default" r:id="rId33"/>
          <w:headerReference w:type="first" r:id="rId34"/>
          <w:footerReference w:type="first" r:id="rId35"/>
          <w:type w:val="continuous"/>
          <w:pgSz w:w="11907" w:h="16840" w:code="9"/>
          <w:pgMar w:top="1134" w:right="1134" w:bottom="1418" w:left="2835" w:header="425" w:footer="567" w:gutter="0"/>
          <w:cols w:space="720"/>
          <w:titlePg/>
          <w:docGrid w:linePitch="313"/>
        </w:sectPr>
      </w:pPr>
    </w:p>
    <w:p w14:paraId="770DFA27" w14:textId="77777777" w:rsidR="003B3F37" w:rsidRDefault="003B3F37" w:rsidP="00756445">
      <w:pPr>
        <w:pStyle w:val="Headersub"/>
        <w:spacing w:after="1000"/>
      </w:pPr>
      <w:bookmarkStart w:id="67" w:name="_Toc207309546"/>
      <w:r w:rsidRPr="007217B9">
        <w:t>General terms</w:t>
      </w:r>
      <w:bookmarkEnd w:id="29"/>
      <w:bookmarkEnd w:id="30"/>
      <w:bookmarkEnd w:id="67"/>
    </w:p>
    <w:p w14:paraId="6E4294DD" w14:textId="77777777" w:rsidR="00907F1C" w:rsidRPr="00991FDD" w:rsidRDefault="00907F1C" w:rsidP="00467340">
      <w:pPr>
        <w:pStyle w:val="Heading1"/>
        <w:numPr>
          <w:ilvl w:val="0"/>
          <w:numId w:val="54"/>
        </w:numPr>
      </w:pPr>
      <w:bookmarkStart w:id="68" w:name="_Toc146782619"/>
      <w:bookmarkStart w:id="69" w:name="_Toc146790524"/>
      <w:bookmarkStart w:id="70" w:name="_Toc147053557"/>
      <w:bookmarkStart w:id="71" w:name="_Toc147167139"/>
      <w:bookmarkStart w:id="72" w:name="_Toc159511686"/>
      <w:bookmarkStart w:id="73" w:name="_Toc94885650"/>
      <w:bookmarkStart w:id="74" w:name="_Toc94886087"/>
      <w:bookmarkStart w:id="75" w:name="_Toc99723189"/>
      <w:bookmarkStart w:id="76" w:name="_Ref467658249"/>
      <w:bookmarkStart w:id="77" w:name="_Ref467658250"/>
      <w:bookmarkStart w:id="78" w:name="_Ref467658485"/>
      <w:bookmarkStart w:id="79" w:name="_Toc492504652"/>
      <w:bookmarkStart w:id="80" w:name="_Toc515358755"/>
      <w:bookmarkStart w:id="81" w:name="_Toc207309547"/>
      <w:bookmarkEnd w:id="68"/>
      <w:bookmarkEnd w:id="69"/>
      <w:bookmarkEnd w:id="70"/>
      <w:bookmarkEnd w:id="71"/>
      <w:bookmarkEnd w:id="72"/>
      <w:bookmarkEnd w:id="73"/>
      <w:bookmarkEnd w:id="74"/>
      <w:bookmarkEnd w:id="75"/>
      <w:r w:rsidRPr="00991FDD">
        <w:t>Definitions and interpretation</w:t>
      </w:r>
      <w:bookmarkEnd w:id="76"/>
      <w:bookmarkEnd w:id="77"/>
      <w:bookmarkEnd w:id="78"/>
      <w:bookmarkEnd w:id="79"/>
      <w:bookmarkEnd w:id="80"/>
      <w:bookmarkEnd w:id="81"/>
    </w:p>
    <w:p w14:paraId="0B55D54E" w14:textId="77777777" w:rsidR="00907F1C" w:rsidRDefault="06AC912F" w:rsidP="008F660B">
      <w:pPr>
        <w:pStyle w:val="Heading2"/>
        <w:numPr>
          <w:ilvl w:val="1"/>
          <w:numId w:val="80"/>
        </w:numPr>
      </w:pPr>
      <w:bookmarkStart w:id="82" w:name="_Toc492504653"/>
      <w:bookmarkStart w:id="83" w:name="_Toc515358756"/>
      <w:bookmarkStart w:id="84" w:name="_Ref204702915"/>
      <w:bookmarkStart w:id="85" w:name="_Toc207309548"/>
      <w:r>
        <w:t>Defined terms</w:t>
      </w:r>
      <w:bookmarkEnd w:id="82"/>
      <w:bookmarkEnd w:id="83"/>
      <w:bookmarkEnd w:id="84"/>
      <w:bookmarkEnd w:id="85"/>
    </w:p>
    <w:p w14:paraId="76E4BDEA" w14:textId="458967D5" w:rsidR="00907F1C" w:rsidRPr="00666ED4" w:rsidRDefault="00720B9A" w:rsidP="0058045D">
      <w:pPr>
        <w:pStyle w:val="Indent2"/>
      </w:pPr>
      <w:r>
        <w:t xml:space="preserve">Capitalised terms in this </w:t>
      </w:r>
      <w:r w:rsidR="000E0196" w:rsidRPr="00666ED4">
        <w:t>agreement</w:t>
      </w:r>
      <w:r w:rsidRPr="00666ED4">
        <w:t xml:space="preserve"> have the </w:t>
      </w:r>
      <w:r w:rsidR="00020AE4" w:rsidRPr="00666ED4">
        <w:t>meaning set out below,</w:t>
      </w:r>
      <w:r w:rsidRPr="00666ED4">
        <w:t xml:space="preserve"> unless the </w:t>
      </w:r>
      <w:r w:rsidR="0029292A" w:rsidRPr="00666ED4">
        <w:t>contrary intention appears:</w:t>
      </w:r>
    </w:p>
    <w:p w14:paraId="4056BD22" w14:textId="351BFA5D" w:rsidR="00BE77D6" w:rsidRPr="00666ED4" w:rsidRDefault="00BE77D6" w:rsidP="0058045D">
      <w:pPr>
        <w:pStyle w:val="Heading7"/>
      </w:pPr>
      <w:bookmarkStart w:id="86" w:name="_Hlk104226407"/>
      <w:r w:rsidRPr="00666ED4">
        <w:rPr>
          <w:b/>
          <w:bCs/>
        </w:rPr>
        <w:t xml:space="preserve">Acceptable Credit Rating </w:t>
      </w:r>
      <w:r w:rsidRPr="00666ED4">
        <w:t xml:space="preserve">means a credit rating of at least A- </w:t>
      </w:r>
      <w:r w:rsidRPr="00666ED4">
        <w:rPr>
          <w:szCs w:val="18"/>
        </w:rPr>
        <w:t xml:space="preserve">by Standard &amp; Poor’s or A3 by Moody’s or, if both of those agencies cease to operate or </w:t>
      </w:r>
      <w:r w:rsidR="00896414" w:rsidRPr="00666ED4">
        <w:rPr>
          <w:szCs w:val="18"/>
        </w:rPr>
        <w:t xml:space="preserve">to </w:t>
      </w:r>
      <w:r w:rsidRPr="00666ED4">
        <w:rPr>
          <w:szCs w:val="18"/>
        </w:rPr>
        <w:t>give ratings of the kind referred to above, an equivalent rating from another reputable ratings agency acceptable to the Commonwealth (acting reasonably).</w:t>
      </w:r>
      <w:bookmarkEnd w:id="86"/>
    </w:p>
    <w:p w14:paraId="6512F429" w14:textId="132A3503" w:rsidR="003F4015" w:rsidRPr="00ED6B6A" w:rsidRDefault="003F4015" w:rsidP="0058045D">
      <w:pPr>
        <w:pStyle w:val="Heading7"/>
        <w:numPr>
          <w:ilvl w:val="6"/>
          <w:numId w:val="0"/>
        </w:numPr>
        <w:ind w:left="737"/>
      </w:pPr>
      <w:r w:rsidRPr="00666ED4">
        <w:rPr>
          <w:b/>
          <w:bCs/>
        </w:rPr>
        <w:t xml:space="preserve">Accepted Capacity Tolerance </w:t>
      </w:r>
      <w:r w:rsidRPr="00666ED4">
        <w:t>has the meaning given in</w:t>
      </w:r>
      <w:r w:rsidR="00FC7AD4">
        <w:t xml:space="preserve"> </w:t>
      </w:r>
      <w:r w:rsidR="00FC7AD4" w:rsidRPr="000B5694">
        <w:t>item</w:t>
      </w:r>
      <w:r w:rsidRPr="003F2874">
        <w:t xml:space="preserve"> </w:t>
      </w:r>
      <w:r w:rsidR="000B5694" w:rsidRPr="008F660B">
        <w:fldChar w:fldCharType="begin"/>
      </w:r>
      <w:r w:rsidR="000B5694" w:rsidRPr="008F660B">
        <w:instrText xml:space="preserve"> REF _Ref203745366 \r \h </w:instrText>
      </w:r>
      <w:r w:rsidR="000B5694">
        <w:instrText xml:space="preserve"> \* MERGEFORMAT </w:instrText>
      </w:r>
      <w:r w:rsidR="000B5694" w:rsidRPr="008F660B">
        <w:fldChar w:fldCharType="separate"/>
      </w:r>
      <w:r w:rsidR="002E5C6A">
        <w:t>10</w:t>
      </w:r>
      <w:r w:rsidR="000B5694" w:rsidRPr="008F660B">
        <w:fldChar w:fldCharType="end"/>
      </w:r>
      <w:r w:rsidRPr="00666ED4">
        <w:t xml:space="preserve"> of the Reference Details.</w:t>
      </w:r>
      <w:r>
        <w:t xml:space="preserve"> </w:t>
      </w:r>
    </w:p>
    <w:p w14:paraId="773ACAE9" w14:textId="21F4A14F" w:rsidR="00B2286B" w:rsidRDefault="00B2286B" w:rsidP="0058045D">
      <w:pPr>
        <w:pStyle w:val="Heading7"/>
        <w:numPr>
          <w:ilvl w:val="6"/>
          <w:numId w:val="0"/>
        </w:numPr>
        <w:ind w:left="737"/>
      </w:pPr>
      <w:r>
        <w:rPr>
          <w:b/>
          <w:bCs/>
        </w:rPr>
        <w:t xml:space="preserve">Accounts and Records </w:t>
      </w:r>
      <w:r>
        <w:t xml:space="preserve">has the meaning given in clause </w:t>
      </w:r>
      <w:r w:rsidR="009B4DA0">
        <w:fldChar w:fldCharType="begin"/>
      </w:r>
      <w:r w:rsidR="009B4DA0">
        <w:instrText xml:space="preserve"> REF _Ref205749244 \r \h </w:instrText>
      </w:r>
      <w:r w:rsidR="009B4DA0">
        <w:fldChar w:fldCharType="separate"/>
      </w:r>
      <w:r w:rsidR="002E5C6A">
        <w:t>32.1(a)</w:t>
      </w:r>
      <w:r w:rsidR="009B4DA0">
        <w:fldChar w:fldCharType="end"/>
      </w:r>
      <w:r w:rsidR="00847C21">
        <w:t>.</w:t>
      </w:r>
      <w:r>
        <w:t xml:space="preserve"> </w:t>
      </w:r>
    </w:p>
    <w:p w14:paraId="2A7080C0" w14:textId="47AB2396" w:rsidR="00F2192D" w:rsidRPr="00A10375" w:rsidRDefault="2BC382E4" w:rsidP="0058045D">
      <w:pPr>
        <w:pStyle w:val="Heading7"/>
        <w:numPr>
          <w:ilvl w:val="6"/>
          <w:numId w:val="0"/>
        </w:numPr>
        <w:ind w:left="737"/>
      </w:pPr>
      <w:r w:rsidRPr="2BC382E4">
        <w:rPr>
          <w:b/>
          <w:bCs/>
        </w:rPr>
        <w:t xml:space="preserve">Adjustment Date </w:t>
      </w:r>
      <w:r>
        <w:t xml:space="preserve">means </w:t>
      </w:r>
      <w:r w:rsidR="00833966">
        <w:t>1</w:t>
      </w:r>
      <w:r w:rsidR="004B007B">
        <w:t xml:space="preserve"> October 2027</w:t>
      </w:r>
      <w:r w:rsidR="00833966">
        <w:t xml:space="preserve"> and each following 1 </w:t>
      </w:r>
      <w:r w:rsidR="000E3275">
        <w:t>October</w:t>
      </w:r>
      <w:r w:rsidR="00833966">
        <w:t xml:space="preserve"> during the Term.</w:t>
      </w:r>
    </w:p>
    <w:p w14:paraId="39081A58" w14:textId="627E0651" w:rsidR="00907F1C" w:rsidRDefault="00907F1C" w:rsidP="0058045D">
      <w:pPr>
        <w:pStyle w:val="Heading7"/>
      </w:pPr>
      <w:r w:rsidRPr="00DE0170">
        <w:rPr>
          <w:b/>
        </w:rPr>
        <w:t>AEMO</w:t>
      </w:r>
      <w:r>
        <w:t xml:space="preserve"> means the Australian </w:t>
      </w:r>
      <w:r w:rsidR="00F65E84">
        <w:t>Energy</w:t>
      </w:r>
      <w:r>
        <w:t xml:space="preserve"> Market Operator</w:t>
      </w:r>
      <w:r w:rsidR="0029292A">
        <w:t xml:space="preserve"> </w:t>
      </w:r>
      <w:r w:rsidR="00E8549C">
        <w:t>Limited</w:t>
      </w:r>
      <w:r w:rsidR="0029292A">
        <w:t xml:space="preserve"> (ACN 072 010 327)</w:t>
      </w:r>
      <w:r w:rsidR="009F5C5E">
        <w:t xml:space="preserve"> </w:t>
      </w:r>
      <w:r w:rsidR="009F5C5E" w:rsidRPr="009F5C5E">
        <w:t xml:space="preserve">or such other entity </w:t>
      </w:r>
      <w:r w:rsidR="009E602D">
        <w:t>as</w:t>
      </w:r>
      <w:r w:rsidR="009E602D" w:rsidRPr="009F5C5E">
        <w:t xml:space="preserve"> </w:t>
      </w:r>
      <w:r w:rsidR="009F5C5E" w:rsidRPr="009F5C5E">
        <w:t xml:space="preserve">may at any time and from time to time operate and administer the </w:t>
      </w:r>
      <w:r w:rsidR="0039210A">
        <w:t>W</w:t>
      </w:r>
      <w:r w:rsidR="009F5C5E" w:rsidRPr="009F5C5E">
        <w:t xml:space="preserve">EM in accordance with the </w:t>
      </w:r>
      <w:r w:rsidR="004A1236">
        <w:t>ESM Rules</w:t>
      </w:r>
      <w:r>
        <w:t>.</w:t>
      </w:r>
    </w:p>
    <w:p w14:paraId="06E77E95" w14:textId="3C7B7CD0" w:rsidR="00DF002E" w:rsidRDefault="00DF002E" w:rsidP="00A0771D">
      <w:pPr>
        <w:pStyle w:val="Heading7"/>
      </w:pPr>
      <w:r w:rsidRPr="008E4A1B">
        <w:rPr>
          <w:b/>
          <w:bCs/>
        </w:rPr>
        <w:t>Aggregate Annual Rebate</w:t>
      </w:r>
      <w:r w:rsidRPr="00DF002E">
        <w:t xml:space="preserve"> has the meaning </w:t>
      </w:r>
      <w:r w:rsidRPr="0079527D">
        <w:t xml:space="preserve">given in </w:t>
      </w:r>
      <w:r w:rsidR="002722CB">
        <w:t>section</w:t>
      </w:r>
      <w:r w:rsidR="004B007B" w:rsidRPr="0079527D">
        <w:t xml:space="preserve"> </w:t>
      </w:r>
      <w:r w:rsidR="002722CB">
        <w:fldChar w:fldCharType="begin"/>
      </w:r>
      <w:r w:rsidR="002722CB">
        <w:instrText xml:space="preserve"> REF _Ref206083170 \n \h </w:instrText>
      </w:r>
      <w:r w:rsidR="002722CB">
        <w:fldChar w:fldCharType="separate"/>
      </w:r>
      <w:r w:rsidR="002E5C6A">
        <w:t>8</w:t>
      </w:r>
      <w:r w:rsidR="002722CB">
        <w:fldChar w:fldCharType="end"/>
      </w:r>
      <w:r w:rsidR="002722CB">
        <w:t xml:space="preserve"> </w:t>
      </w:r>
      <w:r w:rsidRPr="0079527D">
        <w:t xml:space="preserve">of </w:t>
      </w:r>
      <w:r w:rsidR="00BA1BD2">
        <w:rPr>
          <w:bCs/>
        </w:rPr>
        <w:fldChar w:fldCharType="begin"/>
      </w:r>
      <w:r w:rsidR="00BA1BD2">
        <w:rPr>
          <w:bCs/>
        </w:rPr>
        <w:instrText xml:space="preserve"> REF _Ref103257737 \w \h </w:instrText>
      </w:r>
      <w:r w:rsidR="00BA1BD2">
        <w:rPr>
          <w:bCs/>
        </w:rPr>
      </w:r>
      <w:r w:rsidR="00BA1BD2">
        <w:rPr>
          <w:bCs/>
        </w:rPr>
        <w:fldChar w:fldCharType="separate"/>
      </w:r>
      <w:r w:rsidR="002E5C6A">
        <w:rPr>
          <w:bCs/>
        </w:rPr>
        <w:t>Schedule 1</w:t>
      </w:r>
      <w:r w:rsidR="00BA1BD2">
        <w:rPr>
          <w:bCs/>
        </w:rPr>
        <w:fldChar w:fldCharType="end"/>
      </w:r>
      <w:r w:rsidR="00E12809">
        <w:rPr>
          <w:bCs/>
        </w:rPr>
        <w:t xml:space="preserve"> </w:t>
      </w:r>
      <w:r w:rsidR="00E12809">
        <w:t>(“</w:t>
      </w:r>
      <w:r w:rsidR="00E12809">
        <w:fldChar w:fldCharType="begin"/>
      </w:r>
      <w:r w:rsidR="00E12809">
        <w:instrText xml:space="preserve">  REF _Ref103257737 \h </w:instrText>
      </w:r>
      <w:r w:rsidR="00E12809">
        <w:fldChar w:fldCharType="separate"/>
      </w:r>
      <w:r w:rsidR="002E5C6A">
        <w:t>Support terms</w:t>
      </w:r>
      <w:r w:rsidR="00E12809">
        <w:fldChar w:fldCharType="end"/>
      </w:r>
      <w:r w:rsidR="00E12809">
        <w:t>”)</w:t>
      </w:r>
      <w:r w:rsidRPr="0079527D">
        <w:t>.</w:t>
      </w:r>
      <w:r w:rsidRPr="00DF002E">
        <w:t xml:space="preserve"> </w:t>
      </w:r>
    </w:p>
    <w:p w14:paraId="5E8EAB2D" w14:textId="0ADB4F59" w:rsidR="00913170" w:rsidRPr="009B4DA0" w:rsidRDefault="00644590" w:rsidP="008F660B">
      <w:pPr>
        <w:pStyle w:val="Heading7"/>
        <w:numPr>
          <w:ilvl w:val="0"/>
          <w:numId w:val="0"/>
        </w:numPr>
        <w:ind w:left="737"/>
        <w:rPr>
          <w:b/>
          <w:bCs/>
        </w:rPr>
      </w:pPr>
      <w:r w:rsidRPr="009B4DA0">
        <w:rPr>
          <w:b/>
          <w:bCs/>
        </w:rPr>
        <w:t xml:space="preserve">Agreement Debt </w:t>
      </w:r>
      <w:r>
        <w:t xml:space="preserve">has the meaning given in clause </w:t>
      </w:r>
      <w:r>
        <w:fldChar w:fldCharType="begin"/>
      </w:r>
      <w:r>
        <w:instrText xml:space="preserve"> REF _Ref99724631 \r \h </w:instrText>
      </w:r>
      <w:r>
        <w:fldChar w:fldCharType="separate"/>
      </w:r>
      <w:r w:rsidR="002E5C6A">
        <w:t>3.3</w:t>
      </w:r>
      <w:r>
        <w:fldChar w:fldCharType="end"/>
      </w:r>
      <w:r>
        <w:t xml:space="preserve"> (“</w:t>
      </w:r>
      <w:r>
        <w:fldChar w:fldCharType="begin"/>
      </w:r>
      <w:r>
        <w:instrText xml:space="preserve"> REF _Ref99724631 \h </w:instrText>
      </w:r>
      <w:r>
        <w:fldChar w:fldCharType="separate"/>
      </w:r>
      <w:r w:rsidR="002E5C6A">
        <w:t>Recourse to Performance Security</w:t>
      </w:r>
      <w:r>
        <w:fldChar w:fldCharType="end"/>
      </w:r>
      <w:r>
        <w:t>”).</w:t>
      </w:r>
    </w:p>
    <w:p w14:paraId="4D2025BA" w14:textId="309AECF6" w:rsidR="003F4015" w:rsidRPr="00666ED4" w:rsidRDefault="003F4015" w:rsidP="00850BA6">
      <w:pPr>
        <w:pStyle w:val="Heading7"/>
        <w:rPr>
          <w:b/>
          <w:bCs/>
        </w:rPr>
      </w:pPr>
      <w:r w:rsidRPr="00666ED4">
        <w:rPr>
          <w:b/>
          <w:bCs/>
        </w:rPr>
        <w:t xml:space="preserve">Annual Ceiling </w:t>
      </w:r>
      <w:r w:rsidRPr="00666ED4">
        <w:t xml:space="preserve">has the meaning given in item </w:t>
      </w:r>
      <w:r w:rsidRPr="00666ED4">
        <w:fldChar w:fldCharType="begin"/>
      </w:r>
      <w:r w:rsidRPr="00666ED4">
        <w:instrText xml:space="preserve"> REF _Ref172455407 \r \h </w:instrText>
      </w:r>
      <w:r w:rsidR="00D6422A" w:rsidRPr="00666ED4">
        <w:instrText xml:space="preserve"> \* MERGEFORMAT </w:instrText>
      </w:r>
      <w:r w:rsidRPr="00666ED4">
        <w:fldChar w:fldCharType="separate"/>
      </w:r>
      <w:r w:rsidR="002E5C6A">
        <w:t>26</w:t>
      </w:r>
      <w:r w:rsidRPr="00666ED4">
        <w:fldChar w:fldCharType="end"/>
      </w:r>
      <w:r w:rsidRPr="00666ED4">
        <w:t xml:space="preserve"> of the Reference Details. </w:t>
      </w:r>
    </w:p>
    <w:p w14:paraId="7AEC5786" w14:textId="778A33D3" w:rsidR="003F4015" w:rsidRPr="00666ED4" w:rsidRDefault="003F4015" w:rsidP="00850BA6">
      <w:pPr>
        <w:pStyle w:val="Heading7"/>
        <w:rPr>
          <w:b/>
          <w:bCs/>
        </w:rPr>
      </w:pPr>
      <w:r w:rsidRPr="00666ED4">
        <w:rPr>
          <w:b/>
          <w:bCs/>
        </w:rPr>
        <w:t xml:space="preserve">Annual Floor </w:t>
      </w:r>
      <w:r w:rsidRPr="00666ED4">
        <w:t xml:space="preserve">has the meaning given in item </w:t>
      </w:r>
      <w:r w:rsidRPr="00666ED4">
        <w:fldChar w:fldCharType="begin"/>
      </w:r>
      <w:r w:rsidRPr="00666ED4">
        <w:instrText xml:space="preserve"> REF _Ref172455381 \r \h </w:instrText>
      </w:r>
      <w:r w:rsidR="00D6422A" w:rsidRPr="00666ED4">
        <w:instrText xml:space="preserve"> \* MERGEFORMAT </w:instrText>
      </w:r>
      <w:r w:rsidRPr="00666ED4">
        <w:fldChar w:fldCharType="separate"/>
      </w:r>
      <w:r w:rsidR="002E5C6A">
        <w:t>25</w:t>
      </w:r>
      <w:r w:rsidRPr="00666ED4">
        <w:fldChar w:fldCharType="end"/>
      </w:r>
      <w:r w:rsidRPr="00666ED4">
        <w:t xml:space="preserve"> of the Reference Details. </w:t>
      </w:r>
    </w:p>
    <w:p w14:paraId="079BD1E8" w14:textId="7BD93956" w:rsidR="008644E3" w:rsidRPr="00666ED4" w:rsidRDefault="00CA4FFD" w:rsidP="00131021">
      <w:pPr>
        <w:pStyle w:val="Heading7"/>
        <w:rPr>
          <w:bCs/>
        </w:rPr>
      </w:pPr>
      <w:r w:rsidRPr="00666ED4">
        <w:rPr>
          <w:b/>
        </w:rPr>
        <w:t>Annual Maintenance Program</w:t>
      </w:r>
      <w:r w:rsidRPr="00666ED4">
        <w:rPr>
          <w:bCs/>
        </w:rPr>
        <w:t xml:space="preserve"> </w:t>
      </w:r>
      <w:r w:rsidRPr="00666ED4">
        <w:t xml:space="preserve">has the meaning given in clause </w:t>
      </w:r>
      <w:r w:rsidRPr="00666ED4">
        <w:rPr>
          <w:bCs/>
        </w:rPr>
        <w:fldChar w:fldCharType="begin"/>
      </w:r>
      <w:r w:rsidRPr="00666ED4">
        <w:rPr>
          <w:bCs/>
        </w:rPr>
        <w:instrText xml:space="preserve"> REF _Ref103351244 \w \h </w:instrText>
      </w:r>
      <w:r w:rsidR="00666ED4">
        <w:rPr>
          <w:bCs/>
        </w:rPr>
        <w:instrText xml:space="preserve"> \* MERGEFORMAT </w:instrText>
      </w:r>
      <w:r w:rsidRPr="00666ED4">
        <w:rPr>
          <w:bCs/>
        </w:rPr>
      </w:r>
      <w:r w:rsidRPr="00666ED4">
        <w:rPr>
          <w:bCs/>
        </w:rPr>
        <w:fldChar w:fldCharType="separate"/>
      </w:r>
      <w:r w:rsidR="002E5C6A">
        <w:rPr>
          <w:bCs/>
        </w:rPr>
        <w:t>8.8(a)</w:t>
      </w:r>
      <w:r w:rsidRPr="00666ED4">
        <w:rPr>
          <w:bCs/>
        </w:rPr>
        <w:fldChar w:fldCharType="end"/>
      </w:r>
      <w:r w:rsidR="00847C21">
        <w:rPr>
          <w:bCs/>
        </w:rPr>
        <w:t>.</w:t>
      </w:r>
    </w:p>
    <w:p w14:paraId="34382808" w14:textId="6BEEC0C8" w:rsidR="003F4015" w:rsidRPr="00666ED4" w:rsidRDefault="003F4015" w:rsidP="00D77B1D">
      <w:pPr>
        <w:pStyle w:val="Heading7"/>
        <w:rPr>
          <w:b/>
          <w:bCs/>
        </w:rPr>
      </w:pPr>
      <w:r w:rsidRPr="00666ED4">
        <w:rPr>
          <w:b/>
          <w:bCs/>
        </w:rPr>
        <w:t xml:space="preserve">Annual Payment Cap </w:t>
      </w:r>
      <w:r w:rsidRPr="00666ED4">
        <w:t xml:space="preserve">has the meaning given in item </w:t>
      </w:r>
      <w:r w:rsidRPr="00666ED4">
        <w:fldChar w:fldCharType="begin"/>
      </w:r>
      <w:r w:rsidRPr="00666ED4">
        <w:instrText xml:space="preserve"> REF _Ref172455431 \r \h </w:instrText>
      </w:r>
      <w:r w:rsidR="00D6422A" w:rsidRPr="00666ED4">
        <w:instrText xml:space="preserve"> \* MERGEFORMAT </w:instrText>
      </w:r>
      <w:r w:rsidRPr="00666ED4">
        <w:fldChar w:fldCharType="separate"/>
      </w:r>
      <w:r w:rsidR="002E5C6A">
        <w:t>27</w:t>
      </w:r>
      <w:r w:rsidRPr="00666ED4">
        <w:fldChar w:fldCharType="end"/>
      </w:r>
      <w:r w:rsidRPr="00666ED4">
        <w:t xml:space="preserve"> of the Reference Details. </w:t>
      </w:r>
    </w:p>
    <w:p w14:paraId="7FD06E6B" w14:textId="7EB22ED6" w:rsidR="00D77B1D" w:rsidRPr="00D77B1D" w:rsidRDefault="00D77B1D" w:rsidP="00D77B1D">
      <w:pPr>
        <w:pStyle w:val="Heading7"/>
        <w:rPr>
          <w:bCs/>
        </w:rPr>
      </w:pPr>
      <w:r w:rsidRPr="008E4A1B">
        <w:rPr>
          <w:b/>
        </w:rPr>
        <w:t>Annual Reconciliation Payment</w:t>
      </w:r>
      <w:r w:rsidRPr="00575493">
        <w:rPr>
          <w:bCs/>
        </w:rPr>
        <w:t xml:space="preserve"> has the meaning given in section </w:t>
      </w:r>
      <w:r w:rsidR="002722CB">
        <w:rPr>
          <w:bCs/>
        </w:rPr>
        <w:fldChar w:fldCharType="begin"/>
      </w:r>
      <w:r w:rsidR="002722CB">
        <w:rPr>
          <w:bCs/>
        </w:rPr>
        <w:instrText xml:space="preserve"> REF _Ref202789644 \n \h </w:instrText>
      </w:r>
      <w:r w:rsidR="002722CB">
        <w:rPr>
          <w:bCs/>
        </w:rPr>
      </w:r>
      <w:r w:rsidR="002722CB">
        <w:rPr>
          <w:bCs/>
        </w:rPr>
        <w:fldChar w:fldCharType="separate"/>
      </w:r>
      <w:r w:rsidR="002E5C6A">
        <w:rPr>
          <w:bCs/>
        </w:rPr>
        <w:t>6</w:t>
      </w:r>
      <w:r w:rsidR="002722CB">
        <w:rPr>
          <w:bCs/>
        </w:rPr>
        <w:fldChar w:fldCharType="end"/>
      </w:r>
      <w:r w:rsidRPr="00575493">
        <w:rPr>
          <w:bCs/>
        </w:rPr>
        <w:t xml:space="preserve"> </w:t>
      </w:r>
      <w:r w:rsidRPr="008E4A1B">
        <w:t xml:space="preserve">of </w:t>
      </w:r>
      <w:r w:rsidR="00BA1BD2">
        <w:rPr>
          <w:bCs/>
        </w:rPr>
        <w:fldChar w:fldCharType="begin"/>
      </w:r>
      <w:r w:rsidR="00BA1BD2">
        <w:rPr>
          <w:bCs/>
        </w:rPr>
        <w:instrText xml:space="preserve"> REF _Ref103257737 \w \h </w:instrText>
      </w:r>
      <w:r w:rsidR="00BA1BD2">
        <w:rPr>
          <w:bCs/>
        </w:rPr>
      </w:r>
      <w:r w:rsidR="00BA1BD2">
        <w:rPr>
          <w:bCs/>
        </w:rPr>
        <w:fldChar w:fldCharType="separate"/>
      </w:r>
      <w:r w:rsidR="002E5C6A">
        <w:rPr>
          <w:bCs/>
        </w:rPr>
        <w:t>Schedule 1</w:t>
      </w:r>
      <w:r w:rsidR="00BA1BD2">
        <w:rPr>
          <w:bCs/>
        </w:rPr>
        <w:fldChar w:fldCharType="end"/>
      </w:r>
      <w:r w:rsidR="00E12809">
        <w:rPr>
          <w:bCs/>
        </w:rPr>
        <w:t xml:space="preserve"> </w:t>
      </w:r>
      <w:r w:rsidR="00E12809">
        <w:t>(“</w:t>
      </w:r>
      <w:r w:rsidR="00E12809">
        <w:fldChar w:fldCharType="begin"/>
      </w:r>
      <w:r w:rsidR="00E12809">
        <w:instrText xml:space="preserve">  REF _Ref103257737 \h </w:instrText>
      </w:r>
      <w:r w:rsidR="00E12809">
        <w:fldChar w:fldCharType="separate"/>
      </w:r>
      <w:r w:rsidR="002E5C6A">
        <w:t>Support terms</w:t>
      </w:r>
      <w:r w:rsidR="00E12809">
        <w:fldChar w:fldCharType="end"/>
      </w:r>
      <w:r w:rsidR="00E12809">
        <w:t>”)</w:t>
      </w:r>
      <w:r w:rsidRPr="00575493">
        <w:rPr>
          <w:bCs/>
        </w:rPr>
        <w:t>.</w:t>
      </w:r>
    </w:p>
    <w:p w14:paraId="7A290776" w14:textId="18937E70" w:rsidR="00D77B1D" w:rsidRPr="00D04CB3" w:rsidRDefault="00D77B1D" w:rsidP="00D77B1D">
      <w:pPr>
        <w:pStyle w:val="Heading7"/>
        <w:rPr>
          <w:bCs/>
        </w:rPr>
      </w:pPr>
      <w:r w:rsidRPr="007F483A">
        <w:rPr>
          <w:b/>
        </w:rPr>
        <w:t xml:space="preserve">Annual Revenue Sharing </w:t>
      </w:r>
      <w:r w:rsidRPr="00C36E48">
        <w:rPr>
          <w:b/>
        </w:rPr>
        <w:t>Amount</w:t>
      </w:r>
      <w:r w:rsidRPr="00C36E48">
        <w:rPr>
          <w:bCs/>
        </w:rPr>
        <w:t xml:space="preserve"> </w:t>
      </w:r>
      <w:r w:rsidRPr="00D04CB3">
        <w:rPr>
          <w:bCs/>
        </w:rPr>
        <w:t>has the meaning given in section</w:t>
      </w:r>
      <w:r w:rsidR="002722CB">
        <w:rPr>
          <w:bCs/>
        </w:rPr>
        <w:t xml:space="preserve"> </w:t>
      </w:r>
      <w:r w:rsidR="002722CB">
        <w:rPr>
          <w:bCs/>
        </w:rPr>
        <w:fldChar w:fldCharType="begin"/>
      </w:r>
      <w:r w:rsidR="002722CB">
        <w:rPr>
          <w:bCs/>
        </w:rPr>
        <w:instrText xml:space="preserve"> REF _Ref206083268 \n \h </w:instrText>
      </w:r>
      <w:r w:rsidR="002722CB">
        <w:rPr>
          <w:bCs/>
        </w:rPr>
      </w:r>
      <w:r w:rsidR="002722CB">
        <w:rPr>
          <w:bCs/>
        </w:rPr>
        <w:fldChar w:fldCharType="separate"/>
      </w:r>
      <w:r w:rsidR="002E5C6A">
        <w:rPr>
          <w:bCs/>
        </w:rPr>
        <w:t>10</w:t>
      </w:r>
      <w:r w:rsidR="002722CB">
        <w:rPr>
          <w:bCs/>
        </w:rPr>
        <w:fldChar w:fldCharType="end"/>
      </w:r>
      <w:r w:rsidRPr="00D04CB3">
        <w:rPr>
          <w:bCs/>
        </w:rPr>
        <w:t xml:space="preserve"> </w:t>
      </w:r>
      <w:r w:rsidRPr="00D04CB3">
        <w:t xml:space="preserve">of </w:t>
      </w:r>
      <w:r w:rsidR="00BA1BD2" w:rsidRPr="00D04CB3">
        <w:rPr>
          <w:bCs/>
        </w:rPr>
        <w:fldChar w:fldCharType="begin"/>
      </w:r>
      <w:r w:rsidR="00BA1BD2" w:rsidRPr="00D04CB3">
        <w:rPr>
          <w:bCs/>
        </w:rPr>
        <w:instrText xml:space="preserve"> REF _Ref103257737 \w \h </w:instrText>
      </w:r>
      <w:r w:rsidR="00D04CB3">
        <w:rPr>
          <w:bCs/>
        </w:rPr>
        <w:instrText xml:space="preserve"> \* MERGEFORMAT </w:instrText>
      </w:r>
      <w:r w:rsidR="00BA1BD2" w:rsidRPr="00D04CB3">
        <w:rPr>
          <w:bCs/>
        </w:rPr>
      </w:r>
      <w:r w:rsidR="00BA1BD2" w:rsidRPr="00D04CB3">
        <w:rPr>
          <w:bCs/>
        </w:rPr>
        <w:fldChar w:fldCharType="separate"/>
      </w:r>
      <w:r w:rsidR="002E5C6A">
        <w:rPr>
          <w:bCs/>
        </w:rPr>
        <w:t>Schedule 1</w:t>
      </w:r>
      <w:r w:rsidR="00BA1BD2" w:rsidRPr="00D04CB3">
        <w:rPr>
          <w:bCs/>
        </w:rPr>
        <w:fldChar w:fldCharType="end"/>
      </w:r>
      <w:r w:rsidRPr="00D04CB3">
        <w:t>.</w:t>
      </w:r>
    </w:p>
    <w:p w14:paraId="0E0A7B1F" w14:textId="0AFEA927" w:rsidR="003F46ED" w:rsidRPr="003F46ED" w:rsidRDefault="00A51BDE" w:rsidP="003F46ED">
      <w:pPr>
        <w:pStyle w:val="Heading7"/>
        <w:spacing w:after="120"/>
        <w:rPr>
          <w:bCs/>
        </w:rPr>
      </w:pPr>
      <w:r w:rsidRPr="00D04CB3">
        <w:rPr>
          <w:b/>
          <w:bCs/>
        </w:rPr>
        <w:t>Annual Storage Capacity Report</w:t>
      </w:r>
      <w:r w:rsidRPr="00D04CB3">
        <w:t xml:space="preserve"> has the meaning given in clause </w:t>
      </w:r>
      <w:r w:rsidRPr="00D04CB3">
        <w:fldChar w:fldCharType="begin"/>
      </w:r>
      <w:r w:rsidRPr="00D04CB3">
        <w:instrText xml:space="preserve"> REF _Ref170301760 \w \h </w:instrText>
      </w:r>
      <w:r w:rsidR="00D04CB3">
        <w:instrText xml:space="preserve"> \* MERGEFORMAT </w:instrText>
      </w:r>
      <w:r w:rsidRPr="00D04CB3">
        <w:fldChar w:fldCharType="separate"/>
      </w:r>
      <w:r w:rsidR="002E5C6A">
        <w:t>12.2(b)</w:t>
      </w:r>
      <w:r w:rsidRPr="00D04CB3">
        <w:fldChar w:fldCharType="end"/>
      </w:r>
      <w:r w:rsidRPr="00D04CB3">
        <w:t>.</w:t>
      </w:r>
      <w:r w:rsidR="006A3235" w:rsidRPr="00D04CB3">
        <w:t xml:space="preserve"> </w:t>
      </w:r>
    </w:p>
    <w:p w14:paraId="13103F2B" w14:textId="3F933950" w:rsidR="00A51BDE" w:rsidRPr="00D04CB3" w:rsidRDefault="006A3235" w:rsidP="00D77B1D">
      <w:pPr>
        <w:pStyle w:val="Heading7"/>
        <w:rPr>
          <w:bCs/>
        </w:rPr>
      </w:pPr>
      <w:r w:rsidRPr="00D04CB3">
        <w:t>[</w:t>
      </w:r>
      <w:r w:rsidRPr="0068593D">
        <w:rPr>
          <w:b/>
          <w:bCs/>
          <w:i/>
          <w:iCs/>
          <w:highlight w:val="lightGray"/>
        </w:rPr>
        <w:t xml:space="preserve">Note: </w:t>
      </w:r>
      <w:r w:rsidR="003B6A85" w:rsidRPr="0068593D">
        <w:rPr>
          <w:b/>
          <w:bCs/>
          <w:i/>
          <w:iCs/>
          <w:highlight w:val="lightGray"/>
        </w:rPr>
        <w:t>see agreement cover note regarding Non-Storage Projects</w:t>
      </w:r>
      <w:r w:rsidRPr="0068593D">
        <w:rPr>
          <w:b/>
          <w:bCs/>
          <w:i/>
          <w:iCs/>
          <w:highlight w:val="lightGray"/>
        </w:rPr>
        <w:t>.</w:t>
      </w:r>
      <w:r w:rsidRPr="00D04CB3">
        <w:t>]</w:t>
      </w:r>
    </w:p>
    <w:p w14:paraId="71540D7D" w14:textId="3E380AB8" w:rsidR="00D77B1D" w:rsidRDefault="00D77B1D" w:rsidP="0058045D">
      <w:pPr>
        <w:pStyle w:val="Indent2"/>
      </w:pPr>
      <w:r w:rsidRPr="00D04CB3">
        <w:rPr>
          <w:b/>
        </w:rPr>
        <w:t>Annual Support Amount</w:t>
      </w:r>
      <w:r w:rsidRPr="00D04CB3">
        <w:rPr>
          <w:bCs/>
        </w:rPr>
        <w:t xml:space="preserve"> has the meaning given in section </w:t>
      </w:r>
      <w:r w:rsidR="002722CB">
        <w:rPr>
          <w:bCs/>
        </w:rPr>
        <w:fldChar w:fldCharType="begin"/>
      </w:r>
      <w:r w:rsidR="002722CB">
        <w:rPr>
          <w:bCs/>
        </w:rPr>
        <w:instrText xml:space="preserve"> REF _Ref206083303 \n \h </w:instrText>
      </w:r>
      <w:r w:rsidR="002722CB">
        <w:rPr>
          <w:bCs/>
        </w:rPr>
      </w:r>
      <w:r w:rsidR="002722CB">
        <w:rPr>
          <w:bCs/>
        </w:rPr>
        <w:fldChar w:fldCharType="separate"/>
      </w:r>
      <w:r w:rsidR="002E5C6A">
        <w:rPr>
          <w:bCs/>
        </w:rPr>
        <w:t>9</w:t>
      </w:r>
      <w:r w:rsidR="002722CB">
        <w:rPr>
          <w:bCs/>
        </w:rPr>
        <w:fldChar w:fldCharType="end"/>
      </w:r>
      <w:r w:rsidRPr="00D04CB3">
        <w:t xml:space="preserve"> of </w:t>
      </w:r>
      <w:r w:rsidR="00A813EB" w:rsidRPr="00D04CB3">
        <w:fldChar w:fldCharType="begin"/>
      </w:r>
      <w:r w:rsidR="00A813EB" w:rsidRPr="00D04CB3">
        <w:instrText xml:space="preserve"> REF _Ref103257737 \w \h </w:instrText>
      </w:r>
      <w:r w:rsidR="00D04CB3">
        <w:instrText xml:space="preserve"> \* MERGEFORMAT </w:instrText>
      </w:r>
      <w:r w:rsidR="00A813EB" w:rsidRPr="00D04CB3">
        <w:fldChar w:fldCharType="separate"/>
      </w:r>
      <w:r w:rsidR="002E5C6A">
        <w:t>Schedule 1</w:t>
      </w:r>
      <w:r w:rsidR="00A813EB" w:rsidRPr="00D04CB3">
        <w:fldChar w:fldCharType="end"/>
      </w:r>
      <w:r w:rsidR="00A813EB" w:rsidRPr="00D04CB3">
        <w:t xml:space="preserve"> (“</w:t>
      </w:r>
      <w:r w:rsidR="00A813EB" w:rsidRPr="00D04CB3">
        <w:fldChar w:fldCharType="begin"/>
      </w:r>
      <w:r w:rsidR="00A813EB" w:rsidRPr="00D04CB3">
        <w:instrText xml:space="preserve">  REF _Ref103257737 \h </w:instrText>
      </w:r>
      <w:r w:rsidR="00D04CB3">
        <w:instrText xml:space="preserve"> \* MERGEFORMAT </w:instrText>
      </w:r>
      <w:r w:rsidR="00A813EB" w:rsidRPr="00D04CB3">
        <w:fldChar w:fldCharType="separate"/>
      </w:r>
      <w:r w:rsidR="002E5C6A">
        <w:t>Support terms</w:t>
      </w:r>
      <w:r w:rsidR="00A813EB" w:rsidRPr="00D04CB3">
        <w:fldChar w:fldCharType="end"/>
      </w:r>
      <w:r w:rsidR="00A813EB" w:rsidRPr="00D04CB3">
        <w:t>”)</w:t>
      </w:r>
      <w:r w:rsidRPr="00D04CB3">
        <w:t>.</w:t>
      </w:r>
    </w:p>
    <w:p w14:paraId="6BA4437B" w14:textId="77777777" w:rsidR="00EE66D6" w:rsidRDefault="00745E63" w:rsidP="00745E63">
      <w:pPr>
        <w:pStyle w:val="Indent2"/>
      </w:pPr>
      <w:r>
        <w:t>[</w:t>
      </w:r>
      <w:r>
        <w:rPr>
          <w:b/>
          <w:bCs/>
        </w:rPr>
        <w:t xml:space="preserve">AP Generated Energy </w:t>
      </w:r>
      <w:r>
        <w:t xml:space="preserve">means the amount of electricity generated by the Associated Project at the Associated Project sub-meter over the Trading Interval multiplied by </w:t>
      </w:r>
      <w:r w:rsidRPr="00EE66D6">
        <w:rPr>
          <w:b/>
          <w:bCs/>
        </w:rPr>
        <w:t>“X”</w:t>
      </w:r>
      <w:r>
        <w:t>,</w:t>
      </w:r>
    </w:p>
    <w:p w14:paraId="132AF068" w14:textId="5AD72554" w:rsidR="00745E63" w:rsidRDefault="00745E63" w:rsidP="00745E63">
      <w:pPr>
        <w:pStyle w:val="Indent2"/>
      </w:pPr>
      <w:r>
        <w:t>where:</w:t>
      </w:r>
    </w:p>
    <w:p w14:paraId="010AC4A2" w14:textId="0B1243C1" w:rsidR="00745E63" w:rsidRDefault="00745E63" w:rsidP="00745E63">
      <w:pPr>
        <w:pStyle w:val="Indent2"/>
      </w:pPr>
      <w:r>
        <w:rPr>
          <w:b/>
          <w:bCs/>
        </w:rPr>
        <w:t xml:space="preserve">“X” </w:t>
      </w:r>
      <w:r>
        <w:t xml:space="preserve">is the losses resulting from the connection assets between the Associated Project sub-meter and the meter at the </w:t>
      </w:r>
      <w:r w:rsidR="009C7A0A">
        <w:t xml:space="preserve">Measurement </w:t>
      </w:r>
      <w:r>
        <w:t xml:space="preserve">Point. This factor will apply to </w:t>
      </w:r>
      <w:bookmarkStart w:id="87" w:name="_Hlk180415216"/>
      <w:r>
        <w:t>all quantities</w:t>
      </w:r>
      <w:r w:rsidR="00DF753E">
        <w:t xml:space="preserve"> generated by the Associated Project</w:t>
      </w:r>
      <w:bookmarkEnd w:id="87"/>
      <w:r>
        <w:t>. The component will be “0.978” for all Hybrid Projects.]</w:t>
      </w:r>
    </w:p>
    <w:p w14:paraId="0E5F22B6" w14:textId="14F3E407" w:rsidR="00745E63" w:rsidRPr="00745E63" w:rsidRDefault="00745E63" w:rsidP="00745E63">
      <w:pPr>
        <w:pStyle w:val="Indent2"/>
      </w:pPr>
      <w:r w:rsidRPr="00131021">
        <w:rPr>
          <w:highlight w:val="lightGray"/>
        </w:rPr>
        <w:t>[</w:t>
      </w:r>
      <w:r w:rsidRPr="00131021">
        <w:rPr>
          <w:b/>
          <w:bCs/>
          <w:i/>
          <w:iCs/>
          <w:highlight w:val="lightGray"/>
        </w:rPr>
        <w:t>Note: definition to be included for all Hybrid Projects.</w:t>
      </w:r>
      <w:r w:rsidRPr="00131021">
        <w:rPr>
          <w:highlight w:val="lightGray"/>
        </w:rPr>
        <w:t>]</w:t>
      </w:r>
    </w:p>
    <w:p w14:paraId="34A71066" w14:textId="2800E418" w:rsidR="003F4015" w:rsidRDefault="003F4015" w:rsidP="0058045D">
      <w:pPr>
        <w:pStyle w:val="Indent2"/>
      </w:pPr>
      <w:r w:rsidRPr="00666ED4">
        <w:rPr>
          <w:b/>
          <w:bCs/>
        </w:rPr>
        <w:t xml:space="preserve">AP Maximum Capacity </w:t>
      </w:r>
      <w:r w:rsidRPr="00666ED4">
        <w:t xml:space="preserve">has the meaning given in item </w:t>
      </w:r>
      <w:r w:rsidRPr="00666ED4">
        <w:fldChar w:fldCharType="begin"/>
      </w:r>
      <w:r w:rsidRPr="00666ED4">
        <w:instrText xml:space="preserve"> REF _Ref172454872 \r \h </w:instrText>
      </w:r>
      <w:r w:rsidR="00D6422A" w:rsidRPr="00666ED4">
        <w:instrText xml:space="preserve"> \* MERGEFORMAT </w:instrText>
      </w:r>
      <w:r w:rsidRPr="00666ED4">
        <w:fldChar w:fldCharType="separate"/>
      </w:r>
      <w:r w:rsidR="002E5C6A">
        <w:t>9</w:t>
      </w:r>
      <w:r w:rsidRPr="00666ED4">
        <w:fldChar w:fldCharType="end"/>
      </w:r>
      <w:r w:rsidRPr="00666ED4">
        <w:t xml:space="preserve"> of the Reference Details.</w:t>
      </w:r>
      <w:r>
        <w:t xml:space="preserve"> </w:t>
      </w:r>
    </w:p>
    <w:p w14:paraId="441CB6FA" w14:textId="29393427" w:rsidR="00417119" w:rsidRDefault="0036727A" w:rsidP="00417119">
      <w:pPr>
        <w:pStyle w:val="Heading7"/>
        <w:rPr>
          <w:highlight w:val="lightGray"/>
        </w:rPr>
      </w:pPr>
      <w:r>
        <w:rPr>
          <w:b/>
          <w:bCs/>
        </w:rPr>
        <w:t xml:space="preserve">Apportioned Item </w:t>
      </w:r>
      <w:r>
        <w:t xml:space="preserve">means a revenue item, cost, benefit, Green Product or Peak Capacity Credit that </w:t>
      </w:r>
      <w:r w:rsidRPr="00272B1D">
        <w:t xml:space="preserve">is required to be apportioned between </w:t>
      </w:r>
      <w:r w:rsidRPr="008F660B">
        <w:t>the Project and one</w:t>
      </w:r>
      <w:r w:rsidRPr="00272B1D">
        <w:t xml:space="preserve"> or more</w:t>
      </w:r>
      <w:r w:rsidRPr="008F660B">
        <w:t xml:space="preserve"> other</w:t>
      </w:r>
      <w:r w:rsidRPr="00272B1D">
        <w:t xml:space="preserve"> projects.</w:t>
      </w:r>
      <w:r>
        <w:t xml:space="preserve"> </w:t>
      </w:r>
      <w:r w:rsidR="00417119">
        <w:rPr>
          <w:b/>
          <w:i/>
          <w:highlight w:val="lightGray"/>
        </w:rPr>
        <w:t>[Note: the below definition</w:t>
      </w:r>
      <w:r w:rsidR="00A73DCD">
        <w:rPr>
          <w:b/>
          <w:i/>
          <w:highlight w:val="lightGray"/>
        </w:rPr>
        <w:t xml:space="preserve"> of Apportionment Principles is</w:t>
      </w:r>
      <w:r w:rsidR="00417119">
        <w:rPr>
          <w:b/>
          <w:i/>
          <w:highlight w:val="lightGray"/>
        </w:rPr>
        <w:t xml:space="preserve"> to be included for </w:t>
      </w:r>
      <w:r w:rsidR="00A73DCD">
        <w:rPr>
          <w:b/>
          <w:i/>
          <w:highlight w:val="lightGray"/>
        </w:rPr>
        <w:t>all s</w:t>
      </w:r>
      <w:r w:rsidR="00417119">
        <w:rPr>
          <w:b/>
          <w:i/>
          <w:highlight w:val="lightGray"/>
        </w:rPr>
        <w:t xml:space="preserve">tandalone and Hybrid Projects (amended as applicable in accordance with the below </w:t>
      </w:r>
      <w:r w:rsidR="00A73DCD">
        <w:rPr>
          <w:b/>
          <w:i/>
          <w:highlight w:val="lightGray"/>
        </w:rPr>
        <w:t xml:space="preserve">drafting </w:t>
      </w:r>
      <w:r w:rsidR="00417119">
        <w:rPr>
          <w:b/>
          <w:i/>
          <w:highlight w:val="lightGray"/>
        </w:rPr>
        <w:t>notes).</w:t>
      </w:r>
      <w:r w:rsidR="00BC2BE9">
        <w:rPr>
          <w:b/>
          <w:i/>
          <w:highlight w:val="lightGray"/>
        </w:rPr>
        <w:t xml:space="preserve"> </w:t>
      </w:r>
      <w:r w:rsidR="00417119">
        <w:rPr>
          <w:b/>
          <w:i/>
          <w:highlight w:val="lightGray"/>
        </w:rPr>
        <w:t>A different definition of Apportionment Principles (see below) is required for Staged Projects.</w:t>
      </w:r>
      <w:r w:rsidR="00417119">
        <w:rPr>
          <w:highlight w:val="lightGray"/>
        </w:rPr>
        <w:t>]</w:t>
      </w:r>
    </w:p>
    <w:p w14:paraId="1CA46692" w14:textId="77038945" w:rsidR="00417119" w:rsidRDefault="00417119" w:rsidP="00417119">
      <w:pPr>
        <w:pStyle w:val="Heading7"/>
      </w:pPr>
      <w:r w:rsidRPr="00272B1D">
        <w:rPr>
          <w:b/>
          <w:bCs/>
        </w:rPr>
        <w:t>Apportionment Principles</w:t>
      </w:r>
      <w:r w:rsidRPr="00272B1D">
        <w:t xml:space="preserve"> means, in respect of apportioning an Apportioned Item between </w:t>
      </w:r>
      <w:r w:rsidR="0036727A" w:rsidRPr="008F660B">
        <w:t>the Project and</w:t>
      </w:r>
      <w:r w:rsidR="0036727A" w:rsidRPr="00272B1D">
        <w:t xml:space="preserve"> </w:t>
      </w:r>
      <w:r w:rsidR="00A73DCD">
        <w:t>one</w:t>
      </w:r>
      <w:r w:rsidRPr="00272B1D">
        <w:t xml:space="preserve"> or more </w:t>
      </w:r>
      <w:r w:rsidR="0036727A" w:rsidRPr="008F660B">
        <w:t xml:space="preserve">other </w:t>
      </w:r>
      <w:r w:rsidRPr="00272B1D">
        <w:t>projects</w:t>
      </w:r>
      <w:r w:rsidR="005372D4">
        <w:t xml:space="preserve"> (including the Project</w:t>
      </w:r>
      <w:r w:rsidRPr="00272B1D">
        <w:t xml:space="preserve"> </w:t>
      </w:r>
      <w:r w:rsidR="00A73DCD">
        <w:t>[</w:t>
      </w:r>
      <w:r w:rsidRPr="00272B1D">
        <w:t>and the Associated Project</w:t>
      </w:r>
      <w:r w:rsidR="00A73DCD">
        <w:t>]</w:t>
      </w:r>
      <w:r w:rsidR="005372D4">
        <w:t>)</w:t>
      </w:r>
      <w:r w:rsidRPr="00272B1D">
        <w:t>, the following principles</w:t>
      </w:r>
      <w:r>
        <w:t>:</w:t>
      </w:r>
    </w:p>
    <w:p w14:paraId="69FFA908" w14:textId="2950EA8D" w:rsidR="00417119" w:rsidRDefault="00417119" w:rsidP="002E5C6A">
      <w:pPr>
        <w:pStyle w:val="Heading8"/>
        <w:numPr>
          <w:ilvl w:val="7"/>
          <w:numId w:val="133"/>
        </w:numPr>
      </w:pPr>
      <w:bookmarkStart w:id="88" w:name="_Ref202182871"/>
      <w:r>
        <w:t>notwithstanding</w:t>
      </w:r>
      <w:r w:rsidRPr="00982398">
        <w:t xml:space="preserve"> paragraph </w:t>
      </w:r>
      <w:r>
        <w:fldChar w:fldCharType="begin"/>
      </w:r>
      <w:r>
        <w:instrText xml:space="preserve"> REF _Ref202182861 \n \h  \* MERGEFORMAT </w:instrText>
      </w:r>
      <w:r>
        <w:fldChar w:fldCharType="separate"/>
      </w:r>
      <w:r w:rsidR="002E5C6A">
        <w:t>(b)</w:t>
      </w:r>
      <w:r>
        <w:fldChar w:fldCharType="end"/>
      </w:r>
      <w:r>
        <w:t xml:space="preserve">, if Project Operator is assigned Peak Capacity Credits for </w:t>
      </w:r>
      <w:r w:rsidR="00125137">
        <w:t>any</w:t>
      </w:r>
      <w:r>
        <w:t xml:space="preserve"> of the Project and</w:t>
      </w:r>
      <w:r w:rsidR="0073628B">
        <w:t xml:space="preserve"> one or more other projects [(including the</w:t>
      </w:r>
      <w:r>
        <w:t xml:space="preserve"> Associated Project</w:t>
      </w:r>
      <w:r w:rsidR="0073628B">
        <w:t>)]</w:t>
      </w:r>
      <w:r>
        <w:t xml:space="preserve">, then the Peak Capacity Credits for a particular period (as Apportioned Items) will be apportioned to each of the Project and the </w:t>
      </w:r>
      <w:r w:rsidR="0073628B">
        <w:t xml:space="preserve">other project [(including the </w:t>
      </w:r>
      <w:r>
        <w:t>Associated Project</w:t>
      </w:r>
      <w:r w:rsidR="0073628B">
        <w:t>)]</w:t>
      </w:r>
      <w:r>
        <w:t xml:space="preserve"> for that period by reference to the Certified Reserve Capacity (as defined in the ESM Rules) of each of the Project and </w:t>
      </w:r>
      <w:r w:rsidR="0073628B">
        <w:t xml:space="preserve">the other project [(including the </w:t>
      </w:r>
      <w:r>
        <w:t>Associated Project</w:t>
      </w:r>
      <w:r w:rsidR="0073628B">
        <w:t>)]</w:t>
      </w:r>
      <w:r>
        <w:t xml:space="preserve"> (as applicable) for the Capacity Year (as defined in the ESM Rules) in which the relevant period falls;</w:t>
      </w:r>
      <w:bookmarkEnd w:id="88"/>
      <w:r>
        <w:t xml:space="preserve"> </w:t>
      </w:r>
    </w:p>
    <w:p w14:paraId="10048860" w14:textId="48AFE423" w:rsidR="00417119" w:rsidRDefault="00417119" w:rsidP="00417119">
      <w:pPr>
        <w:pStyle w:val="Heading8"/>
      </w:pPr>
      <w:r>
        <w:t xml:space="preserve">subject to paragraph </w:t>
      </w:r>
      <w:r>
        <w:fldChar w:fldCharType="begin"/>
      </w:r>
      <w:r>
        <w:instrText xml:space="preserve"> REF _Ref202182871 \n \h  \* MERGEFORMAT </w:instrText>
      </w:r>
      <w:r>
        <w:fldChar w:fldCharType="separate"/>
      </w:r>
      <w:r w:rsidR="002E5C6A">
        <w:t>(a)</w:t>
      </w:r>
      <w:r>
        <w:fldChar w:fldCharType="end"/>
      </w:r>
      <w:r>
        <w:t>:</w:t>
      </w:r>
      <w:bookmarkStart w:id="89" w:name="_Ref202182861"/>
    </w:p>
    <w:p w14:paraId="18F09701" w14:textId="555294AB" w:rsidR="00417119" w:rsidRDefault="00417119" w:rsidP="00417119">
      <w:pPr>
        <w:pStyle w:val="Heading9"/>
      </w:pPr>
      <w:bookmarkStart w:id="90" w:name="_Ref202182888"/>
      <w:bookmarkEnd w:id="89"/>
      <w:r>
        <w:t>if an Apportioned Item is directly attributable to a particular project (including the Project [and the Associated Project]) (for example, by reference to electricity volumes measured by the relevant sub-meters or metering apparatus identified in clause</w:t>
      </w:r>
      <w:r w:rsidR="002E5C6A">
        <w:t> </w:t>
      </w:r>
      <w:r w:rsidR="00657065" w:rsidRPr="000B5694">
        <w:fldChar w:fldCharType="begin"/>
      </w:r>
      <w:r w:rsidR="00657065" w:rsidRPr="000B5694">
        <w:instrText xml:space="preserve"> REF _Ref204176403 \r \h </w:instrText>
      </w:r>
      <w:r w:rsidR="000B5694">
        <w:instrText xml:space="preserve"> \* MERGEFORMAT </w:instrText>
      </w:r>
      <w:r w:rsidR="00657065" w:rsidRPr="000B5694">
        <w:fldChar w:fldCharType="separate"/>
      </w:r>
      <w:r w:rsidR="002E5C6A">
        <w:t>4.2</w:t>
      </w:r>
      <w:r w:rsidR="00657065" w:rsidRPr="000B5694">
        <w:fldChar w:fldCharType="end"/>
      </w:r>
      <w:r>
        <w:t>), then the Apportioned Item will be apportioned to that project; [</w:t>
      </w:r>
      <w:r>
        <w:rPr>
          <w:b/>
          <w:i/>
          <w:highlight w:val="lightGray"/>
        </w:rPr>
        <w:t>Note: in this paragraph, words in square brackets to be included for all Hybrid Projects.</w:t>
      </w:r>
      <w:r>
        <w:rPr>
          <w:highlight w:val="lightGray"/>
        </w:rPr>
        <w:t>]</w:t>
      </w:r>
      <w:bookmarkEnd w:id="90"/>
    </w:p>
    <w:p w14:paraId="60DDC9D1" w14:textId="05AC4A89" w:rsidR="00417119" w:rsidRDefault="00417119" w:rsidP="00417119">
      <w:pPr>
        <w:pStyle w:val="Heading9"/>
      </w:pPr>
      <w:r>
        <w:t xml:space="preserve">if an Apportioned Item does not fall within paragraph </w:t>
      </w:r>
      <w:r>
        <w:fldChar w:fldCharType="begin"/>
      </w:r>
      <w:r>
        <w:instrText xml:space="preserve"> REF _Ref202182861 \n \h </w:instrText>
      </w:r>
      <w:r>
        <w:fldChar w:fldCharType="separate"/>
      </w:r>
      <w:r w:rsidR="002E5C6A">
        <w:t>(b)</w:t>
      </w:r>
      <w:r>
        <w:fldChar w:fldCharType="end"/>
      </w:r>
      <w:r>
        <w:fldChar w:fldCharType="begin"/>
      </w:r>
      <w:r>
        <w:instrText xml:space="preserve"> REF _Ref202182888 \n \h </w:instrText>
      </w:r>
      <w:r>
        <w:fldChar w:fldCharType="separate"/>
      </w:r>
      <w:r w:rsidR="002E5C6A">
        <w:t>(i)</w:t>
      </w:r>
      <w:r>
        <w:fldChar w:fldCharType="end"/>
      </w:r>
      <w:r>
        <w:t xml:space="preserve"> , but there is an identifiable value driver that directly causes the revenue item, cost or benefit or the creation of the Green Product to be taken into account, then the Apportioned Item will be apportioned to the relevant project by reference to that driver; </w:t>
      </w:r>
    </w:p>
    <w:p w14:paraId="37944991" w14:textId="320EC0EE" w:rsidR="00417119" w:rsidRDefault="00417119" w:rsidP="00417119">
      <w:pPr>
        <w:pStyle w:val="Heading9"/>
      </w:pPr>
      <w:bookmarkStart w:id="91" w:name="_Ref201780346"/>
      <w:r>
        <w:t xml:space="preserve">otherwise, the Apportioned Item will be apportioned to each project (including the Project [and the Associated Project]) by reference to the relative export capacity </w:t>
      </w:r>
      <w:r w:rsidR="0073628B">
        <w:t>(</w:t>
      </w:r>
      <w:r>
        <w:t>including the Export Capacity</w:t>
      </w:r>
      <w:r w:rsidR="0073628B">
        <w:t>[</w:t>
      </w:r>
      <w:r>
        <w:t xml:space="preserve"> and AP Maximum Capacity, if applicable</w:t>
      </w:r>
      <w:r w:rsidR="0073628B">
        <w:t>]</w:t>
      </w:r>
      <w:r>
        <w:t>) of each project in the relevant period;.[</w:t>
      </w:r>
      <w:r>
        <w:rPr>
          <w:b/>
          <w:i/>
          <w:highlight w:val="lightGray"/>
        </w:rPr>
        <w:t>Note: in this paragraph (</w:t>
      </w:r>
      <w:r w:rsidR="002E5C6A">
        <w:rPr>
          <w:b/>
          <w:i/>
          <w:highlight w:val="lightGray"/>
        </w:rPr>
        <w:t>b</w:t>
      </w:r>
      <w:r>
        <w:rPr>
          <w:b/>
          <w:i/>
          <w:highlight w:val="lightGray"/>
        </w:rPr>
        <w:t>), words in square brackets to be included for all Hybrid Projects.</w:t>
      </w:r>
      <w:r>
        <w:rPr>
          <w:highlight w:val="lightGray"/>
        </w:rPr>
        <w:t>]</w:t>
      </w:r>
      <w:bookmarkEnd w:id="91"/>
    </w:p>
    <w:p w14:paraId="4ED71611" w14:textId="77777777" w:rsidR="00417119" w:rsidRDefault="00417119" w:rsidP="00417119">
      <w:pPr>
        <w:pStyle w:val="Heading7"/>
      </w:pPr>
      <w:r>
        <w:rPr>
          <w:b/>
          <w:bCs/>
          <w:i/>
          <w:highlight w:val="lightGray"/>
        </w:rPr>
        <w:t>[Note: The below definition of Apportionment Principles is to be included for all Staged Projects.]</w:t>
      </w:r>
    </w:p>
    <w:p w14:paraId="2C767493" w14:textId="207D95AA" w:rsidR="00417119" w:rsidRDefault="00417119" w:rsidP="00417119">
      <w:pPr>
        <w:pStyle w:val="Heading7"/>
      </w:pPr>
      <w:r>
        <w:rPr>
          <w:b/>
          <w:bCs/>
        </w:rPr>
        <w:t>[Apportionment Principles</w:t>
      </w:r>
      <w:r>
        <w:t xml:space="preserve"> means, in respect of apportioning an Apportioned Item between </w:t>
      </w:r>
      <w:r w:rsidR="00606E4E">
        <w:t>the Project and one or more other</w:t>
      </w:r>
      <w:r>
        <w:t xml:space="preserve"> projects (including the Project and the Existing Project), the following principles: </w:t>
      </w:r>
    </w:p>
    <w:p w14:paraId="5763028B" w14:textId="5D024C22" w:rsidR="00417119" w:rsidRDefault="00417119" w:rsidP="00417119">
      <w:pPr>
        <w:pStyle w:val="Heading8"/>
      </w:pPr>
      <w:bookmarkStart w:id="92" w:name="_Ref202183270"/>
      <w:r>
        <w:t xml:space="preserve">notwithstanding </w:t>
      </w:r>
      <w:r w:rsidRPr="00982398">
        <w:t>paragraphs</w:t>
      </w:r>
      <w:r>
        <w:t xml:space="preserve"> </w:t>
      </w:r>
      <w:r w:rsidR="00847C21">
        <w:fldChar w:fldCharType="begin"/>
      </w:r>
      <w:r w:rsidR="00847C21">
        <w:instrText xml:space="preserve"> REF _Ref202183277 \r \h </w:instrText>
      </w:r>
      <w:r w:rsidR="00847C21">
        <w:fldChar w:fldCharType="separate"/>
      </w:r>
      <w:r w:rsidR="002E5C6A">
        <w:t>(d)</w:t>
      </w:r>
      <w:r w:rsidR="00847C21">
        <w:fldChar w:fldCharType="end"/>
      </w:r>
      <w:r>
        <w:t xml:space="preserve"> and </w:t>
      </w:r>
      <w:r>
        <w:fldChar w:fldCharType="begin"/>
      </w:r>
      <w:r>
        <w:instrText xml:space="preserve"> REF _Ref202183299 \n \h  \* MERGEFORMAT </w:instrText>
      </w:r>
      <w:r>
        <w:fldChar w:fldCharType="separate"/>
      </w:r>
      <w:r w:rsidR="002E5C6A">
        <w:t>(e)</w:t>
      </w:r>
      <w:r>
        <w:fldChar w:fldCharType="end"/>
      </w:r>
      <w:r>
        <w:t xml:space="preserve">, if Project Operator is assigned Peak Capacity Credits for </w:t>
      </w:r>
      <w:r w:rsidR="004B7FAD">
        <w:t>any</w:t>
      </w:r>
      <w:r>
        <w:t xml:space="preserve"> of the Project</w:t>
      </w:r>
      <w:r w:rsidR="00606E4E">
        <w:t xml:space="preserve"> and one or more other projects [(including the</w:t>
      </w:r>
      <w:r>
        <w:t xml:space="preserve"> Existing Project</w:t>
      </w:r>
      <w:r w:rsidR="00606E4E">
        <w:t>)]</w:t>
      </w:r>
      <w:r>
        <w:t>, then the Peak Capacity Credits for a particular period (as Apportioned Items) will be apportioned to each of the Project and the</w:t>
      </w:r>
      <w:r w:rsidR="00606E4E">
        <w:t xml:space="preserve"> other project [(including the</w:t>
      </w:r>
      <w:r>
        <w:t xml:space="preserve"> Existing Project</w:t>
      </w:r>
      <w:r w:rsidR="00606E4E">
        <w:t>)]</w:t>
      </w:r>
      <w:r>
        <w:t xml:space="preserve"> for that period by reference to the Certified Reserve Capacity (as defined in the ESM Rules) of each of the Project and </w:t>
      </w:r>
      <w:r w:rsidR="00606E4E">
        <w:t xml:space="preserve">the other project [(including the </w:t>
      </w:r>
      <w:r>
        <w:t>Existing Project</w:t>
      </w:r>
      <w:r w:rsidR="00606E4E">
        <w:t xml:space="preserve">)] </w:t>
      </w:r>
      <w:r>
        <w:t>(as applicable) for the Capacity Year (as defined in the ESM Rules) in which the relevant period falls;</w:t>
      </w:r>
      <w:bookmarkStart w:id="93" w:name="_Ref202182737"/>
      <w:bookmarkEnd w:id="92"/>
      <w:r>
        <w:t xml:space="preserve"> </w:t>
      </w:r>
    </w:p>
    <w:p w14:paraId="0C6571DB" w14:textId="5E0986CD" w:rsidR="00417119" w:rsidRDefault="00417119" w:rsidP="00417119">
      <w:pPr>
        <w:pStyle w:val="Heading8"/>
      </w:pPr>
      <w:bookmarkStart w:id="94" w:name="_Ref202183277"/>
      <w:bookmarkStart w:id="95" w:name="_Ref193381408"/>
      <w:bookmarkStart w:id="96" w:name="_Ref193221770"/>
      <w:r>
        <w:t>if the Apportioned Item is being apportioned between the Project</w:t>
      </w:r>
      <w:r w:rsidR="00606E4E">
        <w:t xml:space="preserve"> one or more other projects (including the </w:t>
      </w:r>
      <w:r>
        <w:t>Existing Project</w:t>
      </w:r>
      <w:r w:rsidR="00606E4E">
        <w:t>)</w:t>
      </w:r>
      <w:r>
        <w:t>, and:</w:t>
      </w:r>
      <w:bookmarkEnd w:id="93"/>
      <w:bookmarkEnd w:id="94"/>
      <w:bookmarkEnd w:id="95"/>
      <w:r>
        <w:t xml:space="preserve"> </w:t>
      </w:r>
    </w:p>
    <w:p w14:paraId="2ACD8C7E" w14:textId="77777777" w:rsidR="00417119" w:rsidRDefault="00417119" w:rsidP="008F660B">
      <w:pPr>
        <w:pStyle w:val="Heading9"/>
        <w:numPr>
          <w:ilvl w:val="8"/>
          <w:numId w:val="61"/>
        </w:numPr>
      </w:pPr>
      <w:bookmarkStart w:id="97" w:name="_Ref202183378"/>
      <w:r>
        <w:t>the Apportioned Item relates to the supply of Essential System Services by the Staged Project, then the Apportioned Item will be apportioned to the Project and the Existing Project by reference to the relative Export Capacity and EP Export Capacity of each project in the relevant period;</w:t>
      </w:r>
    </w:p>
    <w:p w14:paraId="2A937E83" w14:textId="77777777" w:rsidR="00417119" w:rsidRDefault="00417119" w:rsidP="008F660B">
      <w:pPr>
        <w:pStyle w:val="Heading9"/>
        <w:numPr>
          <w:ilvl w:val="8"/>
          <w:numId w:val="61"/>
        </w:numPr>
      </w:pPr>
      <w:bookmarkStart w:id="98" w:name="_Ref193453765"/>
      <w:r>
        <w:t xml:space="preserve">the Apportioned Item, or part thereof, is directly attributable under a Bilateral Contract to a particular project (including the Project and the Existing Project), then the Apportioned Item, or part thereof, (which, for the avoidance of doubt, includes Deemed Bilateral Contract Revenue) will be apportioned to that project; and </w:t>
      </w:r>
    </w:p>
    <w:p w14:paraId="77693F07" w14:textId="77777777" w:rsidR="00417119" w:rsidRDefault="00417119" w:rsidP="008F660B">
      <w:pPr>
        <w:pStyle w:val="Heading9"/>
        <w:numPr>
          <w:ilvl w:val="8"/>
          <w:numId w:val="61"/>
        </w:numPr>
      </w:pPr>
      <w:r>
        <w:t>otherwise, the Apportioned Item will be apportioned to the Project and the Existing Project by reference to the relative Tested Storage Capacity (less the amount of MWhs of the Project which is subject to a Bilateral Contract) and Tested EP Storage Capacity (less the amount of MWhs of the Existing Project which is subject to a Bilateral Contract) in the relevant period</w:t>
      </w:r>
      <w:bookmarkEnd w:id="96"/>
      <w:bookmarkEnd w:id="97"/>
      <w:bookmarkEnd w:id="98"/>
      <w:r>
        <w:t xml:space="preserve">; </w:t>
      </w:r>
    </w:p>
    <w:p w14:paraId="1BA3EEC6" w14:textId="1264D5A1" w:rsidR="00417119" w:rsidRDefault="00417119" w:rsidP="00417119">
      <w:pPr>
        <w:pStyle w:val="Heading8"/>
      </w:pPr>
      <w:bookmarkStart w:id="99" w:name="_Ref202183299"/>
      <w:r>
        <w:t xml:space="preserve">subject to paragraph </w:t>
      </w:r>
      <w:r>
        <w:fldChar w:fldCharType="begin"/>
      </w:r>
      <w:r>
        <w:instrText xml:space="preserve"> REF _Ref202183270 \n \h </w:instrText>
      </w:r>
      <w:r>
        <w:fldChar w:fldCharType="separate"/>
      </w:r>
      <w:r w:rsidR="004F0175">
        <w:t>(c)</w:t>
      </w:r>
      <w:r>
        <w:fldChar w:fldCharType="end"/>
      </w:r>
      <w:r>
        <w:t xml:space="preserve"> and if paragraph </w:t>
      </w:r>
      <w:r>
        <w:fldChar w:fldCharType="begin"/>
      </w:r>
      <w:r>
        <w:instrText xml:space="preserve"> REF _Ref202183277 \n \h </w:instrText>
      </w:r>
      <w:r>
        <w:fldChar w:fldCharType="separate"/>
      </w:r>
      <w:r w:rsidR="004F0175">
        <w:t>(d)</w:t>
      </w:r>
      <w:r>
        <w:fldChar w:fldCharType="end"/>
      </w:r>
      <w:r>
        <w:t xml:space="preserve"> does not apply:</w:t>
      </w:r>
      <w:bookmarkEnd w:id="99"/>
    </w:p>
    <w:p w14:paraId="7B0BE5E3" w14:textId="7DFF5330" w:rsidR="00417119" w:rsidRDefault="00417119" w:rsidP="008F660B">
      <w:pPr>
        <w:pStyle w:val="Heading9"/>
        <w:numPr>
          <w:ilvl w:val="8"/>
          <w:numId w:val="61"/>
        </w:numPr>
      </w:pPr>
      <w:bookmarkStart w:id="100" w:name="_Ref202183405"/>
      <w:r>
        <w:t>if an Apportioned Item is directly attributable to a particular project (including the Project and the Existing Project) (for example, by reference to electricity volumes measured by the relevant sub-meters or metering apparatus identified in clause</w:t>
      </w:r>
      <w:r w:rsidR="004F0175">
        <w:t> </w:t>
      </w:r>
      <w:r>
        <w:fldChar w:fldCharType="begin"/>
      </w:r>
      <w:r>
        <w:instrText xml:space="preserve"> REF _Ref200025655 \w \h </w:instrText>
      </w:r>
      <w:r w:rsidR="00AA6307">
        <w:instrText xml:space="preserve"> \* MERGEFORMAT </w:instrText>
      </w:r>
      <w:r>
        <w:fldChar w:fldCharType="separate"/>
      </w:r>
      <w:r w:rsidR="002E5C6A">
        <w:t>4.2</w:t>
      </w:r>
      <w:r>
        <w:fldChar w:fldCharType="end"/>
      </w:r>
      <w:r>
        <w:t>), then the Apportioned Item will be apportioned to that project;</w:t>
      </w:r>
      <w:bookmarkEnd w:id="100"/>
      <w:r>
        <w:t xml:space="preserve"> </w:t>
      </w:r>
    </w:p>
    <w:p w14:paraId="127F2C01" w14:textId="0D1A6688" w:rsidR="00417119" w:rsidRDefault="00417119" w:rsidP="008F660B">
      <w:pPr>
        <w:pStyle w:val="Heading9"/>
        <w:numPr>
          <w:ilvl w:val="8"/>
          <w:numId w:val="61"/>
        </w:numPr>
      </w:pPr>
      <w:r>
        <w:t xml:space="preserve">if an Apportioned Item does not fall within paragraph </w:t>
      </w:r>
      <w:r>
        <w:fldChar w:fldCharType="begin"/>
      </w:r>
      <w:r>
        <w:instrText xml:space="preserve"> REF _Ref202183299 \n \h </w:instrText>
      </w:r>
      <w:r>
        <w:fldChar w:fldCharType="separate"/>
      </w:r>
      <w:r w:rsidR="004F0175">
        <w:t>(e)</w:t>
      </w:r>
      <w:r>
        <w:fldChar w:fldCharType="end"/>
      </w:r>
      <w:r>
        <w:fldChar w:fldCharType="begin"/>
      </w:r>
      <w:r>
        <w:instrText xml:space="preserve"> REF _Ref202183405 \n \h </w:instrText>
      </w:r>
      <w:r>
        <w:fldChar w:fldCharType="separate"/>
      </w:r>
      <w:r w:rsidR="004F0175">
        <w:t>(i)</w:t>
      </w:r>
      <w:r>
        <w:fldChar w:fldCharType="end"/>
      </w:r>
      <w:r>
        <w:t>, but there is an identifiable value driver that directly causes the revenue item, cost or benefit or the creation of the Green Product or Peak Capacity Credit (as applicable) to be taken into account, then the Apportioned Item will be apportioned to the relevant project by reference to that driver; and</w:t>
      </w:r>
    </w:p>
    <w:p w14:paraId="441F0F30" w14:textId="77272C86" w:rsidR="00606E4E" w:rsidRPr="00206B22" w:rsidRDefault="00417119" w:rsidP="00417119">
      <w:pPr>
        <w:pStyle w:val="Indent2"/>
        <w:keepNext/>
      </w:pPr>
      <w:r>
        <w:t>otherwise, the Apportioned Item will be apportioned to each project (including the Project and the Existing Project) by reference to the relative export capacity including the Export Capacity and EP Export Capacity</w:t>
      </w:r>
      <w:r w:rsidR="00606E4E">
        <w:t>.</w:t>
      </w:r>
      <w:r>
        <w:t xml:space="preserve"> </w:t>
      </w:r>
    </w:p>
    <w:p w14:paraId="01E015C9" w14:textId="4945ED1F" w:rsidR="003217D5" w:rsidRPr="00C10515" w:rsidRDefault="003217D5" w:rsidP="00B5506F">
      <w:pPr>
        <w:pStyle w:val="Heading7"/>
        <w:rPr>
          <w:highlight w:val="yellow"/>
        </w:rPr>
      </w:pPr>
      <w:r>
        <w:rPr>
          <w:b/>
          <w:bCs/>
        </w:rPr>
        <w:t xml:space="preserve">Approved COD Cure Plan </w:t>
      </w:r>
      <w:r>
        <w:t xml:space="preserve">means a cure plan approved by the Commonwealth under clause </w:t>
      </w:r>
      <w:r w:rsidR="0036727A">
        <w:fldChar w:fldCharType="begin"/>
      </w:r>
      <w:r w:rsidR="0036727A">
        <w:instrText xml:space="preserve"> REF _Ref205749158 \r \h </w:instrText>
      </w:r>
      <w:r w:rsidR="0036727A">
        <w:fldChar w:fldCharType="separate"/>
      </w:r>
      <w:r w:rsidR="002E5C6A">
        <w:t>7.4(e)</w:t>
      </w:r>
      <w:r w:rsidR="0036727A">
        <w:fldChar w:fldCharType="end"/>
      </w:r>
      <w:r>
        <w:t>.</w:t>
      </w:r>
    </w:p>
    <w:p w14:paraId="3B7341E5" w14:textId="0165C344" w:rsidR="00C75751" w:rsidRPr="00D462B5" w:rsidRDefault="00C75751" w:rsidP="00B5506F">
      <w:pPr>
        <w:pStyle w:val="Heading7"/>
        <w:rPr>
          <w:highlight w:val="yellow"/>
        </w:rPr>
      </w:pPr>
      <w:r>
        <w:rPr>
          <w:b/>
          <w:bCs/>
        </w:rPr>
        <w:t xml:space="preserve">Approved </w:t>
      </w:r>
      <w:r w:rsidRPr="00397A27">
        <w:rPr>
          <w:b/>
          <w:bCs/>
        </w:rPr>
        <w:t xml:space="preserve">Milestone Cure Plan </w:t>
      </w:r>
      <w:r w:rsidRPr="3F00FD04">
        <w:t>has the meaning given in clause</w:t>
      </w:r>
      <w:r>
        <w:t> </w:t>
      </w:r>
      <w:r>
        <w:rPr>
          <w:bCs/>
        </w:rPr>
        <w:fldChar w:fldCharType="begin"/>
      </w:r>
      <w:r>
        <w:rPr>
          <w:bCs/>
        </w:rPr>
        <w:instrText xml:space="preserve"> REF _Ref106271813 \r \h </w:instrText>
      </w:r>
      <w:r>
        <w:rPr>
          <w:bCs/>
        </w:rPr>
      </w:r>
      <w:r>
        <w:rPr>
          <w:bCs/>
        </w:rPr>
        <w:fldChar w:fldCharType="separate"/>
      </w:r>
      <w:r w:rsidR="002E5C6A">
        <w:rPr>
          <w:bCs/>
        </w:rPr>
        <w:t>5.3(e)</w:t>
      </w:r>
      <w:r>
        <w:rPr>
          <w:bCs/>
        </w:rPr>
        <w:fldChar w:fldCharType="end"/>
      </w:r>
      <w:r w:rsidRPr="00397A27">
        <w:rPr>
          <w:bCs/>
        </w:rPr>
        <w:t>.</w:t>
      </w:r>
    </w:p>
    <w:p w14:paraId="10944B5F" w14:textId="64F1128F" w:rsidR="00D462B5" w:rsidRPr="00D462B5" w:rsidRDefault="00D462B5" w:rsidP="00B5506F">
      <w:pPr>
        <w:pStyle w:val="Heading7"/>
      </w:pPr>
      <w:r w:rsidRPr="00D462B5">
        <w:rPr>
          <w:b/>
          <w:bCs/>
        </w:rPr>
        <w:t>Approved PR Cure Plan</w:t>
      </w:r>
      <w:r w:rsidRPr="00D462B5">
        <w:t xml:space="preserve"> has the meaning given in clause </w:t>
      </w:r>
      <w:r w:rsidRPr="00D462B5">
        <w:fldChar w:fldCharType="begin"/>
      </w:r>
      <w:r w:rsidRPr="00D462B5">
        <w:instrText xml:space="preserve"> REF _Ref170125550 \w \h  \* MERGEFORMAT </w:instrText>
      </w:r>
      <w:r w:rsidRPr="00D462B5">
        <w:fldChar w:fldCharType="separate"/>
      </w:r>
      <w:r w:rsidR="002E5C6A">
        <w:t>8.4</w:t>
      </w:r>
      <w:r w:rsidRPr="00D462B5">
        <w:fldChar w:fldCharType="end"/>
      </w:r>
      <w:r w:rsidRPr="00D462B5">
        <w:t xml:space="preserve"> (“</w:t>
      </w:r>
      <w:r w:rsidRPr="00D462B5">
        <w:fldChar w:fldCharType="begin"/>
      </w:r>
      <w:r w:rsidRPr="00D462B5">
        <w:instrText xml:space="preserve"> REF _Ref170125550 \h  \* MERGEFORMAT </w:instrText>
      </w:r>
      <w:r w:rsidRPr="00D462B5">
        <w:fldChar w:fldCharType="separate"/>
      </w:r>
      <w:r w:rsidR="002E5C6A">
        <w:t>Performance Requirement failures</w:t>
      </w:r>
      <w:r w:rsidRPr="00D462B5">
        <w:fldChar w:fldCharType="end"/>
      </w:r>
      <w:r w:rsidRPr="00D462B5">
        <w:t>”).</w:t>
      </w:r>
    </w:p>
    <w:p w14:paraId="4FB3BC6A" w14:textId="3B2F30B7" w:rsidR="005808C0" w:rsidRDefault="005808C0" w:rsidP="005808C0">
      <w:pPr>
        <w:pStyle w:val="Heading7"/>
        <w:numPr>
          <w:ilvl w:val="0"/>
          <w:numId w:val="0"/>
        </w:numPr>
        <w:ind w:left="737"/>
        <w:rPr>
          <w:bCs/>
        </w:rPr>
      </w:pPr>
      <w:r>
        <w:rPr>
          <w:b/>
        </w:rPr>
        <w:t xml:space="preserve">Approved Reinstatement Plan </w:t>
      </w:r>
      <w:r>
        <w:rPr>
          <w:bCs/>
        </w:rPr>
        <w:t xml:space="preserve">has the meaning given in clause </w:t>
      </w:r>
      <w:r>
        <w:rPr>
          <w:bCs/>
        </w:rPr>
        <w:fldChar w:fldCharType="begin"/>
      </w:r>
      <w:r>
        <w:rPr>
          <w:bCs/>
        </w:rPr>
        <w:instrText xml:space="preserve"> REF _Ref104291978 \w \h </w:instrText>
      </w:r>
      <w:r>
        <w:rPr>
          <w:bCs/>
        </w:rPr>
      </w:r>
      <w:r>
        <w:rPr>
          <w:bCs/>
        </w:rPr>
        <w:fldChar w:fldCharType="separate"/>
      </w:r>
      <w:r w:rsidR="002E5C6A">
        <w:rPr>
          <w:bCs/>
        </w:rPr>
        <w:t>20.2(c)(i)</w:t>
      </w:r>
      <w:r>
        <w:rPr>
          <w:bCs/>
        </w:rPr>
        <w:fldChar w:fldCharType="end"/>
      </w:r>
      <w:r>
        <w:rPr>
          <w:bCs/>
        </w:rPr>
        <w:t>.</w:t>
      </w:r>
    </w:p>
    <w:p w14:paraId="3D5020A0" w14:textId="1F76A0F7" w:rsidR="00650EF6" w:rsidRDefault="00650EF6" w:rsidP="0058045D">
      <w:pPr>
        <w:pStyle w:val="Heading7"/>
        <w:numPr>
          <w:ilvl w:val="0"/>
          <w:numId w:val="0"/>
        </w:numPr>
        <w:ind w:left="737"/>
        <w:rPr>
          <w:bCs/>
        </w:rPr>
      </w:pPr>
      <w:r>
        <w:rPr>
          <w:b/>
        </w:rPr>
        <w:t xml:space="preserve">Approved SLC Cure Plan </w:t>
      </w:r>
      <w:r>
        <w:rPr>
          <w:bCs/>
        </w:rPr>
        <w:t xml:space="preserve">means a cure plan approved by the Commonwealth under clause </w:t>
      </w:r>
      <w:r w:rsidR="009B4DA0">
        <w:rPr>
          <w:bCs/>
        </w:rPr>
        <w:fldChar w:fldCharType="begin"/>
      </w:r>
      <w:r w:rsidR="009B4DA0">
        <w:rPr>
          <w:bCs/>
        </w:rPr>
        <w:instrText xml:space="preserve"> REF _Ref205749186 \r \h </w:instrText>
      </w:r>
      <w:r w:rsidR="009B4DA0">
        <w:rPr>
          <w:bCs/>
        </w:rPr>
      </w:r>
      <w:r w:rsidR="009B4DA0">
        <w:rPr>
          <w:bCs/>
        </w:rPr>
        <w:fldChar w:fldCharType="separate"/>
      </w:r>
      <w:r w:rsidR="002E5C6A">
        <w:rPr>
          <w:bCs/>
        </w:rPr>
        <w:t>11.4(h)</w:t>
      </w:r>
      <w:r w:rsidR="009B4DA0">
        <w:rPr>
          <w:bCs/>
        </w:rPr>
        <w:fldChar w:fldCharType="end"/>
      </w:r>
      <w:r>
        <w:rPr>
          <w:bCs/>
        </w:rPr>
        <w:t>.</w:t>
      </w:r>
    </w:p>
    <w:p w14:paraId="6F76FBB4" w14:textId="234B1B6D" w:rsidR="007D6208" w:rsidRPr="0004122B" w:rsidRDefault="00417119" w:rsidP="009B4DA0">
      <w:pPr>
        <w:pStyle w:val="Heading7"/>
        <w:numPr>
          <w:ilvl w:val="0"/>
          <w:numId w:val="0"/>
        </w:numPr>
        <w:ind w:left="737"/>
      </w:pPr>
      <w:r w:rsidRPr="009B4DA0">
        <w:rPr>
          <w:b/>
        </w:rPr>
        <w:t xml:space="preserve">Associate </w:t>
      </w:r>
      <w:r w:rsidRPr="009B4DA0">
        <w:rPr>
          <w:bCs/>
        </w:rPr>
        <w:t>has the meaning given to the term “associate” in section 11 of the Corporations Act.</w:t>
      </w:r>
    </w:p>
    <w:p w14:paraId="7F900948" w14:textId="0A8E2482" w:rsidR="003F4015" w:rsidRDefault="003F46ED" w:rsidP="0058045D">
      <w:pPr>
        <w:pStyle w:val="Heading7"/>
        <w:numPr>
          <w:ilvl w:val="6"/>
          <w:numId w:val="0"/>
        </w:numPr>
        <w:ind w:left="737"/>
        <w:rPr>
          <w:bCs/>
        </w:rPr>
      </w:pPr>
      <w:r>
        <w:rPr>
          <w:bCs/>
        </w:rPr>
        <w:t>[</w:t>
      </w:r>
      <w:r w:rsidR="003F4015" w:rsidRPr="00666ED4">
        <w:rPr>
          <w:b/>
        </w:rPr>
        <w:t xml:space="preserve">Associated Project </w:t>
      </w:r>
      <w:r w:rsidR="003F4015" w:rsidRPr="00666ED4">
        <w:rPr>
          <w:bCs/>
        </w:rPr>
        <w:t xml:space="preserve">has the meaning given in item </w:t>
      </w:r>
      <w:r w:rsidR="003F4015" w:rsidRPr="00666ED4">
        <w:rPr>
          <w:bCs/>
        </w:rPr>
        <w:fldChar w:fldCharType="begin"/>
      </w:r>
      <w:r w:rsidR="003F4015" w:rsidRPr="00666ED4">
        <w:rPr>
          <w:bCs/>
        </w:rPr>
        <w:instrText xml:space="preserve"> REF _Ref172454846 \r \h </w:instrText>
      </w:r>
      <w:r w:rsidR="00D6422A" w:rsidRPr="00666ED4">
        <w:rPr>
          <w:bCs/>
        </w:rPr>
        <w:instrText xml:space="preserve"> \* MERGEFORMAT </w:instrText>
      </w:r>
      <w:r w:rsidR="003F4015" w:rsidRPr="00666ED4">
        <w:rPr>
          <w:bCs/>
        </w:rPr>
      </w:r>
      <w:r w:rsidR="003F4015" w:rsidRPr="00666ED4">
        <w:rPr>
          <w:bCs/>
        </w:rPr>
        <w:fldChar w:fldCharType="separate"/>
      </w:r>
      <w:r w:rsidR="002E5C6A">
        <w:rPr>
          <w:bCs/>
        </w:rPr>
        <w:t>8</w:t>
      </w:r>
      <w:r w:rsidR="003F4015" w:rsidRPr="00666ED4">
        <w:rPr>
          <w:bCs/>
        </w:rPr>
        <w:fldChar w:fldCharType="end"/>
      </w:r>
      <w:r w:rsidR="003F4015" w:rsidRPr="00666ED4">
        <w:rPr>
          <w:bCs/>
        </w:rPr>
        <w:t xml:space="preserve"> of the Reference Details.</w:t>
      </w:r>
      <w:r>
        <w:rPr>
          <w:bCs/>
        </w:rPr>
        <w:t>]</w:t>
      </w:r>
      <w:r w:rsidR="003F4015">
        <w:rPr>
          <w:bCs/>
        </w:rPr>
        <w:t xml:space="preserve"> </w:t>
      </w:r>
    </w:p>
    <w:p w14:paraId="2CF88DFD" w14:textId="27B17DE2" w:rsidR="00745E63" w:rsidRPr="003F4015" w:rsidRDefault="00745E63" w:rsidP="0058045D">
      <w:pPr>
        <w:pStyle w:val="Heading7"/>
        <w:numPr>
          <w:ilvl w:val="6"/>
          <w:numId w:val="0"/>
        </w:numPr>
        <w:ind w:left="737"/>
        <w:rPr>
          <w:bCs/>
        </w:rPr>
      </w:pPr>
      <w:r w:rsidRPr="00131021">
        <w:rPr>
          <w:highlight w:val="lightGray"/>
        </w:rPr>
        <w:t>[</w:t>
      </w:r>
      <w:r w:rsidRPr="00131021">
        <w:rPr>
          <w:b/>
          <w:bCs/>
          <w:i/>
          <w:iCs/>
          <w:highlight w:val="lightGray"/>
        </w:rPr>
        <w:t>Note: definition to be included for all Hybrid Projects.</w:t>
      </w:r>
      <w:r w:rsidRPr="00131021">
        <w:rPr>
          <w:highlight w:val="lightGray"/>
        </w:rPr>
        <w:t>]</w:t>
      </w:r>
    </w:p>
    <w:p w14:paraId="1859D455" w14:textId="1D7DCD60" w:rsidR="00397A27" w:rsidRPr="000A76C2" w:rsidRDefault="2BC382E4" w:rsidP="0058045D">
      <w:pPr>
        <w:pStyle w:val="Heading7"/>
        <w:numPr>
          <w:ilvl w:val="6"/>
          <w:numId w:val="0"/>
        </w:numPr>
        <w:ind w:left="737"/>
      </w:pPr>
      <w:r>
        <w:t>[</w:t>
      </w:r>
      <w:r w:rsidRPr="2BC382E4">
        <w:rPr>
          <w:b/>
          <w:bCs/>
        </w:rPr>
        <w:t xml:space="preserve">Associated Project Commencement Date </w:t>
      </w:r>
      <w:r>
        <w:t>means</w:t>
      </w:r>
      <w:r w:rsidRPr="2BC382E4">
        <w:rPr>
          <w:b/>
          <w:bCs/>
        </w:rPr>
        <w:t xml:space="preserve"> </w:t>
      </w:r>
      <w:r>
        <w:t>the date on which the Associated Project becomes physically capable of exporting energy to the Network</w:t>
      </w:r>
      <w:r w:rsidR="00417119">
        <w:t>, regardless of the</w:t>
      </w:r>
      <w:r w:rsidR="000D068A">
        <w:t xml:space="preserve"> level of output </w:t>
      </w:r>
      <w:r w:rsidR="00417119">
        <w:t>of the Associated Project and whether or not the Associated Project is capable of exporting energy at 100% of the Export.</w:t>
      </w:r>
      <w:r>
        <w:t xml:space="preserve">] </w:t>
      </w:r>
      <w:r w:rsidR="000A76C2" w:rsidRPr="00131021">
        <w:rPr>
          <w:highlight w:val="lightGray"/>
        </w:rPr>
        <w:t>[</w:t>
      </w:r>
      <w:r w:rsidR="000A76C2" w:rsidRPr="00131021">
        <w:rPr>
          <w:b/>
          <w:bCs/>
          <w:i/>
          <w:iCs/>
          <w:highlight w:val="lightGray"/>
        </w:rPr>
        <w:t>Note: definition to be included for all Hybrid Projects.</w:t>
      </w:r>
      <w:r w:rsidR="000A76C2" w:rsidRPr="00131021">
        <w:rPr>
          <w:highlight w:val="lightGray"/>
        </w:rPr>
        <w:t>]</w:t>
      </w:r>
    </w:p>
    <w:p w14:paraId="49336F09" w14:textId="27985803" w:rsidR="00A869BC" w:rsidRDefault="00A869BC" w:rsidP="00467340">
      <w:pPr>
        <w:pStyle w:val="Heading7"/>
        <w:numPr>
          <w:ilvl w:val="6"/>
          <w:numId w:val="44"/>
        </w:numPr>
      </w:pPr>
      <w:bookmarkStart w:id="101" w:name="F_ASX"/>
      <w:r>
        <w:rPr>
          <w:b/>
        </w:rPr>
        <w:t>ASX</w:t>
      </w:r>
      <w:r w:rsidRPr="009E7F4D">
        <w:t xml:space="preserve"> </w:t>
      </w:r>
      <w:r w:rsidRPr="00280959">
        <w:t>means</w:t>
      </w:r>
      <w:r>
        <w:rPr>
          <w:b/>
        </w:rPr>
        <w:t xml:space="preserve"> </w:t>
      </w:r>
      <w:r w:rsidR="00C53950">
        <w:rPr>
          <w:bCs/>
        </w:rPr>
        <w:t xml:space="preserve">the Australian Stock Exchange operated by </w:t>
      </w:r>
      <w:r>
        <w:t xml:space="preserve">ASX Limited </w:t>
      </w:r>
      <w:r w:rsidR="00C53950">
        <w:t>(ACN</w:t>
      </w:r>
      <w:r w:rsidR="009E602D">
        <w:t> </w:t>
      </w:r>
      <w:r w:rsidR="00C53950" w:rsidRPr="00172F25">
        <w:t>008</w:t>
      </w:r>
      <w:r w:rsidR="009E602D">
        <w:t> </w:t>
      </w:r>
      <w:r w:rsidR="00C53950" w:rsidRPr="00172F25">
        <w:t>624</w:t>
      </w:r>
      <w:r w:rsidR="009E602D">
        <w:t> </w:t>
      </w:r>
      <w:r w:rsidR="00C53950" w:rsidRPr="00172F25">
        <w:t>691</w:t>
      </w:r>
      <w:r w:rsidR="00C53950">
        <w:t>)</w:t>
      </w:r>
      <w:r>
        <w:t>.</w:t>
      </w:r>
    </w:p>
    <w:bookmarkEnd w:id="101"/>
    <w:p w14:paraId="23E1ED2C" w14:textId="4B2A6100" w:rsidR="00E66BFA" w:rsidRPr="00D9710F" w:rsidRDefault="00E66BFA" w:rsidP="00E66BFA">
      <w:pPr>
        <w:pStyle w:val="Heading7"/>
        <w:rPr>
          <w:bCs/>
        </w:rPr>
      </w:pPr>
      <w:r>
        <w:rPr>
          <w:b/>
        </w:rPr>
        <w:t xml:space="preserve">Audit </w:t>
      </w:r>
      <w:r w:rsidRPr="00D9710F">
        <w:rPr>
          <w:bCs/>
        </w:rPr>
        <w:t>has the meaning given in clause</w:t>
      </w:r>
      <w:r>
        <w:rPr>
          <w:bCs/>
        </w:rPr>
        <w:t xml:space="preserve"> </w:t>
      </w:r>
      <w:r>
        <w:rPr>
          <w:bCs/>
        </w:rPr>
        <w:fldChar w:fldCharType="begin"/>
      </w:r>
      <w:r>
        <w:rPr>
          <w:bCs/>
        </w:rPr>
        <w:instrText xml:space="preserve"> REF _Ref149848578 \w \h </w:instrText>
      </w:r>
      <w:r>
        <w:rPr>
          <w:bCs/>
        </w:rPr>
      </w:r>
      <w:r>
        <w:rPr>
          <w:bCs/>
        </w:rPr>
        <w:fldChar w:fldCharType="separate"/>
      </w:r>
      <w:r w:rsidR="002E5C6A">
        <w:rPr>
          <w:bCs/>
        </w:rPr>
        <w:t>32.4</w:t>
      </w:r>
      <w:r>
        <w:rPr>
          <w:bCs/>
        </w:rPr>
        <w:fldChar w:fldCharType="end"/>
      </w:r>
      <w:r w:rsidRPr="00D9710F">
        <w:rPr>
          <w:bCs/>
        </w:rPr>
        <w:t xml:space="preserve"> </w:t>
      </w:r>
      <w:r>
        <w:rPr>
          <w:bCs/>
        </w:rPr>
        <w:t>(“</w:t>
      </w:r>
      <w:r>
        <w:rPr>
          <w:bCs/>
        </w:rPr>
        <w:fldChar w:fldCharType="begin"/>
      </w:r>
      <w:r>
        <w:rPr>
          <w:bCs/>
        </w:rPr>
        <w:instrText xml:space="preserve"> REF _Ref149848578 \h </w:instrText>
      </w:r>
      <w:r>
        <w:rPr>
          <w:bCs/>
        </w:rPr>
      </w:r>
      <w:r>
        <w:rPr>
          <w:bCs/>
        </w:rPr>
        <w:fldChar w:fldCharType="separate"/>
      </w:r>
      <w:r w:rsidR="002E5C6A">
        <w:t>Right to access and audit</w:t>
      </w:r>
      <w:r>
        <w:rPr>
          <w:bCs/>
        </w:rPr>
        <w:fldChar w:fldCharType="end"/>
      </w:r>
      <w:r>
        <w:rPr>
          <w:bCs/>
        </w:rPr>
        <w:t>”).</w:t>
      </w:r>
    </w:p>
    <w:p w14:paraId="00514EAB" w14:textId="2118A997" w:rsidR="00B37EAF" w:rsidRPr="0076796C" w:rsidRDefault="00B37EAF" w:rsidP="0058045D">
      <w:pPr>
        <w:pStyle w:val="Heading7"/>
        <w:rPr>
          <w:bCs/>
        </w:rPr>
      </w:pPr>
      <w:r>
        <w:rPr>
          <w:b/>
        </w:rPr>
        <w:t xml:space="preserve">Auditor </w:t>
      </w:r>
      <w:r w:rsidRPr="0076796C">
        <w:rPr>
          <w:bCs/>
        </w:rPr>
        <w:t>has the meaning given in clause</w:t>
      </w:r>
      <w:r>
        <w:rPr>
          <w:bCs/>
        </w:rPr>
        <w:t xml:space="preserve"> </w:t>
      </w:r>
      <w:r>
        <w:rPr>
          <w:bCs/>
        </w:rPr>
        <w:fldChar w:fldCharType="begin"/>
      </w:r>
      <w:r>
        <w:rPr>
          <w:bCs/>
        </w:rPr>
        <w:instrText xml:space="preserve"> REF _Ref149848578 \w \h </w:instrText>
      </w:r>
      <w:r>
        <w:rPr>
          <w:bCs/>
        </w:rPr>
      </w:r>
      <w:r>
        <w:rPr>
          <w:bCs/>
        </w:rPr>
        <w:fldChar w:fldCharType="separate"/>
      </w:r>
      <w:r w:rsidR="002E5C6A">
        <w:rPr>
          <w:bCs/>
        </w:rPr>
        <w:t>32.4</w:t>
      </w:r>
      <w:r>
        <w:rPr>
          <w:bCs/>
        </w:rPr>
        <w:fldChar w:fldCharType="end"/>
      </w:r>
      <w:r w:rsidRPr="0076796C">
        <w:rPr>
          <w:bCs/>
        </w:rPr>
        <w:t xml:space="preserve"> </w:t>
      </w:r>
      <w:r>
        <w:rPr>
          <w:bCs/>
        </w:rPr>
        <w:t>(“</w:t>
      </w:r>
      <w:r>
        <w:rPr>
          <w:bCs/>
        </w:rPr>
        <w:fldChar w:fldCharType="begin"/>
      </w:r>
      <w:r>
        <w:rPr>
          <w:bCs/>
        </w:rPr>
        <w:instrText xml:space="preserve"> REF _Ref149848578 \h </w:instrText>
      </w:r>
      <w:r>
        <w:rPr>
          <w:bCs/>
        </w:rPr>
      </w:r>
      <w:r>
        <w:rPr>
          <w:bCs/>
        </w:rPr>
        <w:fldChar w:fldCharType="separate"/>
      </w:r>
      <w:r w:rsidR="002E5C6A">
        <w:t>Right to access and audit</w:t>
      </w:r>
      <w:r>
        <w:rPr>
          <w:bCs/>
        </w:rPr>
        <w:fldChar w:fldCharType="end"/>
      </w:r>
      <w:r>
        <w:rPr>
          <w:bCs/>
        </w:rPr>
        <w:t>”).</w:t>
      </w:r>
    </w:p>
    <w:p w14:paraId="553781E9" w14:textId="7457213C" w:rsidR="00907F1C" w:rsidRDefault="00907F1C" w:rsidP="0058045D">
      <w:pPr>
        <w:pStyle w:val="Heading7"/>
      </w:pPr>
      <w:r w:rsidRPr="00DE0170">
        <w:rPr>
          <w:b/>
        </w:rPr>
        <w:t>Authorisation</w:t>
      </w:r>
      <w:r>
        <w:t xml:space="preserve"> means any consent, licence, approval, permit, registration, accreditation</w:t>
      </w:r>
      <w:r w:rsidR="009B09C2">
        <w:t>, exemption,</w:t>
      </w:r>
      <w:r>
        <w:t xml:space="preserve"> or other authorisation that is required to be granted by any Government </w:t>
      </w:r>
      <w:r w:rsidR="00E50A8F">
        <w:t>Authority</w:t>
      </w:r>
      <w:r>
        <w:t xml:space="preserve">, regulatory body, instrumentality, minister, agency or other authority for the purposes of allowing a </w:t>
      </w:r>
      <w:r w:rsidR="007310E6">
        <w:t>party</w:t>
      </w:r>
      <w:r>
        <w:t xml:space="preserve"> to perform its obligations under </w:t>
      </w:r>
      <w:r w:rsidR="00AE34C8">
        <w:t xml:space="preserve">this </w:t>
      </w:r>
      <w:r w:rsidR="008D7B01">
        <w:t>agreement</w:t>
      </w:r>
      <w:r>
        <w:t xml:space="preserve"> and</w:t>
      </w:r>
      <w:r w:rsidR="000975E3">
        <w:t>,</w:t>
      </w:r>
      <w:r>
        <w:t xml:space="preserve"> in relation to </w:t>
      </w:r>
      <w:r w:rsidR="00411B14">
        <w:t>Project Operator</w:t>
      </w:r>
      <w:r>
        <w:t>, to operate and maintain the</w:t>
      </w:r>
      <w:r w:rsidR="00DA0BF8">
        <w:t xml:space="preserve"> Project</w:t>
      </w:r>
      <w:r w:rsidR="00893090">
        <w:t>[</w:t>
      </w:r>
      <w:r w:rsidR="00DA0BF8">
        <w:t xml:space="preserve">, the [Hybrid/Staged] </w:t>
      </w:r>
      <w:r w:rsidR="00D145D0">
        <w:t>Project</w:t>
      </w:r>
      <w:r w:rsidR="00893090">
        <w:t xml:space="preserve"> </w:t>
      </w:r>
      <w:r w:rsidR="00DA0BF8">
        <w:t>[, or the [Associated/Existing Project</w:t>
      </w:r>
      <w:r w:rsidR="00893090">
        <w:t xml:space="preserve"> (as applicable)</w:t>
      </w:r>
      <w:r w:rsidR="00DA0BF8">
        <w:t>]</w:t>
      </w:r>
      <w:r>
        <w:t>.</w:t>
      </w:r>
      <w:r w:rsidR="001C4044">
        <w:t xml:space="preserve"> [</w:t>
      </w:r>
      <w:r w:rsidR="001C4044" w:rsidRPr="004D3942">
        <w:rPr>
          <w:b/>
          <w:bCs/>
          <w:i/>
          <w:iCs/>
          <w:highlight w:val="lightGray"/>
        </w:rPr>
        <w:t xml:space="preserve">Note: </w:t>
      </w:r>
      <w:r w:rsidR="00323D2E">
        <w:rPr>
          <w:b/>
          <w:bCs/>
          <w:i/>
          <w:iCs/>
          <w:highlight w:val="lightGray"/>
        </w:rPr>
        <w:t xml:space="preserve">words in square brackets to be included </w:t>
      </w:r>
      <w:r w:rsidR="001C4044" w:rsidRPr="004D3942">
        <w:rPr>
          <w:b/>
          <w:bCs/>
          <w:i/>
          <w:iCs/>
          <w:highlight w:val="lightGray"/>
        </w:rPr>
        <w:t xml:space="preserve">for all Hybrid </w:t>
      </w:r>
      <w:r w:rsidR="000B5694">
        <w:rPr>
          <w:b/>
          <w:bCs/>
          <w:i/>
          <w:iCs/>
          <w:highlight w:val="lightGray"/>
        </w:rPr>
        <w:t>a</w:t>
      </w:r>
      <w:r w:rsidR="00DA0BF8">
        <w:rPr>
          <w:b/>
          <w:bCs/>
          <w:i/>
          <w:iCs/>
          <w:highlight w:val="lightGray"/>
        </w:rPr>
        <w:t xml:space="preserve">nd Staged </w:t>
      </w:r>
      <w:r w:rsidR="001C4044" w:rsidRPr="004D3942">
        <w:rPr>
          <w:b/>
          <w:bCs/>
          <w:i/>
          <w:iCs/>
          <w:highlight w:val="lightGray"/>
        </w:rPr>
        <w:t>Projects</w:t>
      </w:r>
      <w:r w:rsidR="00DA0BF8">
        <w:rPr>
          <w:b/>
          <w:bCs/>
          <w:i/>
          <w:iCs/>
          <w:highlight w:val="lightGray"/>
        </w:rPr>
        <w:t xml:space="preserve"> (as applicable)</w:t>
      </w:r>
      <w:r w:rsidR="001C4044" w:rsidRPr="004D3942">
        <w:rPr>
          <w:b/>
          <w:bCs/>
          <w:i/>
          <w:iCs/>
          <w:highlight w:val="lightGray"/>
        </w:rPr>
        <w:t>.</w:t>
      </w:r>
      <w:r w:rsidR="001C4044">
        <w:t xml:space="preserve">] </w:t>
      </w:r>
    </w:p>
    <w:p w14:paraId="4D7FB916" w14:textId="07B50FB3" w:rsidR="00D77B1D" w:rsidRPr="00E42BED" w:rsidRDefault="00D77B1D" w:rsidP="00D77B1D">
      <w:pPr>
        <w:pStyle w:val="Heading7"/>
        <w:rPr>
          <w:bCs/>
        </w:rPr>
      </w:pPr>
      <w:r w:rsidRPr="007F483A">
        <w:rPr>
          <w:b/>
        </w:rPr>
        <w:t>Availability Rebate</w:t>
      </w:r>
      <w:r w:rsidRPr="00D77B1D">
        <w:rPr>
          <w:bCs/>
        </w:rPr>
        <w:t xml:space="preserve"> has the meaning give</w:t>
      </w:r>
      <w:r w:rsidRPr="00E42BED">
        <w:rPr>
          <w:bCs/>
        </w:rPr>
        <w:t xml:space="preserve">n in </w:t>
      </w:r>
      <w:r w:rsidRPr="008E4A1B">
        <w:rPr>
          <w:bCs/>
        </w:rPr>
        <w:t xml:space="preserve">section </w:t>
      </w:r>
      <w:r w:rsidR="00670579">
        <w:rPr>
          <w:bCs/>
        </w:rPr>
        <w:fldChar w:fldCharType="begin"/>
      </w:r>
      <w:r w:rsidR="00670579">
        <w:rPr>
          <w:bCs/>
        </w:rPr>
        <w:instrText xml:space="preserve"> REF _Ref206083707 \n \h </w:instrText>
      </w:r>
      <w:r w:rsidR="00670579">
        <w:rPr>
          <w:bCs/>
        </w:rPr>
      </w:r>
      <w:r w:rsidR="00670579">
        <w:rPr>
          <w:bCs/>
        </w:rPr>
        <w:fldChar w:fldCharType="separate"/>
      </w:r>
      <w:r w:rsidR="002E5C6A">
        <w:rPr>
          <w:bCs/>
        </w:rPr>
        <w:t>4</w:t>
      </w:r>
      <w:r w:rsidR="00670579">
        <w:rPr>
          <w:bCs/>
        </w:rPr>
        <w:fldChar w:fldCharType="end"/>
      </w:r>
      <w:r w:rsidRPr="008E4A1B">
        <w:t xml:space="preserve"> of </w:t>
      </w:r>
      <w:r w:rsidR="00A813EB">
        <w:fldChar w:fldCharType="begin"/>
      </w:r>
      <w:r w:rsidR="00A813EB">
        <w:instrText xml:space="preserve"> REF _Ref103257737 \w \h </w:instrText>
      </w:r>
      <w:r w:rsidR="00A813EB">
        <w:fldChar w:fldCharType="separate"/>
      </w:r>
      <w:r w:rsidR="002E5C6A">
        <w:t>Schedule 1</w:t>
      </w:r>
      <w:r w:rsidR="00A813EB">
        <w:fldChar w:fldCharType="end"/>
      </w:r>
      <w:r w:rsidR="00A813EB">
        <w:t xml:space="preserve"> (“</w:t>
      </w:r>
      <w:r w:rsidR="00A813EB">
        <w:fldChar w:fldCharType="begin"/>
      </w:r>
      <w:r w:rsidR="00A813EB">
        <w:instrText xml:space="preserve">  REF _Ref103257737 \h </w:instrText>
      </w:r>
      <w:r w:rsidR="00A813EB">
        <w:fldChar w:fldCharType="separate"/>
      </w:r>
      <w:r w:rsidR="002E5C6A">
        <w:t>Support terms</w:t>
      </w:r>
      <w:r w:rsidR="00A813EB">
        <w:fldChar w:fldCharType="end"/>
      </w:r>
      <w:r w:rsidR="00A813EB">
        <w:t>”)</w:t>
      </w:r>
      <w:r w:rsidRPr="00E42BED">
        <w:t>.</w:t>
      </w:r>
      <w:r w:rsidRPr="00E42BED">
        <w:rPr>
          <w:bCs/>
        </w:rPr>
        <w:t xml:space="preserve"> </w:t>
      </w:r>
    </w:p>
    <w:p w14:paraId="37EC5AFB" w14:textId="7367C7AC" w:rsidR="00D77B1D" w:rsidRPr="00E42BED" w:rsidRDefault="00D77B1D" w:rsidP="00D77B1D">
      <w:pPr>
        <w:pStyle w:val="Heading7"/>
      </w:pPr>
      <w:r w:rsidRPr="00E42BED">
        <w:rPr>
          <w:b/>
        </w:rPr>
        <w:t>Availability Rebate Percentage</w:t>
      </w:r>
      <w:r w:rsidRPr="00E42BED">
        <w:rPr>
          <w:bCs/>
        </w:rPr>
        <w:t xml:space="preserve"> has the meaning given in </w:t>
      </w:r>
      <w:r w:rsidR="00670579">
        <w:rPr>
          <w:bCs/>
        </w:rPr>
        <w:t xml:space="preserve">item </w:t>
      </w:r>
      <w:r w:rsidR="00670579">
        <w:rPr>
          <w:bCs/>
        </w:rPr>
        <w:fldChar w:fldCharType="begin"/>
      </w:r>
      <w:r w:rsidR="00670579">
        <w:rPr>
          <w:bCs/>
        </w:rPr>
        <w:instrText xml:space="preserve"> REF _Ref202534301 \n \h </w:instrText>
      </w:r>
      <w:r w:rsidR="00670579">
        <w:rPr>
          <w:bCs/>
        </w:rPr>
      </w:r>
      <w:r w:rsidR="00670579">
        <w:rPr>
          <w:bCs/>
        </w:rPr>
        <w:fldChar w:fldCharType="separate"/>
      </w:r>
      <w:r w:rsidR="002E5C6A">
        <w:rPr>
          <w:bCs/>
        </w:rPr>
        <w:t>4.2</w:t>
      </w:r>
      <w:r w:rsidR="00670579">
        <w:rPr>
          <w:bCs/>
        </w:rPr>
        <w:fldChar w:fldCharType="end"/>
      </w:r>
      <w:r w:rsidRPr="008E4A1B">
        <w:t xml:space="preserve"> of </w:t>
      </w:r>
      <w:r w:rsidR="00A813EB">
        <w:fldChar w:fldCharType="begin"/>
      </w:r>
      <w:r w:rsidR="00A813EB">
        <w:instrText xml:space="preserve"> REF _Ref103257737 \w \h </w:instrText>
      </w:r>
      <w:r w:rsidR="00A813EB">
        <w:fldChar w:fldCharType="separate"/>
      </w:r>
      <w:r w:rsidR="002E5C6A">
        <w:t>Schedule 1</w:t>
      </w:r>
      <w:r w:rsidR="00A813EB">
        <w:fldChar w:fldCharType="end"/>
      </w:r>
      <w:r w:rsidR="00A813EB">
        <w:t xml:space="preserve"> (“</w:t>
      </w:r>
      <w:r w:rsidR="00A813EB">
        <w:fldChar w:fldCharType="begin"/>
      </w:r>
      <w:r w:rsidR="00A813EB">
        <w:instrText xml:space="preserve">  REF _Ref103257737 \h </w:instrText>
      </w:r>
      <w:r w:rsidR="00A813EB">
        <w:fldChar w:fldCharType="separate"/>
      </w:r>
      <w:r w:rsidR="002E5C6A">
        <w:t>Support terms</w:t>
      </w:r>
      <w:r w:rsidR="00A813EB">
        <w:fldChar w:fldCharType="end"/>
      </w:r>
      <w:r w:rsidR="00A813EB">
        <w:t>”)</w:t>
      </w:r>
      <w:r w:rsidRPr="00E42BED">
        <w:t xml:space="preserve">. </w:t>
      </w:r>
    </w:p>
    <w:p w14:paraId="016B2ECC" w14:textId="77777777" w:rsidR="003D072D" w:rsidRDefault="2BC382E4" w:rsidP="0058045D">
      <w:pPr>
        <w:pStyle w:val="Heading7"/>
        <w:numPr>
          <w:ilvl w:val="6"/>
          <w:numId w:val="0"/>
        </w:numPr>
        <w:ind w:left="737"/>
      </w:pPr>
      <w:r w:rsidRPr="2BC382E4">
        <w:rPr>
          <w:b/>
          <w:bCs/>
        </w:rPr>
        <w:t>Background Intellectual Property</w:t>
      </w:r>
      <w:r>
        <w:t xml:space="preserve"> means any Intellectual Property developed independently of the Project and used by or on behalf of Project Operator for the purpose of undertaking the Project.</w:t>
      </w:r>
    </w:p>
    <w:p w14:paraId="42932849" w14:textId="75CCAEB6" w:rsidR="00E74F77" w:rsidRDefault="00E74F77" w:rsidP="00560FD4">
      <w:pPr>
        <w:pStyle w:val="Heading7"/>
        <w:keepNext/>
        <w:numPr>
          <w:ilvl w:val="6"/>
          <w:numId w:val="61"/>
        </w:numPr>
      </w:pPr>
      <w:r>
        <w:rPr>
          <w:b/>
          <w:bCs/>
        </w:rPr>
        <w:t xml:space="preserve">Bilateral Contract </w:t>
      </w:r>
      <w:r>
        <w:t>means any contract or other arrangement (other than this agreement) [(including any arrangement pursuant to which AP Generated Energy is imported by the Project from the Associated Project)] that entitles Project Operator to receive amounts payable in respect of, or other economic value associated with</w:t>
      </w:r>
      <w:r w:rsidR="005B7A0C">
        <w:t>, or derived by reference to</w:t>
      </w:r>
      <w:r>
        <w:t xml:space="preserve">: </w:t>
      </w:r>
    </w:p>
    <w:p w14:paraId="227D4FAA" w14:textId="77777777" w:rsidR="00E74F77" w:rsidRDefault="00E74F77" w:rsidP="008F660B">
      <w:pPr>
        <w:pStyle w:val="Heading8"/>
        <w:numPr>
          <w:ilvl w:val="7"/>
          <w:numId w:val="61"/>
        </w:numPr>
      </w:pPr>
      <w:r>
        <w:t>[any of] the Project [,the Existing Project or the Staged Project];</w:t>
      </w:r>
    </w:p>
    <w:p w14:paraId="3C65E9C0" w14:textId="2383C7E3" w:rsidR="00E74F77" w:rsidRDefault="00E74F77" w:rsidP="008F660B">
      <w:pPr>
        <w:pStyle w:val="Heading8"/>
        <w:numPr>
          <w:ilvl w:val="7"/>
          <w:numId w:val="61"/>
        </w:numPr>
      </w:pPr>
      <w:r>
        <w:t xml:space="preserve">any Green Products or Capacity Credits </w:t>
      </w:r>
      <w:r w:rsidR="005B7A0C">
        <w:t>referable</w:t>
      </w:r>
      <w:r>
        <w:t xml:space="preserve"> to </w:t>
      </w:r>
      <w:r w:rsidR="005B7A0C">
        <w:t xml:space="preserve">electricity imported or exported by </w:t>
      </w:r>
      <w:r>
        <w:t xml:space="preserve">[any of] </w:t>
      </w:r>
      <w:r w:rsidR="005B7A0C">
        <w:t xml:space="preserve">the </w:t>
      </w:r>
      <w:r>
        <w:t>Project [, the Existing Project or the Staged Project]</w:t>
      </w:r>
      <w:r w:rsidR="005B7A0C">
        <w:t xml:space="preserve"> or otherwise created by reference to [any of] the Project [, the Existing Project or the Staged Project];</w:t>
      </w:r>
    </w:p>
    <w:p w14:paraId="2CC53F0C" w14:textId="77777777" w:rsidR="00E74F77" w:rsidRDefault="00E74F77" w:rsidP="008F660B">
      <w:pPr>
        <w:pStyle w:val="Heading8"/>
        <w:numPr>
          <w:ilvl w:val="7"/>
          <w:numId w:val="61"/>
        </w:numPr>
      </w:pPr>
      <w:r>
        <w:t xml:space="preserve">electricity imported or exported by [any of] the Project [, the Existing Project or the Staged Project]; </w:t>
      </w:r>
    </w:p>
    <w:p w14:paraId="26107019" w14:textId="725C4244" w:rsidR="00E74F77" w:rsidRDefault="00E74F77" w:rsidP="008F660B">
      <w:pPr>
        <w:pStyle w:val="Heading8"/>
        <w:numPr>
          <w:ilvl w:val="7"/>
          <w:numId w:val="61"/>
        </w:numPr>
      </w:pPr>
      <w:r>
        <w:t>the supply of Essential System Services by [any of] the Project[,</w:t>
      </w:r>
      <w:r w:rsidR="00D915D4">
        <w:t xml:space="preserve"> the Associated Project/,</w:t>
      </w:r>
      <w:r>
        <w:t>the Existing Project</w:t>
      </w:r>
      <w:r w:rsidR="00D915D4">
        <w:t>]</w:t>
      </w:r>
      <w:r>
        <w:t xml:space="preserve"> </w:t>
      </w:r>
      <w:r w:rsidR="00D915D4">
        <w:t>[</w:t>
      </w:r>
      <w:r>
        <w:t xml:space="preserve">or the </w:t>
      </w:r>
      <w:r w:rsidR="00D915D4">
        <w:t>[Hybrid/</w:t>
      </w:r>
      <w:r>
        <w:t>Stage</w:t>
      </w:r>
      <w:r w:rsidR="008F0622">
        <w:t>d</w:t>
      </w:r>
      <w:r w:rsidR="00D915D4">
        <w:t>]</w:t>
      </w:r>
      <w:r>
        <w:t xml:space="preserve"> Project</w:t>
      </w:r>
      <w:r w:rsidR="00D915D4">
        <w:t>]</w:t>
      </w:r>
      <w:r>
        <w:t xml:space="preserve">; </w:t>
      </w:r>
    </w:p>
    <w:p w14:paraId="5FA94686" w14:textId="777B1103" w:rsidR="00E74F77" w:rsidRDefault="00E74F77" w:rsidP="008F660B">
      <w:pPr>
        <w:pStyle w:val="Heading8"/>
        <w:numPr>
          <w:ilvl w:val="7"/>
          <w:numId w:val="61"/>
        </w:numPr>
      </w:pPr>
      <w:r>
        <w:t>the availability</w:t>
      </w:r>
      <w:r w:rsidR="005B7A0C">
        <w:t>, capacity</w:t>
      </w:r>
      <w:r>
        <w:t xml:space="preserve"> or use of the energy storage capacity of [any of] the Project [, the Existing Project or the Staged Project]</w:t>
      </w:r>
      <w:r w:rsidR="005B7A0C">
        <w:t>; or</w:t>
      </w:r>
    </w:p>
    <w:p w14:paraId="42D74F9C" w14:textId="6D31A71D" w:rsidR="005B7A0C" w:rsidRDefault="005B7A0C" w:rsidP="008F660B">
      <w:pPr>
        <w:pStyle w:val="Heading8"/>
        <w:numPr>
          <w:ilvl w:val="7"/>
          <w:numId w:val="61"/>
        </w:numPr>
      </w:pPr>
      <w:r>
        <w:t>any combination of the above.</w:t>
      </w:r>
    </w:p>
    <w:p w14:paraId="44139059" w14:textId="5CEA7DB9" w:rsidR="009B32A1" w:rsidRDefault="009B32A1" w:rsidP="008F660B">
      <w:pPr>
        <w:pStyle w:val="Heading8"/>
        <w:numPr>
          <w:ilvl w:val="0"/>
          <w:numId w:val="0"/>
        </w:numPr>
        <w:ind w:left="737"/>
      </w:pPr>
      <w:r>
        <w:rPr>
          <w:highlight w:val="lightGray"/>
        </w:rPr>
        <w:t>[</w:t>
      </w:r>
      <w:r>
        <w:rPr>
          <w:b/>
          <w:bCs/>
          <w:i/>
          <w:iCs/>
          <w:highlight w:val="lightGray"/>
        </w:rPr>
        <w:t>Note: words in square brackets above to be included for all Hybrid Projects and Staged Projects (as applicable).</w:t>
      </w:r>
      <w:r>
        <w:rPr>
          <w:highlight w:val="lightGray"/>
        </w:rPr>
        <w:t>]</w:t>
      </w:r>
    </w:p>
    <w:p w14:paraId="7365350C" w14:textId="6D915879" w:rsidR="0077136F" w:rsidRDefault="0077136F" w:rsidP="0077136F">
      <w:pPr>
        <w:pStyle w:val="Heading7"/>
        <w:numPr>
          <w:ilvl w:val="6"/>
          <w:numId w:val="0"/>
        </w:numPr>
        <w:ind w:left="737"/>
      </w:pPr>
      <w:r>
        <w:rPr>
          <w:b/>
        </w:rPr>
        <w:t xml:space="preserve">Breach Notice </w:t>
      </w:r>
      <w:r>
        <w:t xml:space="preserve">has the meaning given in clause </w:t>
      </w:r>
      <w:r w:rsidR="009B4DA0">
        <w:fldChar w:fldCharType="begin"/>
      </w:r>
      <w:r w:rsidR="009B4DA0">
        <w:instrText xml:space="preserve"> REF _Ref166078687 \r \h </w:instrText>
      </w:r>
      <w:r w:rsidR="009B4DA0">
        <w:fldChar w:fldCharType="separate"/>
      </w:r>
      <w:r w:rsidR="002E5C6A">
        <w:t>22.3(b)</w:t>
      </w:r>
      <w:r w:rsidR="009B4DA0">
        <w:fldChar w:fldCharType="end"/>
      </w:r>
      <w:r>
        <w:t>.</w:t>
      </w:r>
    </w:p>
    <w:p w14:paraId="015620D4" w14:textId="0CB0F4D7" w:rsidR="00BF3C32" w:rsidRDefault="00907F1C" w:rsidP="00B5506F">
      <w:pPr>
        <w:pStyle w:val="Heading7"/>
        <w:keepNext/>
      </w:pPr>
      <w:r w:rsidRPr="00DE0170">
        <w:rPr>
          <w:b/>
        </w:rPr>
        <w:t>Business Day</w:t>
      </w:r>
      <w:r>
        <w:t xml:space="preserve"> means a day on which banks are open for business in</w:t>
      </w:r>
      <w:r w:rsidR="00096004">
        <w:t xml:space="preserve"> </w:t>
      </w:r>
      <w:r w:rsidR="00B12BEB">
        <w:t>the Relevant Jurisdiction</w:t>
      </w:r>
      <w:r w:rsidR="008A7888">
        <w:t>,</w:t>
      </w:r>
      <w:r>
        <w:t xml:space="preserve"> other than</w:t>
      </w:r>
      <w:r w:rsidR="00BF3C32">
        <w:t>:</w:t>
      </w:r>
    </w:p>
    <w:p w14:paraId="60360947" w14:textId="77777777" w:rsidR="00BF3C32" w:rsidRDefault="00BF3C32" w:rsidP="00537D9A">
      <w:pPr>
        <w:pStyle w:val="Heading8"/>
        <w:numPr>
          <w:ilvl w:val="7"/>
          <w:numId w:val="137"/>
        </w:numPr>
      </w:pPr>
      <w:r>
        <w:t xml:space="preserve">a Saturday, Sunday or public holiday; or </w:t>
      </w:r>
    </w:p>
    <w:p w14:paraId="140EE5B4" w14:textId="77777777" w:rsidR="00BF3C32" w:rsidRPr="001209BE" w:rsidRDefault="00BF3C32" w:rsidP="00467340">
      <w:pPr>
        <w:pStyle w:val="Heading8"/>
        <w:numPr>
          <w:ilvl w:val="7"/>
          <w:numId w:val="44"/>
        </w:numPr>
        <w:tabs>
          <w:tab w:val="clear" w:pos="1474"/>
        </w:tabs>
      </w:pPr>
      <w:bookmarkStart w:id="102" w:name="_Hlk107168616"/>
      <w:r>
        <w:t>the period between 25 December and 1 January (inclusive).</w:t>
      </w:r>
    </w:p>
    <w:p w14:paraId="355E7078" w14:textId="5C4B1A1C" w:rsidR="005B7A0C" w:rsidRDefault="00E77818" w:rsidP="008F660B">
      <w:pPr>
        <w:pStyle w:val="Heading7"/>
        <w:numPr>
          <w:ilvl w:val="0"/>
          <w:numId w:val="0"/>
        </w:numPr>
        <w:ind w:left="737"/>
        <w:rPr>
          <w:bCs/>
        </w:rPr>
      </w:pPr>
      <w:r w:rsidRPr="00AB2B3C">
        <w:rPr>
          <w:b/>
          <w:bCs/>
        </w:rPr>
        <w:t>Capacity Credit</w:t>
      </w:r>
      <w:r>
        <w:t xml:space="preserve"> has the meaning given in the ESM Rules and includes any other right, entitlement, credit, offset, allowance, compensation, payment, benefit or certificate of any kind recognised or arising under any scheme, Law, policy or arrangement which becomes available to the owner or operator of an energy storage facility or generating facility that is attributable to the capacity or availability of the Project, but not including any Green Products</w:t>
      </w:r>
      <w:r w:rsidR="005B7A0C">
        <w:t>.</w:t>
      </w:r>
    </w:p>
    <w:p w14:paraId="1A8EE177" w14:textId="0D311A56" w:rsidR="008B6094" w:rsidRDefault="00FA48D7" w:rsidP="00843390">
      <w:pPr>
        <w:pStyle w:val="Heading7"/>
        <w:numPr>
          <w:ilvl w:val="6"/>
          <w:numId w:val="0"/>
        </w:numPr>
        <w:tabs>
          <w:tab w:val="left" w:pos="284"/>
        </w:tabs>
        <w:ind w:left="709"/>
        <w:rPr>
          <w:b/>
          <w:bCs/>
        </w:rPr>
      </w:pPr>
      <w:bookmarkStart w:id="103" w:name="_Hlk73696819"/>
      <w:bookmarkEnd w:id="102"/>
      <w:r>
        <w:rPr>
          <w:b/>
          <w:bCs/>
        </w:rPr>
        <w:t>Capacity Year</w:t>
      </w:r>
      <w:r>
        <w:t xml:space="preserve"> has the meaning given in the </w:t>
      </w:r>
      <w:r w:rsidR="004A1236">
        <w:t>ESM Rules</w:t>
      </w:r>
      <w:r>
        <w:t xml:space="preserve">. </w:t>
      </w:r>
    </w:p>
    <w:p w14:paraId="35A380EE" w14:textId="5C14BD4C" w:rsidR="00C72395" w:rsidRDefault="2BC382E4" w:rsidP="00B5506F">
      <w:pPr>
        <w:pStyle w:val="Heading7"/>
        <w:keepNext/>
        <w:numPr>
          <w:ilvl w:val="6"/>
          <w:numId w:val="0"/>
        </w:numPr>
        <w:tabs>
          <w:tab w:val="left" w:pos="284"/>
        </w:tabs>
        <w:ind w:left="737"/>
        <w:rPr>
          <w:szCs w:val="18"/>
        </w:rPr>
      </w:pPr>
      <w:r w:rsidRPr="2BC382E4">
        <w:rPr>
          <w:b/>
          <w:bCs/>
        </w:rPr>
        <w:t>Change in Control</w:t>
      </w:r>
      <w:r>
        <w:t xml:space="preserve"> occurs in relation to </w:t>
      </w:r>
      <w:r w:rsidR="009B09C2">
        <w:t>Project Operator</w:t>
      </w:r>
      <w:r>
        <w:t xml:space="preserve"> when: </w:t>
      </w:r>
    </w:p>
    <w:p w14:paraId="5C960ABE" w14:textId="22AF03BF" w:rsidR="00D00453" w:rsidRDefault="00D00453" w:rsidP="00467340">
      <w:pPr>
        <w:pStyle w:val="Heading8"/>
        <w:numPr>
          <w:ilvl w:val="7"/>
          <w:numId w:val="48"/>
        </w:numPr>
      </w:pPr>
      <w:r>
        <w:t xml:space="preserve">a person </w:t>
      </w:r>
      <w:r w:rsidR="0041208E">
        <w:t>that</w:t>
      </w:r>
      <w:r>
        <w:t xml:space="preserve"> does not Control </w:t>
      </w:r>
      <w:r w:rsidR="009B09C2">
        <w:t>Project Operator</w:t>
      </w:r>
      <w:r>
        <w:t xml:space="preserve"> acquires such Control; or</w:t>
      </w:r>
    </w:p>
    <w:p w14:paraId="03270487" w14:textId="2F2F88E2" w:rsidR="00D00453" w:rsidRDefault="06AC912F" w:rsidP="0058045D">
      <w:pPr>
        <w:pStyle w:val="Heading8"/>
      </w:pPr>
      <w:r>
        <w:t xml:space="preserve">a person that Controls </w:t>
      </w:r>
      <w:r w:rsidR="009B09C2">
        <w:t>Project Operator</w:t>
      </w:r>
      <w:r>
        <w:t xml:space="preserve"> ceases to have such Control, </w:t>
      </w:r>
    </w:p>
    <w:p w14:paraId="0AE558EE" w14:textId="77777777" w:rsidR="00AA7F26" w:rsidRPr="00506DCC" w:rsidRDefault="2BC382E4" w:rsidP="00B5506F">
      <w:pPr>
        <w:pStyle w:val="Heading8"/>
        <w:keepNext/>
        <w:numPr>
          <w:ilvl w:val="7"/>
          <w:numId w:val="0"/>
        </w:numPr>
        <w:ind w:left="737"/>
      </w:pPr>
      <w:r>
        <w:t>but does not include a change in Control which occurs as a result of:</w:t>
      </w:r>
    </w:p>
    <w:p w14:paraId="1B916A8C" w14:textId="77777777" w:rsidR="00AA7F26" w:rsidRPr="00506DCC" w:rsidRDefault="06AC912F" w:rsidP="00467340">
      <w:pPr>
        <w:pStyle w:val="Heading8"/>
        <w:numPr>
          <w:ilvl w:val="7"/>
          <w:numId w:val="44"/>
        </w:numPr>
      </w:pPr>
      <w:r>
        <w:t xml:space="preserve">Project Operator or any of its Related Bodies Corporate becoming listed on the ASX or other recognised securities exchange; </w:t>
      </w:r>
    </w:p>
    <w:p w14:paraId="34B13D4A" w14:textId="2C750DF2" w:rsidR="00AA7F26" w:rsidRPr="00506DCC" w:rsidRDefault="5441F362" w:rsidP="5441F362">
      <w:pPr>
        <w:pStyle w:val="Heading8"/>
      </w:pPr>
      <w:r>
        <w:t>a transfer of or other dealing in shares in Project Operator, or in any of its Related Bodies Corporate, if they are listed on the ASX or other recognised securities exchange; or</w:t>
      </w:r>
    </w:p>
    <w:p w14:paraId="0E891292" w14:textId="21A4D2B6" w:rsidR="00B559CA" w:rsidRPr="00506DCC" w:rsidRDefault="5441F362" w:rsidP="0058045D">
      <w:pPr>
        <w:pStyle w:val="Heading8"/>
      </w:pPr>
      <w:r>
        <w:t>an internal restructure or reorganisation of Project Operator or the group of which it forms a part, provided that the restructuring or reorganisation does not result in a change to the Ultimate Holding Company of Project Operator.</w:t>
      </w:r>
    </w:p>
    <w:bookmarkEnd w:id="103"/>
    <w:p w14:paraId="72C28F92" w14:textId="2D26B0C0" w:rsidR="00B247DA" w:rsidRPr="00DC78CE" w:rsidRDefault="00907F1C" w:rsidP="0058045D">
      <w:pPr>
        <w:pStyle w:val="Heading7"/>
        <w:keepNext/>
      </w:pPr>
      <w:r w:rsidRPr="00DC78CE">
        <w:rPr>
          <w:b/>
        </w:rPr>
        <w:t>Change in Law</w:t>
      </w:r>
      <w:r w:rsidRPr="00DC78CE">
        <w:t xml:space="preserve"> means</w:t>
      </w:r>
      <w:r w:rsidR="00D56528">
        <w:t>:</w:t>
      </w:r>
    </w:p>
    <w:p w14:paraId="55E4F9D6" w14:textId="40576E9F" w:rsidR="006B49D1" w:rsidRDefault="00DB6B43" w:rsidP="008F660B">
      <w:pPr>
        <w:pStyle w:val="Heading8"/>
        <w:numPr>
          <w:ilvl w:val="7"/>
          <w:numId w:val="122"/>
        </w:numPr>
      </w:pPr>
      <w:r w:rsidRPr="00DC78CE">
        <w:t>a change in</w:t>
      </w:r>
      <w:r w:rsidR="009B4DA0">
        <w:t>,</w:t>
      </w:r>
      <w:r w:rsidRPr="00DC78CE">
        <w:t xml:space="preserve"> or repeal of</w:t>
      </w:r>
      <w:r w:rsidR="009B4DA0">
        <w:t>,</w:t>
      </w:r>
      <w:r w:rsidRPr="00DC78CE">
        <w:t xml:space="preserve"> any part of</w:t>
      </w:r>
      <w:r w:rsidR="009B4DA0">
        <w:t>,</w:t>
      </w:r>
      <w:r w:rsidRPr="00DC78CE">
        <w:t xml:space="preserve"> the Electricity Industry Act or the </w:t>
      </w:r>
      <w:r w:rsidR="004A1236">
        <w:t>ESM Rules</w:t>
      </w:r>
      <w:r w:rsidR="006B49D1">
        <w:t>;</w:t>
      </w:r>
      <w:r w:rsidRPr="00DC78CE">
        <w:t xml:space="preserve"> </w:t>
      </w:r>
    </w:p>
    <w:p w14:paraId="3C670924" w14:textId="753B9E6E" w:rsidR="00DB6B43" w:rsidRPr="00666ED4" w:rsidRDefault="00DB6B43" w:rsidP="00DB6B43">
      <w:pPr>
        <w:pStyle w:val="Heading8"/>
      </w:pPr>
      <w:r w:rsidRPr="00666ED4">
        <w:t xml:space="preserve">a change in the way the Electricity Industry Act or the </w:t>
      </w:r>
      <w:r w:rsidR="004A1236">
        <w:t>ESM Rules</w:t>
      </w:r>
      <w:r w:rsidRPr="00666ED4">
        <w:t xml:space="preserve"> are applied or interpreted as a result of a decision of a court of competent jurisdiction after the Signing Date; or</w:t>
      </w:r>
    </w:p>
    <w:p w14:paraId="515A2038" w14:textId="77777777" w:rsidR="00BC283C" w:rsidRDefault="00DB6B43" w:rsidP="00DB6B43">
      <w:pPr>
        <w:pStyle w:val="Heading8"/>
      </w:pPr>
      <w:r w:rsidRPr="00DC78CE">
        <w:rPr>
          <w:lang w:eastAsia="en-AU"/>
        </w:rPr>
        <w:t>a</w:t>
      </w:r>
      <w:r w:rsidR="00BC283C">
        <w:t>:</w:t>
      </w:r>
    </w:p>
    <w:p w14:paraId="129FA451" w14:textId="6486FF7C" w:rsidR="00BC283C" w:rsidRDefault="00DB6B43" w:rsidP="00BC283C">
      <w:pPr>
        <w:pStyle w:val="Heading9"/>
      </w:pPr>
      <w:r w:rsidRPr="00DC78CE">
        <w:t xml:space="preserve">change in, </w:t>
      </w:r>
      <w:r w:rsidR="00EE66D6">
        <w:t xml:space="preserve">or </w:t>
      </w:r>
      <w:r w:rsidRPr="00DC78CE">
        <w:t>repeal of</w:t>
      </w:r>
      <w:r w:rsidR="009B4DA0">
        <w:t>,</w:t>
      </w:r>
      <w:r w:rsidRPr="00DC78CE">
        <w:t xml:space="preserve"> any part of</w:t>
      </w:r>
      <w:r w:rsidR="00EE66D6">
        <w:t>,</w:t>
      </w:r>
      <w:r w:rsidRPr="00DC78CE">
        <w:t xml:space="preserve"> a Law</w:t>
      </w:r>
      <w:r w:rsidR="00D56528">
        <w:t>;</w:t>
      </w:r>
      <w:r w:rsidRPr="00DC78CE">
        <w:t xml:space="preserve"> or </w:t>
      </w:r>
    </w:p>
    <w:p w14:paraId="7FC7FBBB" w14:textId="77777777" w:rsidR="00BC283C" w:rsidRDefault="00DB6B43" w:rsidP="00BC283C">
      <w:pPr>
        <w:pStyle w:val="Heading9"/>
      </w:pPr>
      <w:r w:rsidRPr="00DC78CE">
        <w:t xml:space="preserve">change in the way a Law is applied or interpreted as a result of a decision of a court of competent jurisdiction after the Signing Date, </w:t>
      </w:r>
    </w:p>
    <w:p w14:paraId="57D67C0C" w14:textId="2A0432DB" w:rsidR="00DB6B43" w:rsidRPr="00DC78CE" w:rsidRDefault="00DB6B43" w:rsidP="00BC283C">
      <w:pPr>
        <w:pStyle w:val="Heading8"/>
      </w:pPr>
      <w:r w:rsidRPr="00272B1D">
        <w:t xml:space="preserve">in </w:t>
      </w:r>
      <w:r w:rsidR="00BC283C" w:rsidRPr="008F660B">
        <w:t>either</w:t>
      </w:r>
      <w:r w:rsidR="00BC283C" w:rsidRPr="00272B1D">
        <w:t xml:space="preserve"> </w:t>
      </w:r>
      <w:r w:rsidRPr="00272B1D">
        <w:t>case which</w:t>
      </w:r>
      <w:r w:rsidRPr="00DC78CE">
        <w:t xml:space="preserve"> expressly or exclusively applies to the Project, its assets or the Project area or to Project Operator but only</w:t>
      </w:r>
      <w:r w:rsidR="00E13C40">
        <w:t xml:space="preserve"> in</w:t>
      </w:r>
      <w:r w:rsidRPr="00DC78CE">
        <w:t xml:space="preserve"> its capacity as the person contracting with the Commonwealth to implement the Project, </w:t>
      </w:r>
    </w:p>
    <w:p w14:paraId="3B9A1C3B" w14:textId="5E130E1F" w:rsidR="00976F7A" w:rsidRDefault="00874223" w:rsidP="00CE5632">
      <w:pPr>
        <w:pStyle w:val="Heading7"/>
        <w:keepNext/>
      </w:pPr>
      <w:r w:rsidRPr="00DC78CE">
        <w:rPr>
          <w:lang w:eastAsia="en-AU"/>
        </w:rPr>
        <w:t xml:space="preserve"> </w:t>
      </w:r>
      <w:r w:rsidR="00976F7A" w:rsidRPr="00DC78CE">
        <w:t xml:space="preserve">but </w:t>
      </w:r>
      <w:r w:rsidR="00CE5632" w:rsidRPr="00DC78CE">
        <w:t>expressly</w:t>
      </w:r>
      <w:r w:rsidR="00CE5632">
        <w:t xml:space="preserve"> </w:t>
      </w:r>
      <w:r w:rsidR="00976F7A">
        <w:t>excludes</w:t>
      </w:r>
      <w:r w:rsidR="000B526A">
        <w:t xml:space="preserve"> any</w:t>
      </w:r>
      <w:r w:rsidR="00976F7A">
        <w:t>:</w:t>
      </w:r>
    </w:p>
    <w:p w14:paraId="2239D392" w14:textId="56A3B266" w:rsidR="00CE3475" w:rsidRPr="00680716" w:rsidRDefault="00CE3475" w:rsidP="008F660B">
      <w:pPr>
        <w:pStyle w:val="Heading8"/>
        <w:numPr>
          <w:ilvl w:val="7"/>
          <w:numId w:val="121"/>
        </w:numPr>
      </w:pPr>
      <w:r w:rsidRPr="00680716">
        <w:t xml:space="preserve">change in planning or environmental requirements associated with the development, construction, operation or decommissioning of the Project </w:t>
      </w:r>
      <w:r w:rsidR="00E13C40">
        <w:t>[and the [Associated/Existing] Project]</w:t>
      </w:r>
      <w:r w:rsidR="00E13C40" w:rsidRPr="00680716">
        <w:t xml:space="preserve"> </w:t>
      </w:r>
      <w:r w:rsidRPr="00680716">
        <w:t xml:space="preserve">(including any native title or cultural heritage </w:t>
      </w:r>
      <w:r w:rsidR="0041208E" w:rsidRPr="00680716">
        <w:t>Law</w:t>
      </w:r>
      <w:r w:rsidRPr="00680716">
        <w:t>);</w:t>
      </w:r>
      <w:r w:rsidR="00E13C40">
        <w:t xml:space="preserve"> </w:t>
      </w:r>
      <w:r w:rsidR="00E13C40" w:rsidRPr="008F660B">
        <w:t>[Note: words in square brackets to be included for all Hybrid Projects and Staged Projects (as applicable).]</w:t>
      </w:r>
    </w:p>
    <w:p w14:paraId="1F7658D0" w14:textId="1EABA64F" w:rsidR="00337896" w:rsidRDefault="008F660B" w:rsidP="0058045D">
      <w:pPr>
        <w:pStyle w:val="Heading8"/>
        <w:tabs>
          <w:tab w:val="clear" w:pos="1474"/>
          <w:tab w:val="num" w:pos="968"/>
        </w:tabs>
      </w:pPr>
      <w:r>
        <w:t xml:space="preserve">         </w:t>
      </w:r>
      <w:r w:rsidR="000A6316" w:rsidRPr="00680716">
        <w:t xml:space="preserve">change </w:t>
      </w:r>
      <w:r w:rsidR="005C213D" w:rsidRPr="00680716">
        <w:t xml:space="preserve">in </w:t>
      </w:r>
      <w:r w:rsidR="00AD1B28" w:rsidRPr="00680716">
        <w:t xml:space="preserve">the </w:t>
      </w:r>
      <w:r w:rsidR="004A1236">
        <w:t>ESM Rules</w:t>
      </w:r>
      <w:r w:rsidR="000A044E" w:rsidRPr="00680716">
        <w:t xml:space="preserve"> </w:t>
      </w:r>
      <w:r w:rsidR="000A6316" w:rsidRPr="00680716">
        <w:t>which</w:t>
      </w:r>
      <w:r w:rsidR="00817FE5" w:rsidRPr="00680716">
        <w:t>,</w:t>
      </w:r>
      <w:r w:rsidR="000A6316" w:rsidRPr="00680716">
        <w:t xml:space="preserve"> as at the </w:t>
      </w:r>
      <w:r w:rsidR="005D13E4" w:rsidRPr="00680716">
        <w:t xml:space="preserve">Tender </w:t>
      </w:r>
      <w:r w:rsidR="00910C04" w:rsidRPr="00680716">
        <w:t>Date</w:t>
      </w:r>
      <w:r w:rsidR="00817FE5" w:rsidRPr="00680716">
        <w:t>,</w:t>
      </w:r>
      <w:r w:rsidR="009814EE" w:rsidRPr="00680716">
        <w:t xml:space="preserve"> </w:t>
      </w:r>
      <w:r w:rsidR="00817FE5" w:rsidRPr="00680716">
        <w:t xml:space="preserve">is </w:t>
      </w:r>
      <w:r w:rsidR="00AD1B28" w:rsidRPr="00680716">
        <w:t xml:space="preserve">the subject of a final determination of the </w:t>
      </w:r>
      <w:r w:rsidR="00B53BB4">
        <w:t xml:space="preserve">Coordinator of Energy </w:t>
      </w:r>
      <w:r w:rsidR="00AD1B28" w:rsidRPr="00680716">
        <w:t xml:space="preserve">or the </w:t>
      </w:r>
      <w:r w:rsidR="00B53BB4">
        <w:t>Minister for Energy</w:t>
      </w:r>
      <w:r w:rsidR="00DF67F3">
        <w:t xml:space="preserve"> (in each </w:t>
      </w:r>
      <w:r w:rsidR="001C3961">
        <w:t>case</w:t>
      </w:r>
      <w:r w:rsidR="00DF67F3">
        <w:t xml:space="preserve">, for the Relevant </w:t>
      </w:r>
      <w:r w:rsidR="00DF67F3" w:rsidRPr="00DC78CE">
        <w:t>Jurisdiction)</w:t>
      </w:r>
      <w:r w:rsidR="00337896" w:rsidRPr="00DC78CE">
        <w:t>;</w:t>
      </w:r>
      <w:r w:rsidR="002F5F3E" w:rsidRPr="00DC78CE">
        <w:t xml:space="preserve"> </w:t>
      </w:r>
    </w:p>
    <w:p w14:paraId="418A643F" w14:textId="637DC653" w:rsidR="002E313E" w:rsidRDefault="00B91479" w:rsidP="0058045D">
      <w:pPr>
        <w:pStyle w:val="Heading8"/>
        <w:tabs>
          <w:tab w:val="clear" w:pos="1474"/>
          <w:tab w:val="num" w:pos="968"/>
        </w:tabs>
      </w:pPr>
      <w:r>
        <w:t xml:space="preserve">change in the </w:t>
      </w:r>
      <w:r w:rsidR="004A1236">
        <w:t>ESM Rules</w:t>
      </w:r>
      <w:r>
        <w:t xml:space="preserve"> </w:t>
      </w:r>
      <w:r w:rsidR="00D33DFE">
        <w:t xml:space="preserve">in connection with the determination of the Network Access Quantity </w:t>
      </w:r>
      <w:r w:rsidR="00C10555">
        <w:t xml:space="preserve">for the Project </w:t>
      </w:r>
      <w:r w:rsidR="00D33DFE">
        <w:t>(including the basis on which that Network Access Quantity is determined) and</w:t>
      </w:r>
      <w:r w:rsidR="00993DB1">
        <w:t>/or</w:t>
      </w:r>
      <w:r w:rsidR="00D33DFE">
        <w:t xml:space="preserve"> </w:t>
      </w:r>
      <w:r w:rsidR="001D6C8A">
        <w:t xml:space="preserve">the manner in which the Network Access Quantity impacts on the </w:t>
      </w:r>
      <w:r w:rsidR="009C28BC">
        <w:t xml:space="preserve">Certified Reserve Capacity (as defined in the </w:t>
      </w:r>
      <w:r w:rsidR="004A1236">
        <w:t>ESM Rules</w:t>
      </w:r>
      <w:r w:rsidR="009C28BC">
        <w:t xml:space="preserve">) of the Project </w:t>
      </w:r>
      <w:r w:rsidR="00BC3493">
        <w:t>and/</w:t>
      </w:r>
      <w:r w:rsidR="009C28BC">
        <w:t>or the</w:t>
      </w:r>
      <w:r w:rsidR="00993DB1">
        <w:t xml:space="preserve"> assignment of </w:t>
      </w:r>
      <w:r w:rsidR="00C74E7A">
        <w:t xml:space="preserve">Peak </w:t>
      </w:r>
      <w:r w:rsidR="00993DB1">
        <w:t>Capacity Credits to Project Operator in respect of the Project</w:t>
      </w:r>
      <w:r w:rsidR="002E313E">
        <w:rPr>
          <w:lang w:eastAsia="en-AU"/>
        </w:rPr>
        <w:t>; or</w:t>
      </w:r>
    </w:p>
    <w:p w14:paraId="1A39F610" w14:textId="26D4B196" w:rsidR="004334E7" w:rsidRPr="00680716" w:rsidRDefault="002E313E" w:rsidP="00F91E02">
      <w:pPr>
        <w:pStyle w:val="Heading8"/>
        <w:tabs>
          <w:tab w:val="clear" w:pos="1474"/>
          <w:tab w:val="num" w:pos="968"/>
        </w:tabs>
      </w:pPr>
      <w:r w:rsidRPr="002E313E">
        <w:t xml:space="preserve">change that a party performing similar activities to Project Operator and exercising </w:t>
      </w:r>
      <w:r>
        <w:t xml:space="preserve">Good </w:t>
      </w:r>
      <w:r w:rsidR="00104269">
        <w:t>Industry</w:t>
      </w:r>
      <w:r>
        <w:t xml:space="preserve"> Practice </w:t>
      </w:r>
      <w:r w:rsidRPr="002E313E">
        <w:t xml:space="preserve">would have reasonably foreseen or anticipated as </w:t>
      </w:r>
      <w:r w:rsidR="003C7C8A">
        <w:t>at</w:t>
      </w:r>
      <w:r w:rsidRPr="002E313E">
        <w:t xml:space="preserve"> the Signing Date</w:t>
      </w:r>
      <w:r w:rsidR="003C7C8A">
        <w:t>.</w:t>
      </w:r>
    </w:p>
    <w:p w14:paraId="3CA176C4" w14:textId="1C11A1D7" w:rsidR="00907F1C" w:rsidRDefault="5441F362" w:rsidP="0058045D">
      <w:pPr>
        <w:pStyle w:val="Heading7"/>
      </w:pPr>
      <w:r w:rsidRPr="5441F362">
        <w:rPr>
          <w:b/>
          <w:bCs/>
        </w:rPr>
        <w:t>Claim</w:t>
      </w:r>
      <w:r>
        <w:t xml:space="preserve"> means, in relation to a party, a demand, claim, action or proceeding made or brought by or against the party, however arising and whether currently existing or contingent.</w:t>
      </w:r>
    </w:p>
    <w:p w14:paraId="19560476" w14:textId="46F387C9" w:rsidR="00E40C7A" w:rsidRDefault="00E40C7A" w:rsidP="0058045D">
      <w:pPr>
        <w:pStyle w:val="Heading7"/>
      </w:pPr>
      <w:r w:rsidRPr="06AC912F">
        <w:rPr>
          <w:b/>
          <w:bCs/>
        </w:rPr>
        <w:t xml:space="preserve">COD Conditions </w:t>
      </w:r>
      <w:r w:rsidRPr="06AC912F">
        <w:t xml:space="preserve">has the meaning given in clause </w:t>
      </w:r>
      <w:r w:rsidR="00DB6F3D">
        <w:rPr>
          <w:bCs/>
        </w:rPr>
        <w:fldChar w:fldCharType="begin"/>
      </w:r>
      <w:r w:rsidR="00DB6F3D">
        <w:rPr>
          <w:bCs/>
        </w:rPr>
        <w:instrText xml:space="preserve"> REF _Ref167305760 \w \h </w:instrText>
      </w:r>
      <w:r w:rsidR="00DB6F3D">
        <w:rPr>
          <w:bCs/>
        </w:rPr>
      </w:r>
      <w:r w:rsidR="00DB6F3D">
        <w:rPr>
          <w:bCs/>
        </w:rPr>
        <w:fldChar w:fldCharType="separate"/>
      </w:r>
      <w:r w:rsidR="002E5C6A">
        <w:rPr>
          <w:bCs/>
        </w:rPr>
        <w:t>7.1</w:t>
      </w:r>
      <w:r w:rsidR="00DB6F3D">
        <w:rPr>
          <w:bCs/>
        </w:rPr>
        <w:fldChar w:fldCharType="end"/>
      </w:r>
      <w:r w:rsidRPr="00DB6F3D">
        <w:rPr>
          <w:bCs/>
        </w:rPr>
        <w:t xml:space="preserve"> (“</w:t>
      </w:r>
      <w:r w:rsidR="00DB6F3D" w:rsidRPr="00DB6F3D">
        <w:rPr>
          <w:bCs/>
        </w:rPr>
        <w:fldChar w:fldCharType="begin"/>
      </w:r>
      <w:r w:rsidR="00DB6F3D" w:rsidRPr="00DB6F3D">
        <w:rPr>
          <w:bCs/>
        </w:rPr>
        <w:instrText xml:space="preserve"> REF _Ref167305720 \h  \* MERGEFORMAT </w:instrText>
      </w:r>
      <w:r w:rsidR="00DB6F3D" w:rsidRPr="00DB6F3D">
        <w:rPr>
          <w:bCs/>
        </w:rPr>
      </w:r>
      <w:r w:rsidR="00DB6F3D" w:rsidRPr="00DB6F3D">
        <w:rPr>
          <w:bCs/>
        </w:rPr>
        <w:fldChar w:fldCharType="separate"/>
      </w:r>
      <w:r w:rsidR="002E5C6A">
        <w:t>COD Conditions</w:t>
      </w:r>
      <w:r w:rsidR="00DB6F3D" w:rsidRPr="00DB6F3D">
        <w:rPr>
          <w:bCs/>
        </w:rPr>
        <w:fldChar w:fldCharType="end"/>
      </w:r>
      <w:r w:rsidRPr="00131021">
        <w:t>”).</w:t>
      </w:r>
    </w:p>
    <w:p w14:paraId="5D6E2EA0" w14:textId="17B6C64D" w:rsidR="00913945" w:rsidRPr="00131021" w:rsidRDefault="5441F362" w:rsidP="00A0771D">
      <w:pPr>
        <w:pStyle w:val="Heading7"/>
      </w:pPr>
      <w:r w:rsidRPr="5441F362">
        <w:rPr>
          <w:b/>
          <w:bCs/>
        </w:rPr>
        <w:t>COD Cure Plan</w:t>
      </w:r>
      <w:r>
        <w:t xml:space="preserve"> means a cure plan approved by the Commonwealth under clause </w:t>
      </w:r>
      <w:r w:rsidR="00913945">
        <w:fldChar w:fldCharType="begin"/>
      </w:r>
      <w:r w:rsidR="00913945">
        <w:instrText xml:space="preserve"> REF _Ref100062312 \n \h </w:instrText>
      </w:r>
      <w:r w:rsidR="00913945">
        <w:fldChar w:fldCharType="separate"/>
      </w:r>
      <w:r w:rsidR="002E5C6A">
        <w:t>7.4</w:t>
      </w:r>
      <w:r w:rsidR="00913945">
        <w:fldChar w:fldCharType="end"/>
      </w:r>
      <w:r>
        <w:t xml:space="preserve"> (“</w:t>
      </w:r>
      <w:r w:rsidR="00913945">
        <w:fldChar w:fldCharType="begin"/>
      </w:r>
      <w:r w:rsidR="00913945">
        <w:instrText xml:space="preserve"> REF _Ref100062312 \h </w:instrText>
      </w:r>
      <w:r w:rsidR="00913945">
        <w:fldChar w:fldCharType="separate"/>
      </w:r>
      <w:r w:rsidR="002E5C6A">
        <w:t>COD Cure Plan other than for Force Majeure Event</w:t>
      </w:r>
      <w:r w:rsidR="00913945">
        <w:fldChar w:fldCharType="end"/>
      </w:r>
      <w:r>
        <w:t>”).</w:t>
      </w:r>
    </w:p>
    <w:p w14:paraId="794100B0" w14:textId="539B789B" w:rsidR="003F4015" w:rsidRPr="00666ED4" w:rsidRDefault="003F4015" w:rsidP="0058045D">
      <w:pPr>
        <w:pStyle w:val="Heading7"/>
        <w:rPr>
          <w:b/>
          <w:bCs/>
        </w:rPr>
      </w:pPr>
      <w:r w:rsidRPr="00666ED4">
        <w:rPr>
          <w:b/>
          <w:bCs/>
        </w:rPr>
        <w:t xml:space="preserve">COD Sunset Date </w:t>
      </w:r>
      <w:r w:rsidRPr="00666ED4">
        <w:t xml:space="preserve">has the meaning given in item </w:t>
      </w:r>
      <w:r w:rsidRPr="00666ED4">
        <w:fldChar w:fldCharType="begin"/>
      </w:r>
      <w:r w:rsidRPr="00666ED4">
        <w:instrText xml:space="preserve"> REF _Ref167908788 \r \h </w:instrText>
      </w:r>
      <w:r w:rsidR="00D6422A" w:rsidRPr="00666ED4">
        <w:instrText xml:space="preserve"> \* MERGEFORMAT </w:instrText>
      </w:r>
      <w:r w:rsidRPr="00666ED4">
        <w:fldChar w:fldCharType="separate"/>
      </w:r>
      <w:r w:rsidR="002E5C6A">
        <w:t>24</w:t>
      </w:r>
      <w:r w:rsidRPr="00666ED4">
        <w:fldChar w:fldCharType="end"/>
      </w:r>
      <w:r w:rsidRPr="00666ED4">
        <w:t xml:space="preserve"> of the Reference Details. </w:t>
      </w:r>
    </w:p>
    <w:p w14:paraId="59601A42" w14:textId="474D79C9" w:rsidR="003F4015" w:rsidRPr="00ED6B6A" w:rsidRDefault="003F4015" w:rsidP="00ED6B6A">
      <w:pPr>
        <w:pStyle w:val="Heading7"/>
        <w:numPr>
          <w:ilvl w:val="0"/>
          <w:numId w:val="0"/>
        </w:numPr>
        <w:ind w:left="737"/>
      </w:pPr>
      <w:r w:rsidRPr="00666ED4">
        <w:rPr>
          <w:b/>
          <w:bCs/>
        </w:rPr>
        <w:t xml:space="preserve">COD Target Date </w:t>
      </w:r>
      <w:r w:rsidRPr="00666ED4">
        <w:t xml:space="preserve">has the meaning given in item </w:t>
      </w:r>
      <w:r w:rsidRPr="00666ED4">
        <w:fldChar w:fldCharType="begin"/>
      </w:r>
      <w:r w:rsidRPr="00666ED4">
        <w:instrText xml:space="preserve"> REF _Ref159251491 \r \h </w:instrText>
      </w:r>
      <w:r w:rsidR="00D6422A" w:rsidRPr="00666ED4">
        <w:instrText xml:space="preserve"> \* MERGEFORMAT </w:instrText>
      </w:r>
      <w:r w:rsidRPr="00666ED4">
        <w:fldChar w:fldCharType="separate"/>
      </w:r>
      <w:r w:rsidR="002E5C6A">
        <w:t>23</w:t>
      </w:r>
      <w:r w:rsidRPr="00666ED4">
        <w:fldChar w:fldCharType="end"/>
      </w:r>
      <w:r w:rsidRPr="00666ED4">
        <w:t xml:space="preserve"> of the Reference Details.</w:t>
      </w:r>
      <w:r>
        <w:t xml:space="preserve"> </w:t>
      </w:r>
    </w:p>
    <w:p w14:paraId="66FF9487" w14:textId="7E46BB92" w:rsidR="00A11E4B" w:rsidRDefault="5441F362" w:rsidP="0058045D">
      <w:pPr>
        <w:pStyle w:val="Heading7"/>
      </w:pPr>
      <w:r w:rsidRPr="5441F362">
        <w:rPr>
          <w:b/>
          <w:bCs/>
        </w:rPr>
        <w:t xml:space="preserve">Commercial Operations Date </w:t>
      </w:r>
      <w:r w:rsidR="00E13C40" w:rsidRPr="00D315FD">
        <w:t>or</w:t>
      </w:r>
      <w:r w:rsidR="00E13C40">
        <w:rPr>
          <w:b/>
          <w:bCs/>
        </w:rPr>
        <w:t xml:space="preserve"> COD </w:t>
      </w:r>
      <w:r>
        <w:t xml:space="preserve">means the date on which the COD Conditions for the Project are either satisfied or waived by the Commonwealth in accordance with clause </w:t>
      </w:r>
      <w:r w:rsidR="00E40C7A">
        <w:fldChar w:fldCharType="begin"/>
      </w:r>
      <w:r w:rsidR="00E40C7A">
        <w:instrText xml:space="preserve"> REF _Ref103589240 \w \h  \* MERGEFORMAT </w:instrText>
      </w:r>
      <w:r w:rsidR="00E40C7A">
        <w:fldChar w:fldCharType="separate"/>
      </w:r>
      <w:r w:rsidR="002E5C6A">
        <w:t>7</w:t>
      </w:r>
      <w:r w:rsidR="00E40C7A">
        <w:fldChar w:fldCharType="end"/>
      </w:r>
      <w:r>
        <w:t xml:space="preserve"> (“</w:t>
      </w:r>
      <w:r w:rsidR="00E40C7A">
        <w:fldChar w:fldCharType="begin"/>
      </w:r>
      <w:r w:rsidR="00E40C7A">
        <w:instrText xml:space="preserve">  REF _Ref103589240 \h  \* MERGEFORMAT </w:instrText>
      </w:r>
      <w:r w:rsidR="00E40C7A">
        <w:fldChar w:fldCharType="separate"/>
      </w:r>
      <w:r w:rsidR="002E5C6A">
        <w:t>COD Conditions</w:t>
      </w:r>
      <w:r w:rsidR="00E40C7A">
        <w:fldChar w:fldCharType="end"/>
      </w:r>
      <w:r>
        <w:t>”).</w:t>
      </w:r>
    </w:p>
    <w:p w14:paraId="41B59436" w14:textId="14476B8A" w:rsidR="00BC3493" w:rsidRDefault="00BC3493" w:rsidP="008F660B">
      <w:pPr>
        <w:pStyle w:val="Heading7"/>
        <w:numPr>
          <w:ilvl w:val="6"/>
          <w:numId w:val="61"/>
        </w:numPr>
      </w:pPr>
      <w:r w:rsidRPr="000B5694">
        <w:rPr>
          <w:b/>
        </w:rPr>
        <w:t xml:space="preserve">Commonwealth Deficit </w:t>
      </w:r>
      <w:r w:rsidRPr="000B5694">
        <w:rPr>
          <w:bCs/>
        </w:rPr>
        <w:t>has the meaning given in clause</w:t>
      </w:r>
      <w:r w:rsidR="007E0447" w:rsidRPr="000B5694">
        <w:rPr>
          <w:bCs/>
        </w:rPr>
        <w:t xml:space="preserve"> </w:t>
      </w:r>
      <w:r w:rsidR="0097327C" w:rsidRPr="000B5694">
        <w:rPr>
          <w:bCs/>
        </w:rPr>
        <w:fldChar w:fldCharType="begin"/>
      </w:r>
      <w:r w:rsidR="0097327C" w:rsidRPr="000B5694">
        <w:rPr>
          <w:bCs/>
        </w:rPr>
        <w:instrText xml:space="preserve"> REF _Ref205808577 \w \h </w:instrText>
      </w:r>
      <w:r w:rsidR="0097327C" w:rsidRPr="008F660B">
        <w:rPr>
          <w:bCs/>
        </w:rPr>
        <w:instrText xml:space="preserve"> \* MERGEFORMAT </w:instrText>
      </w:r>
      <w:r w:rsidR="0097327C" w:rsidRPr="000B5694">
        <w:rPr>
          <w:bCs/>
        </w:rPr>
      </w:r>
      <w:r w:rsidR="0097327C" w:rsidRPr="000B5694">
        <w:rPr>
          <w:bCs/>
        </w:rPr>
        <w:fldChar w:fldCharType="separate"/>
      </w:r>
      <w:r w:rsidR="002E5C6A">
        <w:rPr>
          <w:bCs/>
        </w:rPr>
        <w:t>14.1</w:t>
      </w:r>
      <w:r w:rsidR="0097327C" w:rsidRPr="000B5694">
        <w:rPr>
          <w:bCs/>
        </w:rPr>
        <w:fldChar w:fldCharType="end"/>
      </w:r>
      <w:r w:rsidRPr="000B5694">
        <w:rPr>
          <w:bCs/>
        </w:rPr>
        <w:t xml:space="preserve"> </w:t>
      </w:r>
      <w:r w:rsidR="0097327C" w:rsidRPr="000B5694">
        <w:rPr>
          <w:bCs/>
        </w:rPr>
        <w:t>(</w:t>
      </w:r>
      <w:r w:rsidR="007E0447" w:rsidRPr="000B5694">
        <w:rPr>
          <w:bCs/>
        </w:rPr>
        <w:t>“</w:t>
      </w:r>
      <w:r w:rsidR="007E0447" w:rsidRPr="000B5694">
        <w:rPr>
          <w:bCs/>
        </w:rPr>
        <w:fldChar w:fldCharType="begin"/>
      </w:r>
      <w:r w:rsidR="007E0447" w:rsidRPr="000B5694">
        <w:rPr>
          <w:bCs/>
        </w:rPr>
        <w:instrText xml:space="preserve"> REF _Ref205808543 \h </w:instrText>
      </w:r>
      <w:r w:rsidR="0097327C" w:rsidRPr="008F660B">
        <w:rPr>
          <w:bCs/>
        </w:rPr>
        <w:instrText xml:space="preserve"> \* MERGEFORMAT </w:instrText>
      </w:r>
      <w:r w:rsidR="007E0447" w:rsidRPr="000B5694">
        <w:rPr>
          <w:bCs/>
        </w:rPr>
      </w:r>
      <w:r w:rsidR="007E0447" w:rsidRPr="000B5694">
        <w:rPr>
          <w:bCs/>
        </w:rPr>
        <w:fldChar w:fldCharType="separate"/>
      </w:r>
      <w:r w:rsidR="002E5C6A">
        <w:t>Definitions</w:t>
      </w:r>
      <w:r w:rsidR="007E0447" w:rsidRPr="000B5694">
        <w:rPr>
          <w:bCs/>
        </w:rPr>
        <w:fldChar w:fldCharType="end"/>
      </w:r>
      <w:r w:rsidRPr="000B5694">
        <w:rPr>
          <w:bCs/>
        </w:rPr>
        <w:t>”)</w:t>
      </w:r>
    </w:p>
    <w:p w14:paraId="75F1E82A" w14:textId="77777777" w:rsidR="0041208E" w:rsidRPr="002E220D" w:rsidRDefault="0041208E" w:rsidP="0058045D">
      <w:pPr>
        <w:pStyle w:val="Heading7"/>
      </w:pPr>
      <w:r>
        <w:rPr>
          <w:b/>
        </w:rPr>
        <w:t xml:space="preserve">Commonwealth Entity </w:t>
      </w:r>
      <w:r w:rsidRPr="00EB0EE4">
        <w:rPr>
          <w:bCs/>
        </w:rPr>
        <w:t xml:space="preserve">has the meaning given in section 10 of the </w:t>
      </w:r>
      <w:r w:rsidRPr="00EB0EE4">
        <w:rPr>
          <w:bCs/>
          <w:i/>
          <w:iCs/>
        </w:rPr>
        <w:t>Public Governance, Performance and Accountability Act 2013</w:t>
      </w:r>
      <w:r>
        <w:rPr>
          <w:bCs/>
        </w:rPr>
        <w:t xml:space="preserve"> (Cth).</w:t>
      </w:r>
    </w:p>
    <w:p w14:paraId="5C648D64" w14:textId="470D1B10" w:rsidR="004A125D" w:rsidRDefault="06AC912F" w:rsidP="0058045D">
      <w:pPr>
        <w:pStyle w:val="Heading7"/>
      </w:pPr>
      <w:r w:rsidRPr="06AC912F">
        <w:rPr>
          <w:b/>
          <w:bCs/>
        </w:rPr>
        <w:t xml:space="preserve">Concurrent Delay </w:t>
      </w:r>
      <w:r w:rsidRPr="06AC912F">
        <w:rPr>
          <w:rFonts w:eastAsia="SimSun"/>
          <w:lang w:eastAsia="zh-CN"/>
        </w:rPr>
        <w:t>has the meaning given in clause </w:t>
      </w:r>
      <w:r w:rsidR="004A125D">
        <w:fldChar w:fldCharType="begin"/>
      </w:r>
      <w:r w:rsidR="004A125D" w:rsidRPr="06AC912F">
        <w:rPr>
          <w:rFonts w:eastAsia="SimSun"/>
          <w:lang w:eastAsia="zh-CN"/>
        </w:rPr>
        <w:instrText xml:space="preserve"> REF _Ref117153304 \n \h </w:instrText>
      </w:r>
      <w:r w:rsidR="004A125D">
        <w:fldChar w:fldCharType="separate"/>
      </w:r>
      <w:r w:rsidR="002E5C6A">
        <w:rPr>
          <w:rFonts w:eastAsia="SimSun"/>
          <w:lang w:eastAsia="zh-CN"/>
        </w:rPr>
        <w:t>19.4</w:t>
      </w:r>
      <w:r w:rsidR="004A125D">
        <w:fldChar w:fldCharType="end"/>
      </w:r>
      <w:r>
        <w:t xml:space="preserve"> (“</w:t>
      </w:r>
      <w:r w:rsidR="004A125D">
        <w:fldChar w:fldCharType="begin"/>
      </w:r>
      <w:r w:rsidR="004A125D">
        <w:instrText xml:space="preserve"> REF _Ref117153304 \h </w:instrText>
      </w:r>
      <w:r w:rsidR="004A125D">
        <w:fldChar w:fldCharType="separate"/>
      </w:r>
      <w:r w:rsidR="002E5C6A">
        <w:t>Suspension of obligations</w:t>
      </w:r>
      <w:r w:rsidR="004A125D">
        <w:fldChar w:fldCharType="end"/>
      </w:r>
      <w:r>
        <w:t>”).</w:t>
      </w:r>
    </w:p>
    <w:p w14:paraId="2F3131A6" w14:textId="7A89B523" w:rsidR="00C20C66" w:rsidRDefault="00745E63" w:rsidP="009F2944">
      <w:pPr>
        <w:pStyle w:val="Heading7"/>
        <w:numPr>
          <w:ilvl w:val="0"/>
          <w:numId w:val="0"/>
        </w:numPr>
        <w:ind w:left="737"/>
      </w:pPr>
      <w:r>
        <w:t>[</w:t>
      </w:r>
      <w:r w:rsidRPr="00C20C66">
        <w:rPr>
          <w:b/>
          <w:bCs/>
        </w:rPr>
        <w:t xml:space="preserve">Connection Constrained Energy </w:t>
      </w:r>
      <w:r>
        <w:t xml:space="preserve">means any AP Generated Energy </w:t>
      </w:r>
      <w:r w:rsidR="006F5CE4">
        <w:t>that exceeds</w:t>
      </w:r>
      <w:r>
        <w:t xml:space="preserve"> the maximum that could be exported through the Connection Point during </w:t>
      </w:r>
      <w:r w:rsidR="00C92091">
        <w:t>a</w:t>
      </w:r>
      <w:r>
        <w:t xml:space="preserve"> Trading Interval (calculated as </w:t>
      </w:r>
      <w:r w:rsidR="00716F00">
        <w:t xml:space="preserve">the </w:t>
      </w:r>
      <w:r>
        <w:t xml:space="preserve">Connection Point Limit </w:t>
      </w:r>
      <w:r w:rsidR="006F5CE4">
        <w:t xml:space="preserve">(MW) </w:t>
      </w:r>
      <w:r>
        <w:t xml:space="preserve">multiplied by </w:t>
      </w:r>
      <w:r w:rsidR="00716F00">
        <w:t xml:space="preserve">the </w:t>
      </w:r>
      <w:r>
        <w:t>Trading Interval length</w:t>
      </w:r>
      <w:r w:rsidR="006F5CE4">
        <w:t xml:space="preserve"> (hours)</w:t>
      </w:r>
      <w:r>
        <w:t>, and expressed in MWh). For clarity, this does not include any electricity generated by the Associated Project that is lost due to a Dynamic Export Constraint.</w:t>
      </w:r>
      <w:r w:rsidR="00C20C66">
        <w:t xml:space="preserve"> </w:t>
      </w:r>
    </w:p>
    <w:p w14:paraId="7A988FC7" w14:textId="77777777" w:rsidR="00D800D0" w:rsidRPr="009B7865" w:rsidRDefault="00D800D0" w:rsidP="00703157">
      <w:pPr>
        <w:pStyle w:val="Heading7"/>
        <w:numPr>
          <w:ilvl w:val="0"/>
          <w:numId w:val="0"/>
        </w:numPr>
        <w:ind w:left="737"/>
        <w:rPr>
          <w:u w:val="single"/>
        </w:rPr>
      </w:pPr>
      <w:r w:rsidRPr="009B7865">
        <w:rPr>
          <w:u w:val="single"/>
        </w:rPr>
        <w:t>E</w:t>
      </w:r>
      <w:r w:rsidR="00C20C66" w:rsidRPr="009B7865">
        <w:rPr>
          <w:u w:val="single"/>
        </w:rPr>
        <w:t>xample</w:t>
      </w:r>
    </w:p>
    <w:p w14:paraId="422FF712" w14:textId="74739191" w:rsidR="006F5CE4" w:rsidRDefault="00D800D0">
      <w:pPr>
        <w:pStyle w:val="Heading7"/>
        <w:numPr>
          <w:ilvl w:val="0"/>
          <w:numId w:val="0"/>
        </w:numPr>
        <w:ind w:left="737"/>
      </w:pPr>
      <w:r>
        <w:t>W</w:t>
      </w:r>
      <w:r w:rsidR="00C20C66">
        <w:t>here the Connection Point Limit is 100</w:t>
      </w:r>
      <w:r>
        <w:t xml:space="preserve"> </w:t>
      </w:r>
      <w:r w:rsidR="00C20C66">
        <w:t xml:space="preserve">MW, </w:t>
      </w:r>
      <w:r w:rsidR="006F5CE4">
        <w:t xml:space="preserve">and the Trading Interval is 30 minutes (0.5 hours), </w:t>
      </w:r>
      <w:r w:rsidR="00C20C66">
        <w:t xml:space="preserve">the maximum export capacity </w:t>
      </w:r>
      <w:r>
        <w:t>over</w:t>
      </w:r>
      <w:r w:rsidR="00C20C66">
        <w:t xml:space="preserve"> </w:t>
      </w:r>
      <w:r w:rsidR="006F5CE4">
        <w:t>this</w:t>
      </w:r>
      <w:r w:rsidR="00C20C66">
        <w:t xml:space="preserve"> Trading Interval</w:t>
      </w:r>
      <w:r w:rsidR="006F5CE4">
        <w:t xml:space="preserve"> </w:t>
      </w:r>
      <w:r w:rsidR="00C20C66">
        <w:t xml:space="preserve">is </w:t>
      </w:r>
      <w:r w:rsidR="006F5CE4">
        <w:t>calculated as:</w:t>
      </w:r>
    </w:p>
    <w:p w14:paraId="0C057441" w14:textId="77D933AB" w:rsidR="006F5CE4" w:rsidRDefault="006F5CE4">
      <w:pPr>
        <w:pStyle w:val="Heading7"/>
        <w:numPr>
          <w:ilvl w:val="0"/>
          <w:numId w:val="0"/>
        </w:numPr>
        <w:ind w:left="737"/>
      </w:pPr>
      <w:r>
        <w:t xml:space="preserve">100 MW x 0.5 hours = </w:t>
      </w:r>
      <w:r w:rsidR="00C20C66">
        <w:t>50</w:t>
      </w:r>
      <w:r w:rsidR="00D800D0">
        <w:t xml:space="preserve"> </w:t>
      </w:r>
      <w:r w:rsidR="00C20C66">
        <w:t>MWh</w:t>
      </w:r>
      <w:r w:rsidR="00703157">
        <w:t>,</w:t>
      </w:r>
      <w:r w:rsidR="00C20C66">
        <w:t xml:space="preserve"> </w:t>
      </w:r>
    </w:p>
    <w:p w14:paraId="5E083553" w14:textId="0C0B2C0F" w:rsidR="00703157" w:rsidRDefault="00703157">
      <w:pPr>
        <w:pStyle w:val="Heading7"/>
        <w:numPr>
          <w:ilvl w:val="0"/>
          <w:numId w:val="0"/>
        </w:numPr>
        <w:ind w:left="737"/>
      </w:pPr>
      <w:r>
        <w:t>t</w:t>
      </w:r>
      <w:r w:rsidR="00D800D0">
        <w:t>herefore, if</w:t>
      </w:r>
      <w:r w:rsidR="00C20C66">
        <w:t xml:space="preserve"> the AP Generated Energy in </w:t>
      </w:r>
      <w:r w:rsidR="00D800D0">
        <w:t>the</w:t>
      </w:r>
      <w:r w:rsidR="00C20C66">
        <w:t xml:space="preserve"> same Trading Interval </w:t>
      </w:r>
      <w:r w:rsidR="00716F00">
        <w:t>is</w:t>
      </w:r>
      <w:r w:rsidR="00C20C66">
        <w:t xml:space="preserve"> 55</w:t>
      </w:r>
      <w:r w:rsidR="00D800D0">
        <w:t xml:space="preserve"> </w:t>
      </w:r>
      <w:r w:rsidR="00C20C66">
        <w:t>MWh, this means that the Connection Constrained Energy would be</w:t>
      </w:r>
      <w:r>
        <w:t>:</w:t>
      </w:r>
    </w:p>
    <w:p w14:paraId="74205756" w14:textId="38353730" w:rsidR="00745E63" w:rsidRDefault="00703157" w:rsidP="00703157">
      <w:pPr>
        <w:pStyle w:val="Heading7"/>
        <w:numPr>
          <w:ilvl w:val="0"/>
          <w:numId w:val="0"/>
        </w:numPr>
        <w:ind w:left="737"/>
      </w:pPr>
      <w:r>
        <w:t>55 MWh – 50 MWh =</w:t>
      </w:r>
      <w:r w:rsidR="00C20C66">
        <w:t xml:space="preserve"> 5</w:t>
      </w:r>
      <w:r w:rsidR="00D800D0">
        <w:t xml:space="preserve"> </w:t>
      </w:r>
      <w:r w:rsidR="00C20C66">
        <w:t>MWh.</w:t>
      </w:r>
      <w:r w:rsidR="00745E63">
        <w:t>]</w:t>
      </w:r>
    </w:p>
    <w:p w14:paraId="1BB715FE" w14:textId="59D36FB0" w:rsidR="00745E63" w:rsidRDefault="00745E63" w:rsidP="0058045D">
      <w:pPr>
        <w:pStyle w:val="Heading7"/>
      </w:pPr>
      <w:r w:rsidRPr="00131021">
        <w:rPr>
          <w:highlight w:val="lightGray"/>
        </w:rPr>
        <w:t>[</w:t>
      </w:r>
      <w:r w:rsidRPr="00131021">
        <w:rPr>
          <w:b/>
          <w:bCs/>
          <w:i/>
          <w:iCs/>
          <w:highlight w:val="lightGray"/>
        </w:rPr>
        <w:t>Note: definition to be included for all Hybrid Projects.</w:t>
      </w:r>
      <w:r w:rsidRPr="00131021">
        <w:rPr>
          <w:highlight w:val="lightGray"/>
        </w:rPr>
        <w:t>]</w:t>
      </w:r>
    </w:p>
    <w:p w14:paraId="1891122B" w14:textId="5C019778" w:rsidR="007603B0" w:rsidRPr="00AA7F26" w:rsidRDefault="06AC912F" w:rsidP="0058045D">
      <w:pPr>
        <w:pStyle w:val="Heading7"/>
      </w:pPr>
      <w:r w:rsidRPr="06AC912F">
        <w:rPr>
          <w:b/>
          <w:bCs/>
        </w:rPr>
        <w:t>Connection Force Majeure Event</w:t>
      </w:r>
      <w:r>
        <w:t xml:space="preserve"> has the meaning given in clause </w:t>
      </w:r>
      <w:r w:rsidR="007603B0">
        <w:fldChar w:fldCharType="begin"/>
      </w:r>
      <w:r w:rsidR="007603B0">
        <w:instrText xml:space="preserve"> REF _Ref100131445 \w \h </w:instrText>
      </w:r>
      <w:r w:rsidR="007603B0">
        <w:fldChar w:fldCharType="separate"/>
      </w:r>
      <w:r w:rsidR="002E5C6A">
        <w:t>19.2</w:t>
      </w:r>
      <w:r w:rsidR="007603B0">
        <w:fldChar w:fldCharType="end"/>
      </w:r>
      <w:r>
        <w:t xml:space="preserve"> (“</w:t>
      </w:r>
      <w:r w:rsidR="007603B0">
        <w:fldChar w:fldCharType="begin"/>
      </w:r>
      <w:r w:rsidR="007603B0">
        <w:instrText xml:space="preserve">  REF _Ref100131445 \h </w:instrText>
      </w:r>
      <w:r w:rsidR="007603B0">
        <w:fldChar w:fldCharType="separate"/>
      </w:r>
      <w:r w:rsidR="002E5C6A" w:rsidRPr="00141056">
        <w:t>Definition of Connection Force Majeure Event</w:t>
      </w:r>
      <w:r w:rsidR="007603B0">
        <w:fldChar w:fldCharType="end"/>
      </w:r>
      <w:r>
        <w:t>”).</w:t>
      </w:r>
    </w:p>
    <w:p w14:paraId="6441B405" w14:textId="18810B38" w:rsidR="00BC3493" w:rsidRDefault="00BC3493" w:rsidP="008F660B">
      <w:pPr>
        <w:pStyle w:val="Heading7"/>
        <w:numPr>
          <w:ilvl w:val="6"/>
          <w:numId w:val="61"/>
        </w:numPr>
        <w:rPr>
          <w:highlight w:val="lightGray"/>
        </w:rPr>
      </w:pPr>
      <w:r>
        <w:rPr>
          <w:b/>
          <w:bCs/>
        </w:rPr>
        <w:t>Connection Point</w:t>
      </w:r>
      <w:r>
        <w:t xml:space="preserve"> means the “connection point” (as defined in the ENAC) for the </w:t>
      </w:r>
      <w:r w:rsidRPr="00272B1D">
        <w:t>[Project</w:t>
      </w:r>
      <w:r>
        <w:t>/</w:t>
      </w:r>
      <w:r w:rsidRPr="00982398">
        <w:t xml:space="preserve">Staged </w:t>
      </w:r>
      <w:r>
        <w:t>Project.]</w:t>
      </w:r>
      <w:r w:rsidR="00BC2BE9">
        <w:t xml:space="preserve"> </w:t>
      </w:r>
      <w:r>
        <w:t>If there is more than one “</w:t>
      </w:r>
      <w:r w:rsidR="00D56528">
        <w:t>c</w:t>
      </w:r>
      <w:r w:rsidRPr="00982398">
        <w:t xml:space="preserve">onnection </w:t>
      </w:r>
      <w:r w:rsidR="00D56528">
        <w:t>p</w:t>
      </w:r>
      <w:r w:rsidRPr="00982398">
        <w:t>oint</w:t>
      </w:r>
      <w:r>
        <w:t xml:space="preserve">” for the [Project/Staged Project], then a reference to the </w:t>
      </w:r>
      <w:r w:rsidR="00D56528">
        <w:t>“</w:t>
      </w:r>
      <w:r>
        <w:t>Connection Point</w:t>
      </w:r>
      <w:r w:rsidR="00D56528">
        <w:t>” i</w:t>
      </w:r>
      <w:r>
        <w:t xml:space="preserve">n this agreement is a reference to all of the connection points for the [Project/Staged Project]. </w:t>
      </w:r>
      <w:r>
        <w:rPr>
          <w:highlight w:val="lightGray"/>
        </w:rPr>
        <w:t>[</w:t>
      </w:r>
      <w:r>
        <w:rPr>
          <w:b/>
          <w:bCs/>
          <w:i/>
          <w:iCs/>
          <w:highlight w:val="lightGray"/>
        </w:rPr>
        <w:t>Note: use this definition for a Project or a Staged Project.]</w:t>
      </w:r>
    </w:p>
    <w:p w14:paraId="1A77C547" w14:textId="2AB2E257" w:rsidR="00640D3F" w:rsidRDefault="00E000B9" w:rsidP="00640D3F">
      <w:pPr>
        <w:pStyle w:val="Heading7"/>
      </w:pPr>
      <w:r>
        <w:rPr>
          <w:b/>
          <w:bCs/>
        </w:rPr>
        <w:t>[</w:t>
      </w:r>
      <w:r w:rsidR="00BC3493">
        <w:rPr>
          <w:b/>
          <w:bCs/>
        </w:rPr>
        <w:t>Connection Point</w:t>
      </w:r>
      <w:r w:rsidR="00BC3493">
        <w:t xml:space="preserve"> means the “connection point” (as defined in the ENAC) for the Hybrid Project.</w:t>
      </w:r>
      <w:r>
        <w:t>]</w:t>
      </w:r>
      <w:r w:rsidR="00BC3493">
        <w:t xml:space="preserve"> [</w:t>
      </w:r>
      <w:r w:rsidR="00BC3493">
        <w:rPr>
          <w:b/>
          <w:i/>
          <w:highlight w:val="lightGray"/>
        </w:rPr>
        <w:t>Note: for Hybrid Projects there will only be one Connection Point.</w:t>
      </w:r>
      <w:r w:rsidR="00BC3493">
        <w:t>]</w:t>
      </w:r>
      <w:r w:rsidR="00640D3F">
        <w:t xml:space="preserve"> </w:t>
      </w:r>
      <w:r w:rsidR="00640D3F" w:rsidRPr="00131021">
        <w:rPr>
          <w:highlight w:val="lightGray"/>
        </w:rPr>
        <w:t>[</w:t>
      </w:r>
      <w:r w:rsidR="00640D3F" w:rsidRPr="00131021">
        <w:rPr>
          <w:b/>
          <w:bCs/>
          <w:i/>
          <w:iCs/>
          <w:highlight w:val="lightGray"/>
        </w:rPr>
        <w:t>Note: definition to be included for all Hybrid Projects.</w:t>
      </w:r>
      <w:r w:rsidR="00640D3F" w:rsidRPr="00131021">
        <w:rPr>
          <w:highlight w:val="lightGray"/>
        </w:rPr>
        <w:t>]</w:t>
      </w:r>
    </w:p>
    <w:p w14:paraId="19FC887E" w14:textId="20273045" w:rsidR="002502E7" w:rsidRPr="00AC5C07" w:rsidRDefault="002502E7" w:rsidP="0058045D">
      <w:pPr>
        <w:pStyle w:val="Heading7"/>
        <w:rPr>
          <w:b/>
          <w:bCs/>
        </w:rPr>
      </w:pPr>
      <w:bookmarkStart w:id="104" w:name="_Hlk93599905"/>
      <w:bookmarkStart w:id="105" w:name="_Hlk108008845"/>
      <w:r>
        <w:rPr>
          <w:b/>
          <w:bCs/>
        </w:rPr>
        <w:t xml:space="preserve">Connection Point Limit </w:t>
      </w:r>
      <w:r>
        <w:t xml:space="preserve">has the meaning given in </w:t>
      </w:r>
      <w:r w:rsidRPr="000B5694">
        <w:t xml:space="preserve">item </w:t>
      </w:r>
      <w:r w:rsidR="00883C27">
        <w:fldChar w:fldCharType="begin"/>
      </w:r>
      <w:r w:rsidR="00883C27">
        <w:instrText xml:space="preserve"> REF _Ref206706908 \r \h </w:instrText>
      </w:r>
      <w:r w:rsidR="00883C27">
        <w:fldChar w:fldCharType="separate"/>
      </w:r>
      <w:r w:rsidR="002E5C6A">
        <w:t>11</w:t>
      </w:r>
      <w:r w:rsidR="00883C27">
        <w:fldChar w:fldCharType="end"/>
      </w:r>
      <w:r>
        <w:t xml:space="preserve"> of the Reference Details.</w:t>
      </w:r>
    </w:p>
    <w:p w14:paraId="1B01C044" w14:textId="1F56E10B" w:rsidR="00F31289" w:rsidRPr="004E55F1" w:rsidRDefault="5441F362" w:rsidP="0058045D">
      <w:pPr>
        <w:pStyle w:val="Heading7"/>
        <w:rPr>
          <w:b/>
          <w:bCs/>
        </w:rPr>
      </w:pPr>
      <w:r w:rsidRPr="5441F362">
        <w:rPr>
          <w:b/>
          <w:bCs/>
        </w:rPr>
        <w:t xml:space="preserve">Contract Representative </w:t>
      </w:r>
      <w:r>
        <w:t xml:space="preserve">means </w:t>
      </w:r>
      <w:r w:rsidRPr="00272B1D">
        <w:t>the person</w:t>
      </w:r>
      <w:r w:rsidR="00BC283C" w:rsidRPr="008F660B">
        <w:t xml:space="preserve"> listed in Item </w:t>
      </w:r>
      <w:r w:rsidR="00BC283C" w:rsidRPr="00272B1D">
        <w:fldChar w:fldCharType="begin"/>
      </w:r>
      <w:r w:rsidR="00BC283C" w:rsidRPr="00272B1D">
        <w:instrText xml:space="preserve"> REF _Ref172454814 \r \h </w:instrText>
      </w:r>
      <w:r w:rsidR="00801FA4">
        <w:instrText xml:space="preserve"> \* MERGEFORMAT </w:instrText>
      </w:r>
      <w:r w:rsidR="00BC283C" w:rsidRPr="00272B1D">
        <w:fldChar w:fldCharType="separate"/>
      </w:r>
      <w:r w:rsidR="002E5C6A">
        <w:t>7</w:t>
      </w:r>
      <w:r w:rsidR="00BC283C" w:rsidRPr="00272B1D">
        <w:fldChar w:fldCharType="end"/>
      </w:r>
      <w:r w:rsidR="00BC283C" w:rsidRPr="008F660B">
        <w:t xml:space="preserve"> of the Reference Details, or otherwise</w:t>
      </w:r>
      <w:r w:rsidRPr="00272B1D">
        <w:t xml:space="preserve"> appointed by Project Operator as its Contract Representative in accordance with clause</w:t>
      </w:r>
      <w:r>
        <w:t xml:space="preserve"> </w:t>
      </w:r>
      <w:r w:rsidR="06AC912F">
        <w:fldChar w:fldCharType="begin"/>
      </w:r>
      <w:r w:rsidR="06AC912F">
        <w:instrText xml:space="preserve"> REF _Ref107931857 \r \h </w:instrText>
      </w:r>
      <w:r w:rsidR="06AC912F">
        <w:fldChar w:fldCharType="separate"/>
      </w:r>
      <w:r w:rsidR="002E5C6A">
        <w:t>35</w:t>
      </w:r>
      <w:r w:rsidR="06AC912F">
        <w:fldChar w:fldCharType="end"/>
      </w:r>
      <w:r>
        <w:t xml:space="preserve"> (“</w:t>
      </w:r>
      <w:r w:rsidR="06AC912F">
        <w:fldChar w:fldCharType="begin"/>
      </w:r>
      <w:r w:rsidR="06AC912F">
        <w:instrText xml:space="preserve"> REF _Ref107931857 \h </w:instrText>
      </w:r>
      <w:r w:rsidR="06AC912F">
        <w:fldChar w:fldCharType="separate"/>
      </w:r>
      <w:r w:rsidR="002E5C6A">
        <w:t>Contract Representative</w:t>
      </w:r>
      <w:r w:rsidR="06AC912F">
        <w:fldChar w:fldCharType="end"/>
      </w:r>
      <w:r>
        <w:t>”)</w:t>
      </w:r>
      <w:r w:rsidR="00BC283C">
        <w:t>.</w:t>
      </w:r>
    </w:p>
    <w:bookmarkEnd w:id="104"/>
    <w:bookmarkEnd w:id="105"/>
    <w:p w14:paraId="2D39A78D" w14:textId="77777777" w:rsidR="00D00453" w:rsidRDefault="2BC382E4" w:rsidP="0058045D">
      <w:pPr>
        <w:pStyle w:val="Heading7"/>
        <w:keepNext/>
        <w:numPr>
          <w:ilvl w:val="6"/>
          <w:numId w:val="0"/>
        </w:numPr>
        <w:ind w:left="737"/>
        <w:rPr>
          <w:rFonts w:eastAsia="SimSun"/>
          <w:lang w:eastAsia="zh-CN"/>
        </w:rPr>
      </w:pPr>
      <w:r w:rsidRPr="2BC382E4">
        <w:rPr>
          <w:b/>
          <w:bCs/>
        </w:rPr>
        <w:t>Control</w:t>
      </w:r>
      <w:r>
        <w:t xml:space="preserve"> </w:t>
      </w:r>
      <w:r w:rsidRPr="2BC382E4">
        <w:rPr>
          <w:rFonts w:eastAsia="SimSun"/>
          <w:lang w:eastAsia="zh-CN"/>
        </w:rPr>
        <w:t>has the meaning given in section 50AA of the Corporations Act, except that:</w:t>
      </w:r>
    </w:p>
    <w:p w14:paraId="17DDA491" w14:textId="77777777" w:rsidR="00D00453" w:rsidRPr="008F660B" w:rsidRDefault="00D00453" w:rsidP="008F660B">
      <w:pPr>
        <w:pStyle w:val="Heading8"/>
        <w:numPr>
          <w:ilvl w:val="7"/>
          <w:numId w:val="123"/>
        </w:numPr>
        <w:tabs>
          <w:tab w:val="clear" w:pos="1474"/>
          <w:tab w:val="num" w:pos="968"/>
        </w:tabs>
        <w:rPr>
          <w:rFonts w:eastAsia="SimSun"/>
          <w:lang w:eastAsia="zh-CN"/>
        </w:rPr>
      </w:pPr>
      <w:r w:rsidRPr="008F660B">
        <w:rPr>
          <w:rFonts w:eastAsia="SimSun"/>
          <w:lang w:eastAsia="zh-CN"/>
        </w:rPr>
        <w:t>the application of s</w:t>
      </w:r>
      <w:r w:rsidR="00636D87" w:rsidRPr="008F660B">
        <w:rPr>
          <w:rFonts w:eastAsia="SimSun"/>
          <w:lang w:eastAsia="zh-CN"/>
        </w:rPr>
        <w:t>ection</w:t>
      </w:r>
      <w:r w:rsidRPr="008F660B">
        <w:rPr>
          <w:rFonts w:eastAsia="SimSun"/>
          <w:lang w:eastAsia="zh-CN"/>
        </w:rPr>
        <w:t xml:space="preserve"> 50AA(4) will be disregarded;</w:t>
      </w:r>
    </w:p>
    <w:p w14:paraId="2CFF0813" w14:textId="58DE5D15" w:rsidR="00571685" w:rsidRPr="00036B4C" w:rsidRDefault="00571685" w:rsidP="0058045D">
      <w:pPr>
        <w:pStyle w:val="Heading8"/>
        <w:tabs>
          <w:tab w:val="clear" w:pos="1474"/>
          <w:tab w:val="num" w:pos="968"/>
        </w:tabs>
        <w:rPr>
          <w:rFonts w:eastAsia="SimSun"/>
          <w:lang w:eastAsia="zh-CN"/>
        </w:rPr>
      </w:pPr>
      <w:bookmarkStart w:id="106" w:name="_Ref167911435"/>
      <w:r w:rsidRPr="00677545">
        <w:t xml:space="preserve">in the case of a body corporate, </w:t>
      </w:r>
      <w:r>
        <w:t>it includes</w:t>
      </w:r>
      <w:r w:rsidRPr="00677545">
        <w:t xml:space="preserve"> the direct or indirect right to exercise 50%</w:t>
      </w:r>
      <w:r w:rsidR="00640D3F">
        <w:t xml:space="preserve"> or more</w:t>
      </w:r>
      <w:r w:rsidRPr="00677545">
        <w:t xml:space="preserve"> of the votes exercisable at a general meeting of that body corporate </w:t>
      </w:r>
      <w:r>
        <w:t>and</w:t>
      </w:r>
      <w:r w:rsidRPr="00677545">
        <w:t xml:space="preserve"> the direct or indirect right to appoint 50% </w:t>
      </w:r>
      <w:r w:rsidR="00640D3F">
        <w:t>or more</w:t>
      </w:r>
      <w:r w:rsidR="00640D3F" w:rsidRPr="00677545">
        <w:t xml:space="preserve"> </w:t>
      </w:r>
      <w:r w:rsidRPr="00677545">
        <w:t>of its directors</w:t>
      </w:r>
      <w:r>
        <w:t>;</w:t>
      </w:r>
      <w:bookmarkEnd w:id="106"/>
    </w:p>
    <w:p w14:paraId="4EE5799F" w14:textId="11FC3C00" w:rsidR="00D00453" w:rsidRPr="00036B4C" w:rsidRDefault="5441F362" w:rsidP="0058045D">
      <w:pPr>
        <w:pStyle w:val="Heading8"/>
        <w:tabs>
          <w:tab w:val="clear" w:pos="1474"/>
          <w:tab w:val="num" w:pos="968"/>
        </w:tabs>
        <w:rPr>
          <w:rFonts w:eastAsia="SimSun"/>
          <w:lang w:eastAsia="zh-CN"/>
        </w:rPr>
      </w:pPr>
      <w:r>
        <w:t xml:space="preserve">in the case of a trust, it includes the direct or indirect right to exercise 50% </w:t>
      </w:r>
      <w:r w:rsidR="00640D3F">
        <w:t xml:space="preserve">or more </w:t>
      </w:r>
      <w:r>
        <w:t>of the votes exercisable by the beneficiaries of that trust in their capacity as beneficiaries and the direct or indirect right</w:t>
      </w:r>
      <w:r w:rsidR="00D00453">
        <w:t xml:space="preserve"> </w:t>
      </w:r>
      <w:r>
        <w:t>to appoint or remove the trustee(s) of the trust;</w:t>
      </w:r>
    </w:p>
    <w:p w14:paraId="5477B5DB" w14:textId="14967CC8" w:rsidR="00D00453" w:rsidRPr="00036B4C" w:rsidRDefault="5441F362" w:rsidP="0058045D">
      <w:pPr>
        <w:pStyle w:val="Heading8"/>
        <w:tabs>
          <w:tab w:val="clear" w:pos="1474"/>
          <w:tab w:val="num" w:pos="968"/>
        </w:tabs>
        <w:rPr>
          <w:rFonts w:eastAsia="SimSun"/>
          <w:lang w:eastAsia="zh-CN"/>
        </w:rPr>
      </w:pPr>
      <w:bookmarkStart w:id="107" w:name="_Ref167911456"/>
      <w:r>
        <w:t xml:space="preserve">in the case of any other type of legal entity, it includes the direct or indirect right to exercise 50% </w:t>
      </w:r>
      <w:r w:rsidR="00640D3F">
        <w:t xml:space="preserve">or more </w:t>
      </w:r>
      <w:r>
        <w:t>of the voting rights in the entity; and</w:t>
      </w:r>
      <w:bookmarkEnd w:id="107"/>
    </w:p>
    <w:p w14:paraId="18AA3C3D" w14:textId="63E8D79D" w:rsidR="5441F362" w:rsidRDefault="5441F362" w:rsidP="5441F362">
      <w:pPr>
        <w:pStyle w:val="Heading8"/>
        <w:tabs>
          <w:tab w:val="clear" w:pos="1474"/>
          <w:tab w:val="num" w:pos="968"/>
        </w:tabs>
        <w:rPr>
          <w:rFonts w:eastAsia="SimSun"/>
          <w:lang w:eastAsia="zh-CN"/>
        </w:rPr>
      </w:pPr>
      <w:bookmarkStart w:id="108" w:name="_Ref172188367"/>
      <w:r>
        <w:t xml:space="preserve">in the case of any type of legal entity (including those listed in paragraphs </w:t>
      </w:r>
      <w:r>
        <w:fldChar w:fldCharType="begin"/>
      </w:r>
      <w:r>
        <w:instrText xml:space="preserve"> REF _Ref167911435 \n \h </w:instrText>
      </w:r>
      <w:r>
        <w:fldChar w:fldCharType="separate"/>
      </w:r>
      <w:r w:rsidR="002E5C6A">
        <w:t>(b)</w:t>
      </w:r>
      <w:r>
        <w:fldChar w:fldCharType="end"/>
      </w:r>
      <w:r>
        <w:t xml:space="preserve"> to </w:t>
      </w:r>
      <w:r>
        <w:fldChar w:fldCharType="begin"/>
      </w:r>
      <w:r>
        <w:instrText xml:space="preserve"> REF _Ref167911456 \n \h </w:instrText>
      </w:r>
      <w:r>
        <w:fldChar w:fldCharType="separate"/>
      </w:r>
      <w:r w:rsidR="002E5C6A">
        <w:t>(d)</w:t>
      </w:r>
      <w:r>
        <w:fldChar w:fldCharType="end"/>
      </w:r>
      <w:r>
        <w:t>), it includes the direct or indirect capacity to determine the outcome of decisions about the entity’s financial and operating policies,</w:t>
      </w:r>
      <w:bookmarkEnd w:id="108"/>
    </w:p>
    <w:p w14:paraId="026537B1" w14:textId="276DE519" w:rsidR="00D00453" w:rsidRDefault="5441F362" w:rsidP="009B09C2">
      <w:pPr>
        <w:pStyle w:val="Heading7"/>
        <w:numPr>
          <w:ilvl w:val="0"/>
          <w:numId w:val="0"/>
        </w:numPr>
        <w:ind w:left="737"/>
        <w:rPr>
          <w:rFonts w:eastAsia="SimSun"/>
          <w:lang w:eastAsia="zh-CN"/>
        </w:rPr>
      </w:pPr>
      <w:r w:rsidRPr="5441F362">
        <w:rPr>
          <w:rFonts w:eastAsia="SimSun"/>
          <w:lang w:eastAsia="zh-CN"/>
        </w:rPr>
        <w:t>and, for clarity, if one or more but not all of the conditions in paragraphs</w:t>
      </w:r>
      <w:r w:rsidR="00DA6AB8">
        <w:rPr>
          <w:rFonts w:eastAsia="SimSun"/>
          <w:lang w:eastAsia="zh-CN"/>
        </w:rPr>
        <w:t xml:space="preserve"> </w:t>
      </w:r>
      <w:r w:rsidR="00DA6AB8">
        <w:rPr>
          <w:rFonts w:eastAsia="SimSun"/>
          <w:lang w:eastAsia="zh-CN"/>
        </w:rPr>
        <w:fldChar w:fldCharType="begin"/>
      </w:r>
      <w:r w:rsidR="00DA6AB8">
        <w:rPr>
          <w:rFonts w:eastAsia="SimSun"/>
          <w:lang w:eastAsia="zh-CN"/>
        </w:rPr>
        <w:instrText xml:space="preserve"> REF _Ref167911435 \r \h </w:instrText>
      </w:r>
      <w:r w:rsidR="00DA6AB8">
        <w:rPr>
          <w:rFonts w:eastAsia="SimSun"/>
          <w:lang w:eastAsia="zh-CN"/>
        </w:rPr>
      </w:r>
      <w:r w:rsidR="00DA6AB8">
        <w:rPr>
          <w:rFonts w:eastAsia="SimSun"/>
          <w:lang w:eastAsia="zh-CN"/>
        </w:rPr>
        <w:fldChar w:fldCharType="separate"/>
      </w:r>
      <w:r w:rsidR="002E5C6A">
        <w:rPr>
          <w:rFonts w:eastAsia="SimSun"/>
          <w:lang w:eastAsia="zh-CN"/>
        </w:rPr>
        <w:t>(b)</w:t>
      </w:r>
      <w:r w:rsidR="00DA6AB8">
        <w:rPr>
          <w:rFonts w:eastAsia="SimSun"/>
          <w:lang w:eastAsia="zh-CN"/>
        </w:rPr>
        <w:fldChar w:fldCharType="end"/>
      </w:r>
      <w:r w:rsidR="00DA6AB8">
        <w:rPr>
          <w:rFonts w:eastAsia="SimSun"/>
          <w:lang w:eastAsia="zh-CN"/>
        </w:rPr>
        <w:t xml:space="preserve"> to </w:t>
      </w:r>
      <w:r w:rsidR="00DA6AB8">
        <w:rPr>
          <w:rFonts w:eastAsia="SimSun"/>
          <w:lang w:eastAsia="zh-CN"/>
        </w:rPr>
        <w:fldChar w:fldCharType="begin"/>
      </w:r>
      <w:r w:rsidR="00DA6AB8">
        <w:rPr>
          <w:rFonts w:eastAsia="SimSun"/>
          <w:lang w:eastAsia="zh-CN"/>
        </w:rPr>
        <w:instrText xml:space="preserve"> REF _Ref172188367 \r \h </w:instrText>
      </w:r>
      <w:r w:rsidR="00DA6AB8">
        <w:rPr>
          <w:rFonts w:eastAsia="SimSun"/>
          <w:lang w:eastAsia="zh-CN"/>
        </w:rPr>
      </w:r>
      <w:r w:rsidR="00DA6AB8">
        <w:rPr>
          <w:rFonts w:eastAsia="SimSun"/>
          <w:lang w:eastAsia="zh-CN"/>
        </w:rPr>
        <w:fldChar w:fldCharType="separate"/>
      </w:r>
      <w:r w:rsidR="002E5C6A">
        <w:rPr>
          <w:rFonts w:eastAsia="SimSun"/>
          <w:lang w:eastAsia="zh-CN"/>
        </w:rPr>
        <w:t>(e)</w:t>
      </w:r>
      <w:r w:rsidR="00DA6AB8">
        <w:rPr>
          <w:rFonts w:eastAsia="SimSun"/>
          <w:lang w:eastAsia="zh-CN"/>
        </w:rPr>
        <w:fldChar w:fldCharType="end"/>
      </w:r>
      <w:r w:rsidR="00DA6AB8">
        <w:rPr>
          <w:rFonts w:eastAsia="SimSun"/>
          <w:lang w:eastAsia="zh-CN"/>
        </w:rPr>
        <w:t xml:space="preserve"> </w:t>
      </w:r>
      <w:r w:rsidRPr="5441F362">
        <w:rPr>
          <w:rFonts w:eastAsia="SimSun"/>
          <w:lang w:eastAsia="zh-CN"/>
        </w:rPr>
        <w:t>apply, the definition of ‘Control’ is satisfied</w:t>
      </w:r>
      <w:r w:rsidR="003C7C8A">
        <w:rPr>
          <w:rFonts w:eastAsia="SimSun"/>
          <w:lang w:eastAsia="zh-CN"/>
        </w:rPr>
        <w:t>.</w:t>
      </w:r>
    </w:p>
    <w:p w14:paraId="51628960" w14:textId="256BE2CF" w:rsidR="00D2390C" w:rsidRPr="00D2390C" w:rsidRDefault="2BC382E4" w:rsidP="0058045D">
      <w:pPr>
        <w:pStyle w:val="Heading7"/>
        <w:numPr>
          <w:ilvl w:val="6"/>
          <w:numId w:val="0"/>
        </w:numPr>
        <w:ind w:left="737"/>
        <w:rPr>
          <w:rFonts w:eastAsia="SimSun"/>
          <w:lang w:eastAsia="zh-CN"/>
        </w:rPr>
      </w:pPr>
      <w:r w:rsidRPr="2BC382E4">
        <w:rPr>
          <w:b/>
          <w:bCs/>
        </w:rPr>
        <w:t xml:space="preserve">Corporations Act </w:t>
      </w:r>
      <w:r>
        <w:t xml:space="preserve">means the </w:t>
      </w:r>
      <w:r w:rsidRPr="2BC382E4">
        <w:rPr>
          <w:i/>
          <w:iCs/>
        </w:rPr>
        <w:t>Corporations Act 2001</w:t>
      </w:r>
      <w:r>
        <w:t xml:space="preserve"> (Cth).</w:t>
      </w:r>
    </w:p>
    <w:p w14:paraId="70243A42" w14:textId="57E286D5" w:rsidR="0071661E" w:rsidRDefault="0071661E" w:rsidP="0076796C">
      <w:pPr>
        <w:pStyle w:val="Heading7"/>
        <w:numPr>
          <w:ilvl w:val="6"/>
          <w:numId w:val="0"/>
        </w:numPr>
        <w:ind w:left="737"/>
      </w:pPr>
      <w:r w:rsidRPr="004674FF">
        <w:rPr>
          <w:b/>
          <w:bCs/>
        </w:rPr>
        <w:t>Cost Change Principles</w:t>
      </w:r>
      <w:r>
        <w:t xml:space="preserve"> has the meaning given in clause</w:t>
      </w:r>
      <w:r w:rsidR="003C7C8A">
        <w:t> </w:t>
      </w:r>
      <w:r w:rsidR="003C7C8A">
        <w:fldChar w:fldCharType="begin"/>
      </w:r>
      <w:r w:rsidR="003C7C8A">
        <w:instrText xml:space="preserve"> REF _Ref177060495 \w \h </w:instrText>
      </w:r>
      <w:r w:rsidR="003C7C8A">
        <w:fldChar w:fldCharType="separate"/>
      </w:r>
      <w:r w:rsidR="002E5C6A">
        <w:t>21.6</w:t>
      </w:r>
      <w:r w:rsidR="003C7C8A">
        <w:fldChar w:fldCharType="end"/>
      </w:r>
      <w:r w:rsidR="003C7C8A">
        <w:t> (“</w:t>
      </w:r>
      <w:r w:rsidR="003C7C8A">
        <w:fldChar w:fldCharType="begin"/>
      </w:r>
      <w:r w:rsidR="003C7C8A">
        <w:instrText xml:space="preserve"> REF _Ref177060495 \h </w:instrText>
      </w:r>
      <w:r w:rsidR="003C7C8A">
        <w:fldChar w:fldCharType="separate"/>
      </w:r>
      <w:r w:rsidR="002E5C6A" w:rsidRPr="00A016A2">
        <w:t>Cost Change Principles</w:t>
      </w:r>
      <w:r w:rsidR="003C7C8A">
        <w:fldChar w:fldCharType="end"/>
      </w:r>
      <w:r w:rsidR="003C7C8A">
        <w:t>”)</w:t>
      </w:r>
      <w:r>
        <w:t>.</w:t>
      </w:r>
    </w:p>
    <w:p w14:paraId="66759B1C" w14:textId="5BD8098B" w:rsidR="003F4015" w:rsidRPr="00ED6B6A" w:rsidRDefault="003F4015" w:rsidP="00D77B1D">
      <w:pPr>
        <w:pStyle w:val="Heading7"/>
        <w:numPr>
          <w:ilvl w:val="0"/>
          <w:numId w:val="0"/>
        </w:numPr>
        <w:ind w:left="737"/>
      </w:pPr>
      <w:r w:rsidRPr="00666ED4">
        <w:rPr>
          <w:b/>
          <w:bCs/>
        </w:rPr>
        <w:t xml:space="preserve">Cost Change Threshold </w:t>
      </w:r>
      <w:r w:rsidRPr="00666ED4">
        <w:t xml:space="preserve">has the meaning given in item </w:t>
      </w:r>
      <w:r w:rsidRPr="00666ED4">
        <w:fldChar w:fldCharType="begin"/>
      </w:r>
      <w:r w:rsidRPr="00666ED4">
        <w:instrText xml:space="preserve"> REF _Ref172455488 \r \h </w:instrText>
      </w:r>
      <w:r w:rsidR="00D6422A" w:rsidRPr="00666ED4">
        <w:instrText xml:space="preserve"> \* MERGEFORMAT </w:instrText>
      </w:r>
      <w:r w:rsidRPr="00666ED4">
        <w:fldChar w:fldCharType="separate"/>
      </w:r>
      <w:r w:rsidR="002E5C6A">
        <w:t>29</w:t>
      </w:r>
      <w:r w:rsidRPr="00666ED4">
        <w:fldChar w:fldCharType="end"/>
      </w:r>
      <w:r w:rsidRPr="00666ED4">
        <w:t xml:space="preserve"> of the Reference Details.</w:t>
      </w:r>
      <w:r>
        <w:t xml:space="preserve"> </w:t>
      </w:r>
    </w:p>
    <w:p w14:paraId="406DB52C" w14:textId="285DC079" w:rsidR="00747F0C" w:rsidRDefault="00CA7A7B" w:rsidP="00E42BED">
      <w:pPr>
        <w:pStyle w:val="Heading7"/>
        <w:numPr>
          <w:ilvl w:val="0"/>
          <w:numId w:val="0"/>
        </w:numPr>
        <w:ind w:left="737"/>
        <w:rPr>
          <w:bCs/>
        </w:rPr>
      </w:pPr>
      <w:r w:rsidRPr="008E4A1B">
        <w:rPr>
          <w:b/>
        </w:rPr>
        <w:t>Deemed Availability Period</w:t>
      </w:r>
      <w:r w:rsidRPr="00E42BED">
        <w:rPr>
          <w:bCs/>
        </w:rPr>
        <w:t xml:space="preserve"> has the meaning given in </w:t>
      </w:r>
      <w:r w:rsidR="00BC3493">
        <w:rPr>
          <w:bCs/>
        </w:rPr>
        <w:t>item</w:t>
      </w:r>
      <w:r w:rsidR="00BC3493" w:rsidRPr="00E42BED">
        <w:rPr>
          <w:bCs/>
        </w:rPr>
        <w:t xml:space="preserve"> </w:t>
      </w:r>
      <w:r w:rsidR="00532FFE">
        <w:rPr>
          <w:bCs/>
        </w:rPr>
        <w:fldChar w:fldCharType="begin"/>
      </w:r>
      <w:r w:rsidR="00532FFE">
        <w:rPr>
          <w:bCs/>
        </w:rPr>
        <w:instrText xml:space="preserve"> REF _Ref206083774 \n \h </w:instrText>
      </w:r>
      <w:r w:rsidR="00532FFE">
        <w:rPr>
          <w:bCs/>
        </w:rPr>
      </w:r>
      <w:r w:rsidR="00532FFE">
        <w:rPr>
          <w:bCs/>
        </w:rPr>
        <w:fldChar w:fldCharType="separate"/>
      </w:r>
      <w:r w:rsidR="002E5C6A">
        <w:rPr>
          <w:bCs/>
        </w:rPr>
        <w:t>4.3</w:t>
      </w:r>
      <w:r w:rsidR="00532FFE">
        <w:rPr>
          <w:bCs/>
        </w:rPr>
        <w:fldChar w:fldCharType="end"/>
      </w:r>
      <w:r w:rsidR="002722CB">
        <w:rPr>
          <w:bCs/>
        </w:rPr>
        <w:fldChar w:fldCharType="begin"/>
      </w:r>
      <w:r w:rsidR="002722CB">
        <w:rPr>
          <w:bCs/>
        </w:rPr>
        <w:instrText xml:space="preserve"> REF _Ref206082966 \n \h </w:instrText>
      </w:r>
      <w:r w:rsidR="002722CB">
        <w:rPr>
          <w:bCs/>
        </w:rPr>
      </w:r>
      <w:r w:rsidR="002722CB">
        <w:rPr>
          <w:bCs/>
        </w:rPr>
        <w:fldChar w:fldCharType="separate"/>
      </w:r>
      <w:r w:rsidR="002E5C6A">
        <w:rPr>
          <w:bCs/>
        </w:rPr>
        <w:t>(b)</w:t>
      </w:r>
      <w:r w:rsidR="002722CB">
        <w:rPr>
          <w:bCs/>
        </w:rPr>
        <w:fldChar w:fldCharType="end"/>
      </w:r>
      <w:r w:rsidR="002722CB" w:rsidDel="002722CB">
        <w:rPr>
          <w:bCs/>
        </w:rPr>
        <w:t xml:space="preserve"> </w:t>
      </w:r>
      <w:r w:rsidRPr="00E42BED">
        <w:rPr>
          <w:bCs/>
        </w:rPr>
        <w:t xml:space="preserve">of </w:t>
      </w:r>
      <w:r w:rsidR="00BA1BD2">
        <w:rPr>
          <w:bCs/>
        </w:rPr>
        <w:fldChar w:fldCharType="begin"/>
      </w:r>
      <w:r w:rsidR="00BA1BD2">
        <w:rPr>
          <w:bCs/>
        </w:rPr>
        <w:instrText xml:space="preserve"> REF _Ref103257737 \w \h </w:instrText>
      </w:r>
      <w:r w:rsidR="00BA1BD2">
        <w:rPr>
          <w:bCs/>
        </w:rPr>
      </w:r>
      <w:r w:rsidR="00BA1BD2">
        <w:rPr>
          <w:bCs/>
        </w:rPr>
        <w:fldChar w:fldCharType="separate"/>
      </w:r>
      <w:r w:rsidR="002E5C6A">
        <w:rPr>
          <w:bCs/>
        </w:rPr>
        <w:t>Schedule 1</w:t>
      </w:r>
      <w:r w:rsidR="00BA1BD2">
        <w:rPr>
          <w:bCs/>
        </w:rPr>
        <w:fldChar w:fldCharType="end"/>
      </w:r>
      <w:r w:rsidRPr="00E42BED">
        <w:rPr>
          <w:bCs/>
        </w:rPr>
        <w:t>.</w:t>
      </w:r>
      <w:bookmarkStart w:id="109" w:name="_Hlk172226639"/>
    </w:p>
    <w:p w14:paraId="64E831FA" w14:textId="1DAFED2B" w:rsidR="00482B58" w:rsidRDefault="00482B58" w:rsidP="00E42BED">
      <w:pPr>
        <w:pStyle w:val="Heading7"/>
        <w:numPr>
          <w:ilvl w:val="0"/>
          <w:numId w:val="0"/>
        </w:numPr>
        <w:ind w:left="737"/>
        <w:rPr>
          <w:b/>
          <w:bCs/>
        </w:rPr>
      </w:pPr>
      <w:r>
        <w:rPr>
          <w:b/>
          <w:bCs/>
        </w:rPr>
        <w:t xml:space="preserve">Deemed Bilateral Contract Capacity Credit </w:t>
      </w:r>
      <w:r w:rsidRPr="00C0139C">
        <w:rPr>
          <w:b/>
          <w:bCs/>
        </w:rPr>
        <w:t>Revenue</w:t>
      </w:r>
      <w:r w:rsidR="00D462B5">
        <w:t>,</w:t>
      </w:r>
      <w:r w:rsidRPr="008E4A1B">
        <w:rPr>
          <w:b/>
          <w:bCs/>
        </w:rPr>
        <w:t xml:space="preserve"> </w:t>
      </w:r>
      <w:r>
        <w:t xml:space="preserve">in respect of a </w:t>
      </w:r>
      <w:r w:rsidR="00D462B5">
        <w:t xml:space="preserve">particular </w:t>
      </w:r>
      <w:r>
        <w:t xml:space="preserve">period for </w:t>
      </w:r>
      <w:r w:rsidR="001A2DBA">
        <w:t>e</w:t>
      </w:r>
      <w:r>
        <w:t>a</w:t>
      </w:r>
      <w:r w:rsidR="001A2DBA">
        <w:t>ch</w:t>
      </w:r>
      <w:r>
        <w:t xml:space="preserve"> Bilateral </w:t>
      </w:r>
      <w:r w:rsidRPr="001A2DBA">
        <w:t xml:space="preserve">Contract </w:t>
      </w:r>
      <w:r w:rsidR="001A2DBA" w:rsidRPr="001A2DBA">
        <w:t>(insofar as it relates to</w:t>
      </w:r>
      <w:r w:rsidR="00BC3493">
        <w:t xml:space="preserve"> </w:t>
      </w:r>
      <w:r w:rsidR="001A2DBA" w:rsidRPr="001A2DBA">
        <w:t xml:space="preserve">Capacity Credits created by reference to the Project) </w:t>
      </w:r>
      <w:r w:rsidRPr="001A2DBA">
        <w:t>th</w:t>
      </w:r>
      <w:r>
        <w:t>at is not an Eligible Bilateral Contract</w:t>
      </w:r>
      <w:r w:rsidR="00D462B5">
        <w:t>,</w:t>
      </w:r>
      <w:r>
        <w:t xml:space="preserve"> is </w:t>
      </w:r>
      <w:r w:rsidRPr="00C0139C">
        <w:t>determined</w:t>
      </w:r>
      <w:r>
        <w:t xml:space="preserve"> in accordance with </w:t>
      </w:r>
      <w:r w:rsidR="00BC3493">
        <w:t xml:space="preserve">item </w:t>
      </w:r>
      <w:r w:rsidR="002722CB">
        <w:fldChar w:fldCharType="begin"/>
      </w:r>
      <w:r w:rsidR="002722CB">
        <w:instrText xml:space="preserve"> REF _Ref206083049 \n \h </w:instrText>
      </w:r>
      <w:r w:rsidR="002722CB">
        <w:fldChar w:fldCharType="separate"/>
      </w:r>
      <w:r w:rsidR="002E5C6A">
        <w:t>3.9</w:t>
      </w:r>
      <w:r w:rsidR="002722CB">
        <w:fldChar w:fldCharType="end"/>
      </w:r>
      <w:r>
        <w:t xml:space="preserve"> of </w:t>
      </w:r>
      <w:r>
        <w:fldChar w:fldCharType="begin"/>
      </w:r>
      <w:r>
        <w:instrText xml:space="preserve"> REF _Ref103257737 \w \h </w:instrText>
      </w:r>
      <w:r>
        <w:fldChar w:fldCharType="separate"/>
      </w:r>
      <w:r w:rsidR="002E5C6A">
        <w:t>Schedule 1</w:t>
      </w:r>
      <w:r>
        <w:fldChar w:fldCharType="end"/>
      </w:r>
      <w:r>
        <w:t xml:space="preserve"> (“</w:t>
      </w:r>
      <w:r>
        <w:fldChar w:fldCharType="begin"/>
      </w:r>
      <w:r>
        <w:instrText xml:space="preserve">  REF _Ref103257737 \h </w:instrText>
      </w:r>
      <w:r>
        <w:fldChar w:fldCharType="separate"/>
      </w:r>
      <w:r w:rsidR="002E5C6A">
        <w:t>Support terms</w:t>
      </w:r>
      <w:r>
        <w:fldChar w:fldCharType="end"/>
      </w:r>
      <w:r>
        <w:t>”) for that period.</w:t>
      </w:r>
    </w:p>
    <w:p w14:paraId="3AD23F27" w14:textId="44E27383" w:rsidR="00C0139C" w:rsidRDefault="00C0139C" w:rsidP="00E42BED">
      <w:pPr>
        <w:pStyle w:val="Heading7"/>
        <w:numPr>
          <w:ilvl w:val="0"/>
          <w:numId w:val="0"/>
        </w:numPr>
        <w:ind w:left="737"/>
      </w:pPr>
      <w:r>
        <w:rPr>
          <w:b/>
          <w:bCs/>
        </w:rPr>
        <w:t xml:space="preserve">Deemed Bilateral Contract </w:t>
      </w:r>
      <w:r w:rsidR="00C05F52">
        <w:rPr>
          <w:b/>
          <w:bCs/>
        </w:rPr>
        <w:t xml:space="preserve">Energy </w:t>
      </w:r>
      <w:r w:rsidRPr="00C0139C">
        <w:rPr>
          <w:b/>
          <w:bCs/>
        </w:rPr>
        <w:t>Revenue</w:t>
      </w:r>
      <w:r w:rsidR="00D462B5">
        <w:t>,</w:t>
      </w:r>
      <w:r w:rsidRPr="008E4A1B">
        <w:rPr>
          <w:b/>
          <w:bCs/>
        </w:rPr>
        <w:t xml:space="preserve"> </w:t>
      </w:r>
      <w:r>
        <w:t xml:space="preserve">in respect of a </w:t>
      </w:r>
      <w:r w:rsidR="00D462B5">
        <w:t xml:space="preserve">particular </w:t>
      </w:r>
      <w:r>
        <w:t xml:space="preserve">period for </w:t>
      </w:r>
      <w:r w:rsidR="001A2DBA">
        <w:t>e</w:t>
      </w:r>
      <w:r>
        <w:t>a</w:t>
      </w:r>
      <w:r w:rsidR="001A2DBA">
        <w:t>ch</w:t>
      </w:r>
      <w:r>
        <w:t xml:space="preserve"> Bilateral </w:t>
      </w:r>
      <w:r w:rsidRPr="001A2DBA">
        <w:t xml:space="preserve">Contract </w:t>
      </w:r>
      <w:r w:rsidR="001A2DBA" w:rsidRPr="001A2DBA">
        <w:t xml:space="preserve">(insofar as it relates to energy exported by the Project) </w:t>
      </w:r>
      <w:r w:rsidRPr="001A2DBA">
        <w:t>that is not an Eligible Bilat</w:t>
      </w:r>
      <w:r>
        <w:t>eral Contract</w:t>
      </w:r>
      <w:r w:rsidR="00D462B5">
        <w:t>,</w:t>
      </w:r>
      <w:r>
        <w:t xml:space="preserve"> is </w:t>
      </w:r>
      <w:r w:rsidRPr="00C0139C">
        <w:t>determined</w:t>
      </w:r>
      <w:r>
        <w:t xml:space="preserve"> in accordance with section </w:t>
      </w:r>
      <w:r w:rsidR="002722CB">
        <w:fldChar w:fldCharType="begin"/>
      </w:r>
      <w:r w:rsidR="002722CB">
        <w:instrText xml:space="preserve"> REF _Ref206083108 \n \h </w:instrText>
      </w:r>
      <w:r w:rsidR="002722CB">
        <w:fldChar w:fldCharType="separate"/>
      </w:r>
      <w:r w:rsidR="002E5C6A">
        <w:t>3.7</w:t>
      </w:r>
      <w:r w:rsidR="002722CB">
        <w:fldChar w:fldCharType="end"/>
      </w:r>
      <w:r>
        <w:t xml:space="preserve"> of </w:t>
      </w:r>
      <w:r w:rsidR="00A813EB">
        <w:fldChar w:fldCharType="begin"/>
      </w:r>
      <w:r w:rsidR="00A813EB">
        <w:instrText xml:space="preserve"> REF _Ref103257737 \w \h </w:instrText>
      </w:r>
      <w:r w:rsidR="00A813EB">
        <w:fldChar w:fldCharType="separate"/>
      </w:r>
      <w:r w:rsidR="002E5C6A">
        <w:t>Schedule 1</w:t>
      </w:r>
      <w:r w:rsidR="00A813EB">
        <w:fldChar w:fldCharType="end"/>
      </w:r>
      <w:r w:rsidR="00A813EB">
        <w:t xml:space="preserve"> (“</w:t>
      </w:r>
      <w:r w:rsidR="00A813EB">
        <w:fldChar w:fldCharType="begin"/>
      </w:r>
      <w:r w:rsidR="00A813EB">
        <w:instrText xml:space="preserve">  REF _Ref103257737 \h </w:instrText>
      </w:r>
      <w:r w:rsidR="00A813EB">
        <w:fldChar w:fldCharType="separate"/>
      </w:r>
      <w:r w:rsidR="002E5C6A">
        <w:t>Support terms</w:t>
      </w:r>
      <w:r w:rsidR="00A813EB">
        <w:fldChar w:fldCharType="end"/>
      </w:r>
      <w:r w:rsidR="00A813EB">
        <w:t>”)</w:t>
      </w:r>
      <w:r>
        <w:t xml:space="preserve"> for that period.</w:t>
      </w:r>
    </w:p>
    <w:p w14:paraId="2ECD9442" w14:textId="65AEE1D4" w:rsidR="00482B58" w:rsidRDefault="00482B58" w:rsidP="00E42BED">
      <w:pPr>
        <w:pStyle w:val="Heading7"/>
        <w:numPr>
          <w:ilvl w:val="0"/>
          <w:numId w:val="0"/>
        </w:numPr>
        <w:ind w:left="737"/>
      </w:pPr>
      <w:r>
        <w:rPr>
          <w:b/>
          <w:bCs/>
        </w:rPr>
        <w:t xml:space="preserve">Deemed Bilateral Contract Green </w:t>
      </w:r>
      <w:r w:rsidRPr="00C0139C">
        <w:rPr>
          <w:b/>
          <w:bCs/>
        </w:rPr>
        <w:t>Revenue</w:t>
      </w:r>
      <w:r w:rsidR="00D462B5">
        <w:t>,</w:t>
      </w:r>
      <w:r w:rsidRPr="008E4A1B">
        <w:rPr>
          <w:b/>
          <w:bCs/>
        </w:rPr>
        <w:t xml:space="preserve"> </w:t>
      </w:r>
      <w:r>
        <w:t xml:space="preserve">in respect of a </w:t>
      </w:r>
      <w:r w:rsidR="00D462B5">
        <w:t xml:space="preserve">particular </w:t>
      </w:r>
      <w:r>
        <w:t xml:space="preserve">period for </w:t>
      </w:r>
      <w:r w:rsidR="001A2DBA">
        <w:t>e</w:t>
      </w:r>
      <w:r>
        <w:t>a</w:t>
      </w:r>
      <w:r w:rsidR="001A2DBA">
        <w:t>ch</w:t>
      </w:r>
      <w:r>
        <w:t xml:space="preserve"> Bilateral Cont</w:t>
      </w:r>
      <w:r w:rsidRPr="001A2DBA">
        <w:t xml:space="preserve">ract </w:t>
      </w:r>
      <w:r w:rsidR="001A2DBA" w:rsidRPr="001A2DBA">
        <w:t>(insofar as it relates to Green Products created by reference to the Project</w:t>
      </w:r>
      <w:r w:rsidR="001A2DBA" w:rsidRPr="0068593D">
        <w:t xml:space="preserve">) </w:t>
      </w:r>
      <w:r w:rsidRPr="0068593D">
        <w:t>that is not an Eligible Bilateral Contract</w:t>
      </w:r>
      <w:r w:rsidR="00D462B5" w:rsidRPr="0068593D">
        <w:t>,</w:t>
      </w:r>
      <w:r w:rsidRPr="0068593D">
        <w:t xml:space="preserve"> is determined in accordance with section </w:t>
      </w:r>
      <w:r w:rsidR="002722CB">
        <w:fldChar w:fldCharType="begin"/>
      </w:r>
      <w:r w:rsidR="002722CB">
        <w:instrText xml:space="preserve"> REF _Ref206083074 \n \h </w:instrText>
      </w:r>
      <w:r w:rsidR="002722CB">
        <w:fldChar w:fldCharType="separate"/>
      </w:r>
      <w:r w:rsidR="002E5C6A">
        <w:t>3.10</w:t>
      </w:r>
      <w:r w:rsidR="002722CB">
        <w:fldChar w:fldCharType="end"/>
      </w:r>
      <w:r>
        <w:t xml:space="preserve"> of </w:t>
      </w:r>
      <w:r>
        <w:fldChar w:fldCharType="begin"/>
      </w:r>
      <w:r>
        <w:instrText xml:space="preserve"> REF _Ref103257737 \w \h </w:instrText>
      </w:r>
      <w:r>
        <w:fldChar w:fldCharType="separate"/>
      </w:r>
      <w:r w:rsidR="002E5C6A">
        <w:t>Schedule 1</w:t>
      </w:r>
      <w:r>
        <w:fldChar w:fldCharType="end"/>
      </w:r>
      <w:r>
        <w:t xml:space="preserve"> (“</w:t>
      </w:r>
      <w:r>
        <w:fldChar w:fldCharType="begin"/>
      </w:r>
      <w:r>
        <w:instrText xml:space="preserve">  REF _Ref103257737 \h </w:instrText>
      </w:r>
      <w:r>
        <w:fldChar w:fldCharType="separate"/>
      </w:r>
      <w:r w:rsidR="002E5C6A">
        <w:t>Support terms</w:t>
      </w:r>
      <w:r>
        <w:fldChar w:fldCharType="end"/>
      </w:r>
      <w:r>
        <w:t>”) for that period.</w:t>
      </w:r>
    </w:p>
    <w:p w14:paraId="1FBD80B2" w14:textId="5B2E554B" w:rsidR="00482B58" w:rsidRPr="00482B58" w:rsidRDefault="00482B58" w:rsidP="00E42BED">
      <w:pPr>
        <w:pStyle w:val="Heading7"/>
        <w:numPr>
          <w:ilvl w:val="0"/>
          <w:numId w:val="0"/>
        </w:numPr>
        <w:ind w:left="737"/>
      </w:pPr>
      <w:r w:rsidRPr="001A2DBA">
        <w:rPr>
          <w:b/>
          <w:bCs/>
        </w:rPr>
        <w:t>Deemed Bilateral Contract Revenue</w:t>
      </w:r>
      <w:r w:rsidR="00D462B5" w:rsidRPr="001A2DBA">
        <w:t>,</w:t>
      </w:r>
      <w:r w:rsidRPr="001A2DBA">
        <w:t xml:space="preserve"> in respect of a </w:t>
      </w:r>
      <w:r w:rsidR="00D462B5" w:rsidRPr="001A2DBA">
        <w:t xml:space="preserve">particular </w:t>
      </w:r>
      <w:r w:rsidRPr="001A2DBA">
        <w:t>period</w:t>
      </w:r>
      <w:r w:rsidR="001A2DBA" w:rsidRPr="001A2DBA">
        <w:t>,</w:t>
      </w:r>
      <w:r w:rsidRPr="001A2DBA">
        <w:t xml:space="preserve"> is the aggregate of </w:t>
      </w:r>
      <w:r w:rsidR="001A2DBA" w:rsidRPr="001A2DBA">
        <w:t>all</w:t>
      </w:r>
      <w:r w:rsidRPr="001A2DBA">
        <w:t xml:space="preserve"> Deemed Bilateral Contract Capacity Credit Revenue, Deemed Bilateral Contract Energy Revenue and Deemed Bilateral Contract Green Revenue, in each case, for </w:t>
      </w:r>
      <w:r w:rsidR="001A2DBA" w:rsidRPr="001A2DBA">
        <w:t>all relevant Bilateral Contracts for</w:t>
      </w:r>
      <w:r w:rsidR="001A2DBA">
        <w:t xml:space="preserve"> </w:t>
      </w:r>
      <w:r>
        <w:t>the relevant period.</w:t>
      </w:r>
    </w:p>
    <w:p w14:paraId="43FEE28A" w14:textId="1849CD82" w:rsidR="003D5257" w:rsidRDefault="06AC912F" w:rsidP="0058045D">
      <w:pPr>
        <w:pStyle w:val="Heading7"/>
      </w:pPr>
      <w:bookmarkStart w:id="110" w:name="_Hlk108015578"/>
      <w:bookmarkEnd w:id="109"/>
      <w:r w:rsidRPr="06AC912F">
        <w:rPr>
          <w:b/>
          <w:bCs/>
        </w:rPr>
        <w:t>Default Interest Rate</w:t>
      </w:r>
      <w:r>
        <w:t xml:space="preserve"> means the rate which is 2% above the Reserve Bank of Australia Cash Rate Target</w:t>
      </w:r>
      <w:r w:rsidR="00D462B5">
        <w:t xml:space="preserve"> at the time at which the relevant calculation is being performed</w:t>
      </w:r>
      <w:r>
        <w:t>.</w:t>
      </w:r>
    </w:p>
    <w:p w14:paraId="3CB7ABC4" w14:textId="57C1FABA" w:rsidR="00BC3493" w:rsidRDefault="00BC3493" w:rsidP="008F660B">
      <w:pPr>
        <w:pStyle w:val="Heading7"/>
        <w:numPr>
          <w:ilvl w:val="6"/>
          <w:numId w:val="61"/>
        </w:numPr>
      </w:pPr>
      <w:r>
        <w:rPr>
          <w:b/>
          <w:bCs/>
        </w:rPr>
        <w:t xml:space="preserve">Deficit Amount </w:t>
      </w:r>
      <w:r>
        <w:rPr>
          <w:bCs/>
        </w:rPr>
        <w:t xml:space="preserve">has the meaning given in </w:t>
      </w:r>
      <w:r w:rsidRPr="000B5694">
        <w:rPr>
          <w:bCs/>
        </w:rPr>
        <w:t xml:space="preserve">clause </w:t>
      </w:r>
      <w:r w:rsidR="002E0CD0" w:rsidRPr="000B5694">
        <w:rPr>
          <w:bCs/>
        </w:rPr>
        <w:fldChar w:fldCharType="begin"/>
      </w:r>
      <w:r w:rsidR="002E0CD0" w:rsidRPr="000B5694">
        <w:rPr>
          <w:bCs/>
        </w:rPr>
        <w:instrText xml:space="preserve"> REF _Ref205808725 \w \h </w:instrText>
      </w:r>
      <w:r w:rsidR="00514598" w:rsidRPr="008F660B">
        <w:rPr>
          <w:bCs/>
        </w:rPr>
        <w:instrText xml:space="preserve"> \* MERGEFORMAT </w:instrText>
      </w:r>
      <w:r w:rsidR="002E0CD0" w:rsidRPr="000B5694">
        <w:rPr>
          <w:bCs/>
        </w:rPr>
      </w:r>
      <w:r w:rsidR="002E0CD0" w:rsidRPr="000B5694">
        <w:rPr>
          <w:bCs/>
        </w:rPr>
        <w:fldChar w:fldCharType="separate"/>
      </w:r>
      <w:r w:rsidR="002E5C6A">
        <w:rPr>
          <w:bCs/>
        </w:rPr>
        <w:t>14.1</w:t>
      </w:r>
      <w:r w:rsidR="002E0CD0" w:rsidRPr="000B5694">
        <w:rPr>
          <w:bCs/>
        </w:rPr>
        <w:fldChar w:fldCharType="end"/>
      </w:r>
      <w:r w:rsidR="002E0CD0" w:rsidRPr="000B5694">
        <w:rPr>
          <w:bCs/>
        </w:rPr>
        <w:t xml:space="preserve"> (“</w:t>
      </w:r>
      <w:r w:rsidR="002E0CD0" w:rsidRPr="000B5694">
        <w:rPr>
          <w:bCs/>
        </w:rPr>
        <w:fldChar w:fldCharType="begin"/>
      </w:r>
      <w:r w:rsidR="002E0CD0" w:rsidRPr="000B5694">
        <w:rPr>
          <w:bCs/>
        </w:rPr>
        <w:instrText xml:space="preserve"> REF _Ref205808740 \h </w:instrText>
      </w:r>
      <w:r w:rsidR="00514598" w:rsidRPr="008F660B">
        <w:rPr>
          <w:bCs/>
        </w:rPr>
        <w:instrText xml:space="preserve"> \* MERGEFORMAT </w:instrText>
      </w:r>
      <w:r w:rsidR="002E0CD0" w:rsidRPr="000B5694">
        <w:rPr>
          <w:bCs/>
        </w:rPr>
      </w:r>
      <w:r w:rsidR="002E0CD0" w:rsidRPr="000B5694">
        <w:rPr>
          <w:bCs/>
        </w:rPr>
        <w:fldChar w:fldCharType="separate"/>
      </w:r>
      <w:r w:rsidR="002E5C6A">
        <w:t>Definitions</w:t>
      </w:r>
      <w:r w:rsidR="002E0CD0" w:rsidRPr="000B5694">
        <w:rPr>
          <w:bCs/>
        </w:rPr>
        <w:fldChar w:fldCharType="end"/>
      </w:r>
      <w:r w:rsidR="002E0CD0" w:rsidRPr="000B5694">
        <w:rPr>
          <w:bCs/>
        </w:rPr>
        <w:t>”</w:t>
      </w:r>
      <w:r w:rsidRPr="000B5694">
        <w:rPr>
          <w:bCs/>
        </w:rPr>
        <w:t>).</w:t>
      </w:r>
    </w:p>
    <w:p w14:paraId="2445929D" w14:textId="77777777" w:rsidR="00F527ED" w:rsidRDefault="06AC912F" w:rsidP="0058045D">
      <w:pPr>
        <w:pStyle w:val="Heading7"/>
      </w:pPr>
      <w:bookmarkStart w:id="111" w:name="F_Details"/>
      <w:bookmarkEnd w:id="110"/>
      <w:r w:rsidRPr="06AC912F">
        <w:rPr>
          <w:b/>
          <w:bCs/>
        </w:rPr>
        <w:t xml:space="preserve">Details </w:t>
      </w:r>
      <w:r>
        <w:t>means the section of this agreement headed “Details”.</w:t>
      </w:r>
      <w:bookmarkEnd w:id="111"/>
    </w:p>
    <w:p w14:paraId="7A32B3E5" w14:textId="48448191" w:rsidR="008C1FCC" w:rsidRPr="005D2F06" w:rsidRDefault="008C1FCC" w:rsidP="0058045D">
      <w:pPr>
        <w:pStyle w:val="Heading7"/>
        <w:rPr>
          <w:highlight w:val="yellow"/>
        </w:rPr>
      </w:pPr>
      <w:r w:rsidRPr="06AC912F">
        <w:rPr>
          <w:b/>
          <w:bCs/>
        </w:rPr>
        <w:t xml:space="preserve">Dispute </w:t>
      </w:r>
      <w:r w:rsidRPr="06AC912F">
        <w:t xml:space="preserve">has the meaning given in clause </w:t>
      </w:r>
      <w:r>
        <w:rPr>
          <w:bCs/>
        </w:rPr>
        <w:fldChar w:fldCharType="begin"/>
      </w:r>
      <w:r>
        <w:rPr>
          <w:bCs/>
        </w:rPr>
        <w:instrText xml:space="preserve"> REF _Ref101535792 \w \h </w:instrText>
      </w:r>
      <w:r w:rsidR="006B6899">
        <w:rPr>
          <w:bCs/>
        </w:rPr>
        <w:instrText xml:space="preserve"> \* MERGEFORMAT </w:instrText>
      </w:r>
      <w:r>
        <w:rPr>
          <w:bCs/>
        </w:rPr>
      </w:r>
      <w:r>
        <w:rPr>
          <w:bCs/>
        </w:rPr>
        <w:fldChar w:fldCharType="separate"/>
      </w:r>
      <w:r w:rsidR="002E5C6A" w:rsidRPr="002E5C6A">
        <w:t>27.1</w:t>
      </w:r>
      <w:r>
        <w:rPr>
          <w:bCs/>
        </w:rPr>
        <w:fldChar w:fldCharType="end"/>
      </w:r>
      <w:r>
        <w:rPr>
          <w:bCs/>
        </w:rPr>
        <w:t xml:space="preserve"> (“</w:t>
      </w:r>
      <w:r>
        <w:rPr>
          <w:bCs/>
        </w:rPr>
        <w:fldChar w:fldCharType="begin"/>
      </w:r>
      <w:r>
        <w:rPr>
          <w:bCs/>
        </w:rPr>
        <w:instrText xml:space="preserve">  REF _Ref101535792 \h </w:instrText>
      </w:r>
      <w:r w:rsidR="006B6899">
        <w:rPr>
          <w:bCs/>
        </w:rPr>
        <w:instrText xml:space="preserve"> \* MERGEFORMAT </w:instrText>
      </w:r>
      <w:r>
        <w:rPr>
          <w:bCs/>
        </w:rPr>
      </w:r>
      <w:r>
        <w:rPr>
          <w:bCs/>
        </w:rPr>
        <w:fldChar w:fldCharType="separate"/>
      </w:r>
      <w:r w:rsidR="002E5C6A">
        <w:t>Dispute mechanism</w:t>
      </w:r>
      <w:r>
        <w:rPr>
          <w:bCs/>
        </w:rPr>
        <w:fldChar w:fldCharType="end"/>
      </w:r>
      <w:r>
        <w:rPr>
          <w:bCs/>
        </w:rPr>
        <w:t>”).</w:t>
      </w:r>
    </w:p>
    <w:p w14:paraId="062C4358" w14:textId="31484BC7" w:rsidR="005D2F06" w:rsidRPr="002D6D4F" w:rsidRDefault="005D2F06" w:rsidP="0058045D">
      <w:pPr>
        <w:pStyle w:val="Heading7"/>
        <w:rPr>
          <w:highlight w:val="yellow"/>
        </w:rPr>
      </w:pPr>
      <w:r w:rsidRPr="06AC912F">
        <w:rPr>
          <w:b/>
          <w:bCs/>
        </w:rPr>
        <w:t xml:space="preserve">Dispute Notice </w:t>
      </w:r>
      <w:r w:rsidRPr="06AC912F">
        <w:t xml:space="preserve">has the meaning given in clause </w:t>
      </w:r>
      <w:r w:rsidR="002265C8">
        <w:rPr>
          <w:bCs/>
        </w:rPr>
        <w:fldChar w:fldCharType="begin"/>
      </w:r>
      <w:r w:rsidR="002265C8">
        <w:rPr>
          <w:bCs/>
        </w:rPr>
        <w:instrText xml:space="preserve"> REF _Ref103669135 \r \h </w:instrText>
      </w:r>
      <w:r w:rsidR="006B6899">
        <w:rPr>
          <w:bCs/>
        </w:rPr>
        <w:instrText xml:space="preserve"> \* MERGEFORMAT </w:instrText>
      </w:r>
      <w:r w:rsidR="002265C8">
        <w:rPr>
          <w:bCs/>
        </w:rPr>
      </w:r>
      <w:r w:rsidR="002265C8">
        <w:rPr>
          <w:bCs/>
        </w:rPr>
        <w:fldChar w:fldCharType="separate"/>
      </w:r>
      <w:r w:rsidR="002E5C6A" w:rsidRPr="002E5C6A">
        <w:t>27.3</w:t>
      </w:r>
      <w:r w:rsidR="002265C8">
        <w:rPr>
          <w:bCs/>
        </w:rPr>
        <w:fldChar w:fldCharType="end"/>
      </w:r>
      <w:r w:rsidR="002265C8">
        <w:rPr>
          <w:bCs/>
        </w:rPr>
        <w:t xml:space="preserve"> (“</w:t>
      </w:r>
      <w:r w:rsidR="002265C8">
        <w:rPr>
          <w:bCs/>
        </w:rPr>
        <w:fldChar w:fldCharType="begin"/>
      </w:r>
      <w:r w:rsidR="002265C8">
        <w:rPr>
          <w:bCs/>
        </w:rPr>
        <w:instrText xml:space="preserve"> REF _Ref103669160 \h </w:instrText>
      </w:r>
      <w:r w:rsidR="006B6899">
        <w:rPr>
          <w:bCs/>
        </w:rPr>
        <w:instrText xml:space="preserve"> \* MERGEFORMAT </w:instrText>
      </w:r>
      <w:r w:rsidR="002265C8">
        <w:rPr>
          <w:bCs/>
        </w:rPr>
      </w:r>
      <w:r w:rsidR="002265C8">
        <w:rPr>
          <w:bCs/>
        </w:rPr>
        <w:fldChar w:fldCharType="separate"/>
      </w:r>
      <w:r w:rsidR="002E5C6A">
        <w:t>Disputes</w:t>
      </w:r>
      <w:r w:rsidR="002265C8">
        <w:rPr>
          <w:bCs/>
        </w:rPr>
        <w:fldChar w:fldCharType="end"/>
      </w:r>
      <w:r w:rsidR="002265C8">
        <w:rPr>
          <w:bCs/>
        </w:rPr>
        <w:t>”)</w:t>
      </w:r>
      <w:r>
        <w:rPr>
          <w:bCs/>
        </w:rPr>
        <w:t>.</w:t>
      </w:r>
    </w:p>
    <w:p w14:paraId="6B2030DA" w14:textId="78C53531" w:rsidR="00F176CF" w:rsidRPr="00131021" w:rsidRDefault="00F176CF" w:rsidP="0058045D">
      <w:pPr>
        <w:pStyle w:val="Heading7"/>
        <w:rPr>
          <w:highlight w:val="yellow"/>
        </w:rPr>
      </w:pPr>
      <w:r w:rsidRPr="06AC912F">
        <w:rPr>
          <w:b/>
          <w:bCs/>
        </w:rPr>
        <w:t xml:space="preserve">Disputed Amount </w:t>
      </w:r>
      <w:r w:rsidRPr="06AC912F">
        <w:t xml:space="preserve">has the meaning given in clause </w:t>
      </w:r>
      <w:r>
        <w:rPr>
          <w:bCs/>
        </w:rPr>
        <w:fldChar w:fldCharType="begin"/>
      </w:r>
      <w:r>
        <w:rPr>
          <w:bCs/>
        </w:rPr>
        <w:instrText xml:space="preserve"> REF _Ref511737737 \w \h </w:instrText>
      </w:r>
      <w:r>
        <w:rPr>
          <w:bCs/>
        </w:rPr>
      </w:r>
      <w:r>
        <w:rPr>
          <w:bCs/>
        </w:rPr>
        <w:fldChar w:fldCharType="separate"/>
      </w:r>
      <w:r w:rsidR="002E5C6A">
        <w:rPr>
          <w:bCs/>
        </w:rPr>
        <w:t>16.4</w:t>
      </w:r>
      <w:r>
        <w:rPr>
          <w:bCs/>
        </w:rPr>
        <w:fldChar w:fldCharType="end"/>
      </w:r>
      <w:r>
        <w:rPr>
          <w:bCs/>
        </w:rPr>
        <w:t xml:space="preserve"> (“</w:t>
      </w:r>
      <w:r>
        <w:rPr>
          <w:bCs/>
        </w:rPr>
        <w:fldChar w:fldCharType="begin"/>
      </w:r>
      <w:r>
        <w:rPr>
          <w:bCs/>
        </w:rPr>
        <w:instrText xml:space="preserve">  REF _Ref511737737 \h </w:instrText>
      </w:r>
      <w:r>
        <w:rPr>
          <w:bCs/>
        </w:rPr>
      </w:r>
      <w:r>
        <w:rPr>
          <w:bCs/>
        </w:rPr>
        <w:fldChar w:fldCharType="separate"/>
      </w:r>
      <w:r w:rsidR="002E5C6A" w:rsidRPr="00A016A2">
        <w:t>Disputed Invoice</w:t>
      </w:r>
      <w:r>
        <w:rPr>
          <w:bCs/>
        </w:rPr>
        <w:fldChar w:fldCharType="end"/>
      </w:r>
      <w:r>
        <w:rPr>
          <w:bCs/>
        </w:rPr>
        <w:t>”).</w:t>
      </w:r>
    </w:p>
    <w:p w14:paraId="4CFF09A4" w14:textId="706ED812" w:rsidR="000C6982" w:rsidRPr="000C6982" w:rsidRDefault="000C6982" w:rsidP="00B5506F">
      <w:pPr>
        <w:pStyle w:val="Heading7"/>
        <w:rPr>
          <w:highlight w:val="yellow"/>
        </w:rPr>
      </w:pPr>
      <w:r w:rsidRPr="000C6982">
        <w:rPr>
          <w:b/>
          <w:bCs/>
        </w:rPr>
        <w:t>Draft COD Cure Plan</w:t>
      </w:r>
      <w:r>
        <w:t xml:space="preserve"> </w:t>
      </w:r>
      <w:r w:rsidRPr="3F00FD04">
        <w:t xml:space="preserve">has the meaning given in clause </w:t>
      </w:r>
      <w:r w:rsidRPr="000C6982">
        <w:rPr>
          <w:bCs/>
        </w:rPr>
        <w:fldChar w:fldCharType="begin"/>
      </w:r>
      <w:r w:rsidRPr="000C6982">
        <w:rPr>
          <w:bCs/>
        </w:rPr>
        <w:instrText xml:space="preserve"> REF _Ref100062312 \w \h </w:instrText>
      </w:r>
      <w:r w:rsidR="00B5506F">
        <w:rPr>
          <w:bCs/>
        </w:rPr>
        <w:instrText xml:space="preserve"> \* MERGEFORMAT </w:instrText>
      </w:r>
      <w:r w:rsidRPr="000C6982">
        <w:rPr>
          <w:bCs/>
        </w:rPr>
      </w:r>
      <w:r w:rsidRPr="000C6982">
        <w:rPr>
          <w:bCs/>
        </w:rPr>
        <w:fldChar w:fldCharType="separate"/>
      </w:r>
      <w:r w:rsidR="002E5C6A">
        <w:rPr>
          <w:bCs/>
        </w:rPr>
        <w:t>7.4</w:t>
      </w:r>
      <w:r w:rsidRPr="000C6982">
        <w:rPr>
          <w:bCs/>
        </w:rPr>
        <w:fldChar w:fldCharType="end"/>
      </w:r>
      <w:r w:rsidRPr="000C6982">
        <w:rPr>
          <w:bCs/>
        </w:rPr>
        <w:t xml:space="preserve"> (“</w:t>
      </w:r>
      <w:r w:rsidRPr="000C6982">
        <w:rPr>
          <w:bCs/>
        </w:rPr>
        <w:fldChar w:fldCharType="begin"/>
      </w:r>
      <w:r w:rsidRPr="000C6982">
        <w:rPr>
          <w:bCs/>
        </w:rPr>
        <w:instrText xml:space="preserve">  REF _Ref100062312 \h </w:instrText>
      </w:r>
      <w:r w:rsidR="00B5506F">
        <w:rPr>
          <w:bCs/>
        </w:rPr>
        <w:instrText xml:space="preserve"> \* MERGEFORMAT </w:instrText>
      </w:r>
      <w:r w:rsidRPr="000C6982">
        <w:rPr>
          <w:bCs/>
        </w:rPr>
      </w:r>
      <w:r w:rsidRPr="000C6982">
        <w:rPr>
          <w:bCs/>
        </w:rPr>
        <w:fldChar w:fldCharType="separate"/>
      </w:r>
      <w:r w:rsidR="002E5C6A">
        <w:t>COD Cure Plan other than for Force Majeure Event</w:t>
      </w:r>
      <w:r w:rsidRPr="000C6982">
        <w:rPr>
          <w:bCs/>
        </w:rPr>
        <w:fldChar w:fldCharType="end"/>
      </w:r>
      <w:r w:rsidRPr="000C6982">
        <w:rPr>
          <w:bCs/>
        </w:rPr>
        <w:t>”).</w:t>
      </w:r>
    </w:p>
    <w:p w14:paraId="6F21A886" w14:textId="319609DA" w:rsidR="00397A27" w:rsidRPr="00AC3112" w:rsidRDefault="00397A27" w:rsidP="00B5506F">
      <w:pPr>
        <w:pStyle w:val="Heading7"/>
        <w:rPr>
          <w:highlight w:val="yellow"/>
        </w:rPr>
      </w:pPr>
      <w:r w:rsidRPr="00397A27">
        <w:rPr>
          <w:b/>
          <w:bCs/>
        </w:rPr>
        <w:t xml:space="preserve">Draft Milestone Cure Plan </w:t>
      </w:r>
      <w:r w:rsidRPr="3F00FD04">
        <w:t xml:space="preserve">has the meaning given in clause </w:t>
      </w:r>
      <w:r w:rsidRPr="00397A27">
        <w:rPr>
          <w:bCs/>
        </w:rPr>
        <w:fldChar w:fldCharType="begin"/>
      </w:r>
      <w:r w:rsidRPr="00397A27">
        <w:rPr>
          <w:bCs/>
        </w:rPr>
        <w:instrText xml:space="preserve"> REF _Ref103281885 \w \h </w:instrText>
      </w:r>
      <w:r w:rsidR="00B5506F">
        <w:rPr>
          <w:bCs/>
        </w:rPr>
        <w:instrText xml:space="preserve"> \* MERGEFORMAT </w:instrText>
      </w:r>
      <w:r w:rsidRPr="00397A27">
        <w:rPr>
          <w:bCs/>
        </w:rPr>
      </w:r>
      <w:r w:rsidRPr="00397A27">
        <w:rPr>
          <w:bCs/>
        </w:rPr>
        <w:fldChar w:fldCharType="separate"/>
      </w:r>
      <w:r w:rsidR="002E5C6A">
        <w:rPr>
          <w:bCs/>
        </w:rPr>
        <w:t>5.3</w:t>
      </w:r>
      <w:r w:rsidRPr="00397A27">
        <w:rPr>
          <w:bCs/>
        </w:rPr>
        <w:fldChar w:fldCharType="end"/>
      </w:r>
      <w:r w:rsidRPr="00397A27">
        <w:rPr>
          <w:bCs/>
        </w:rPr>
        <w:t xml:space="preserve"> (“</w:t>
      </w:r>
      <w:r w:rsidRPr="00397A27">
        <w:rPr>
          <w:bCs/>
        </w:rPr>
        <w:fldChar w:fldCharType="begin"/>
      </w:r>
      <w:r w:rsidRPr="00397A27">
        <w:rPr>
          <w:bCs/>
        </w:rPr>
        <w:instrText xml:space="preserve">  REF _Ref103281885 \h </w:instrText>
      </w:r>
      <w:r w:rsidR="00B5506F">
        <w:rPr>
          <w:bCs/>
        </w:rPr>
        <w:instrText xml:space="preserve"> \* MERGEFORMAT </w:instrText>
      </w:r>
      <w:r w:rsidRPr="00397A27">
        <w:rPr>
          <w:bCs/>
        </w:rPr>
      </w:r>
      <w:r w:rsidRPr="00397A27">
        <w:rPr>
          <w:bCs/>
        </w:rPr>
        <w:fldChar w:fldCharType="separate"/>
      </w:r>
      <w:r w:rsidR="002E5C6A">
        <w:t>Milestone Cure Plan other than for Force Majeure Event</w:t>
      </w:r>
      <w:r w:rsidRPr="00397A27">
        <w:rPr>
          <w:bCs/>
        </w:rPr>
        <w:fldChar w:fldCharType="end"/>
      </w:r>
      <w:r w:rsidRPr="00397A27">
        <w:rPr>
          <w:bCs/>
        </w:rPr>
        <w:t>”).</w:t>
      </w:r>
    </w:p>
    <w:p w14:paraId="14C4F0FC" w14:textId="46A987DE" w:rsidR="00644590" w:rsidRPr="0076796C" w:rsidRDefault="00644590" w:rsidP="00B5506F">
      <w:pPr>
        <w:pStyle w:val="Heading7"/>
        <w:rPr>
          <w:highlight w:val="yellow"/>
        </w:rPr>
      </w:pPr>
      <w:r>
        <w:rPr>
          <w:b/>
          <w:bCs/>
        </w:rPr>
        <w:t xml:space="preserve">Draft PR Cure Plan </w:t>
      </w:r>
      <w:r>
        <w:t xml:space="preserve">has the meaning given in clause </w:t>
      </w:r>
      <w:r>
        <w:fldChar w:fldCharType="begin"/>
      </w:r>
      <w:r>
        <w:instrText xml:space="preserve"> REF _Ref170125550 \r \h </w:instrText>
      </w:r>
      <w:r>
        <w:fldChar w:fldCharType="separate"/>
      </w:r>
      <w:r w:rsidR="002E5C6A">
        <w:t>8.4</w:t>
      </w:r>
      <w:r>
        <w:fldChar w:fldCharType="end"/>
      </w:r>
      <w:r>
        <w:t xml:space="preserve"> (“</w:t>
      </w:r>
      <w:r>
        <w:fldChar w:fldCharType="begin"/>
      </w:r>
      <w:r>
        <w:instrText xml:space="preserve"> REF _Ref170125550 \h </w:instrText>
      </w:r>
      <w:r>
        <w:fldChar w:fldCharType="separate"/>
      </w:r>
      <w:r w:rsidR="002E5C6A">
        <w:t>Performance Requirement failures</w:t>
      </w:r>
      <w:r>
        <w:fldChar w:fldCharType="end"/>
      </w:r>
      <w:r>
        <w:t>”).</w:t>
      </w:r>
    </w:p>
    <w:p w14:paraId="794B159C" w14:textId="566C25EF" w:rsidR="00AC3112" w:rsidRPr="00397A27" w:rsidRDefault="00AC3112" w:rsidP="00B5506F">
      <w:pPr>
        <w:pStyle w:val="Heading7"/>
        <w:rPr>
          <w:highlight w:val="yellow"/>
        </w:rPr>
      </w:pPr>
      <w:r w:rsidRPr="06AC912F">
        <w:rPr>
          <w:b/>
          <w:bCs/>
        </w:rPr>
        <w:t xml:space="preserve">Draft SLC Cure Plan </w:t>
      </w:r>
      <w:r w:rsidRPr="06AC912F">
        <w:t xml:space="preserve">has the meaning given in clause </w:t>
      </w:r>
      <w:r>
        <w:rPr>
          <w:bCs/>
        </w:rPr>
        <w:fldChar w:fldCharType="begin"/>
      </w:r>
      <w:r>
        <w:rPr>
          <w:bCs/>
        </w:rPr>
        <w:instrText xml:space="preserve"> REF _Ref99722672 \w \h </w:instrText>
      </w:r>
      <w:r w:rsidR="00B5506F">
        <w:rPr>
          <w:bCs/>
        </w:rPr>
        <w:instrText xml:space="preserve"> \* MERGEFORMAT </w:instrText>
      </w:r>
      <w:r>
        <w:rPr>
          <w:bCs/>
        </w:rPr>
      </w:r>
      <w:r>
        <w:rPr>
          <w:bCs/>
        </w:rPr>
        <w:fldChar w:fldCharType="separate"/>
      </w:r>
      <w:r w:rsidR="002E5C6A">
        <w:rPr>
          <w:bCs/>
        </w:rPr>
        <w:t>11.4</w:t>
      </w:r>
      <w:r>
        <w:rPr>
          <w:bCs/>
        </w:rPr>
        <w:fldChar w:fldCharType="end"/>
      </w:r>
      <w:r>
        <w:rPr>
          <w:bCs/>
        </w:rPr>
        <w:t xml:space="preserve"> (“</w:t>
      </w:r>
      <w:r>
        <w:rPr>
          <w:bCs/>
        </w:rPr>
        <w:fldChar w:fldCharType="begin"/>
      </w:r>
      <w:r>
        <w:rPr>
          <w:bCs/>
        </w:rPr>
        <w:instrText xml:space="preserve">  REF _Ref99722672 \h </w:instrText>
      </w:r>
      <w:r w:rsidR="00B5506F">
        <w:rPr>
          <w:bCs/>
        </w:rPr>
        <w:instrText xml:space="preserve"> \* MERGEFORMAT </w:instrText>
      </w:r>
      <w:r>
        <w:rPr>
          <w:bCs/>
        </w:rPr>
      </w:r>
      <w:r>
        <w:rPr>
          <w:bCs/>
        </w:rPr>
        <w:fldChar w:fldCharType="separate"/>
      </w:r>
      <w:r w:rsidR="002E5C6A" w:rsidRPr="00847C21">
        <w:t>Cure</w:t>
      </w:r>
      <w:r>
        <w:rPr>
          <w:bCs/>
        </w:rPr>
        <w:fldChar w:fldCharType="end"/>
      </w:r>
      <w:r>
        <w:rPr>
          <w:bCs/>
        </w:rPr>
        <w:t>”).</w:t>
      </w:r>
    </w:p>
    <w:p w14:paraId="3B4867CC" w14:textId="2901E83F" w:rsidR="00C449A3" w:rsidRDefault="009C0D38" w:rsidP="00A15244">
      <w:pPr>
        <w:pStyle w:val="Heading7"/>
        <w:numPr>
          <w:ilvl w:val="6"/>
          <w:numId w:val="0"/>
        </w:numPr>
        <w:spacing w:after="0"/>
        <w:ind w:left="737"/>
      </w:pPr>
      <w:r>
        <w:t>[</w:t>
      </w:r>
      <w:r w:rsidR="00C449A3">
        <w:rPr>
          <w:b/>
          <w:bCs/>
        </w:rPr>
        <w:t xml:space="preserve">Dynamic </w:t>
      </w:r>
      <w:r w:rsidR="000F6908">
        <w:rPr>
          <w:b/>
          <w:bCs/>
        </w:rPr>
        <w:t>Export Constraint</w:t>
      </w:r>
      <w:r w:rsidR="00C449A3">
        <w:rPr>
          <w:b/>
          <w:bCs/>
        </w:rPr>
        <w:t xml:space="preserve"> </w:t>
      </w:r>
      <w:r w:rsidR="00C449A3">
        <w:t xml:space="preserve">means </w:t>
      </w:r>
      <w:r w:rsidR="000F6908">
        <w:t>a</w:t>
      </w:r>
      <w:r w:rsidR="00C449A3">
        <w:t xml:space="preserve"> constraint</w:t>
      </w:r>
      <w:r w:rsidR="006C46D4">
        <w:t xml:space="preserve"> beyond the Connection Point</w:t>
      </w:r>
      <w:r w:rsidR="000F6908">
        <w:t xml:space="preserve"> that prevents</w:t>
      </w:r>
      <w:r w:rsidR="00C449A3">
        <w:t xml:space="preserve"> the Associated Project </w:t>
      </w:r>
      <w:r w:rsidR="000F6908">
        <w:t>from</w:t>
      </w:r>
      <w:r w:rsidR="00C449A3">
        <w:t xml:space="preserve"> export</w:t>
      </w:r>
      <w:r w:rsidR="000F6908">
        <w:t>ing electricity</w:t>
      </w:r>
      <w:r w:rsidR="00C449A3">
        <w:t xml:space="preserve"> </w:t>
      </w:r>
      <w:r w:rsidR="000F6908">
        <w:t>to the Network</w:t>
      </w:r>
      <w:r w:rsidR="00641EBC">
        <w:t xml:space="preserve"> during a Trading Interval</w:t>
      </w:r>
      <w:r w:rsidR="000F6908">
        <w:t>, which would otherwise be lost if it were not imported to the Project.</w:t>
      </w:r>
      <w:r w:rsidR="00235744">
        <w:t xml:space="preserve"> These may result from, but are not limited to, real-time network conditions, such as network congestion, voltage issues and runbacks.</w:t>
      </w:r>
      <w:r>
        <w:t>]</w:t>
      </w:r>
      <w:r w:rsidR="00A15244" w:rsidRPr="00A15244">
        <w:t xml:space="preserve"> </w:t>
      </w:r>
      <w:r w:rsidR="00A15244">
        <w:br/>
      </w:r>
      <w:r w:rsidR="00A15244">
        <w:br/>
        <w:t>[</w:t>
      </w:r>
      <w:r w:rsidR="00A15244" w:rsidRPr="2BC382E4">
        <w:rPr>
          <w:b/>
          <w:bCs/>
          <w:i/>
          <w:iCs/>
          <w:highlight w:val="lightGray"/>
        </w:rPr>
        <w:t>Note: this definition is to be included for all Hybrid Projects.</w:t>
      </w:r>
      <w:r w:rsidR="00A15244">
        <w:t xml:space="preserve">] </w:t>
      </w:r>
    </w:p>
    <w:p w14:paraId="2EA74422" w14:textId="77777777" w:rsidR="00A15244" w:rsidRDefault="00A15244" w:rsidP="0076796C">
      <w:pPr>
        <w:pStyle w:val="Heading7"/>
        <w:numPr>
          <w:ilvl w:val="6"/>
          <w:numId w:val="0"/>
        </w:numPr>
        <w:spacing w:after="0"/>
        <w:ind w:left="737"/>
      </w:pPr>
    </w:p>
    <w:p w14:paraId="3416B4BE" w14:textId="2398E53C" w:rsidR="00A6236B" w:rsidRPr="009E68EA" w:rsidRDefault="00A6236B" w:rsidP="0058045D">
      <w:pPr>
        <w:pStyle w:val="Heading7"/>
        <w:numPr>
          <w:ilvl w:val="6"/>
          <w:numId w:val="0"/>
        </w:numPr>
        <w:tabs>
          <w:tab w:val="left" w:pos="6840"/>
        </w:tabs>
        <w:ind w:left="737"/>
        <w:rPr>
          <w:b/>
          <w:bCs/>
        </w:rPr>
      </w:pPr>
      <w:r w:rsidRPr="009E68EA">
        <w:rPr>
          <w:b/>
          <w:bCs/>
        </w:rPr>
        <w:t xml:space="preserve">Early Termination Amount </w:t>
      </w:r>
      <w:r w:rsidRPr="009E68EA">
        <w:t xml:space="preserve">means the amount calculated as set out in </w:t>
      </w:r>
      <w:r w:rsidRPr="00792B2E">
        <w:fldChar w:fldCharType="begin"/>
      </w:r>
      <w:r w:rsidRPr="00792B2E">
        <w:instrText xml:space="preserve"> REF _Ref108089453 \r \h  \* MERGEFORMAT </w:instrText>
      </w:r>
      <w:r w:rsidRPr="00792B2E">
        <w:fldChar w:fldCharType="separate"/>
      </w:r>
      <w:r w:rsidR="002E5C6A">
        <w:t>Schedule 5</w:t>
      </w:r>
      <w:r w:rsidRPr="00792B2E">
        <w:fldChar w:fldCharType="end"/>
      </w:r>
      <w:r w:rsidRPr="009E68EA">
        <w:t xml:space="preserve"> (“</w:t>
      </w:r>
      <w:r w:rsidRPr="00792B2E">
        <w:fldChar w:fldCharType="begin"/>
      </w:r>
      <w:r w:rsidRPr="00792B2E">
        <w:instrText xml:space="preserve"> REF _Ref108089454 \h  \* MERGEFORMAT </w:instrText>
      </w:r>
      <w:r w:rsidRPr="00792B2E">
        <w:fldChar w:fldCharType="separate"/>
      </w:r>
      <w:r w:rsidR="002E5C6A">
        <w:t xml:space="preserve">Fixed Termination </w:t>
      </w:r>
      <w:r w:rsidR="002E5C6A" w:rsidRPr="00983A30">
        <w:t>Amount and Early Termination</w:t>
      </w:r>
      <w:r w:rsidR="002E5C6A">
        <w:t xml:space="preserve"> Amount</w:t>
      </w:r>
      <w:r w:rsidRPr="00792B2E">
        <w:fldChar w:fldCharType="end"/>
      </w:r>
      <w:r w:rsidRPr="009E68EA">
        <w:t>”).</w:t>
      </w:r>
    </w:p>
    <w:p w14:paraId="6620ABFF" w14:textId="6FE33E85" w:rsidR="005852CA" w:rsidRDefault="009716E1" w:rsidP="005852CA">
      <w:pPr>
        <w:pStyle w:val="Heading7"/>
        <w:numPr>
          <w:ilvl w:val="0"/>
          <w:numId w:val="0"/>
        </w:numPr>
        <w:tabs>
          <w:tab w:val="left" w:pos="6840"/>
        </w:tabs>
        <w:ind w:left="737"/>
      </w:pPr>
      <w:r w:rsidRPr="009E68EA">
        <w:rPr>
          <w:b/>
          <w:bCs/>
        </w:rPr>
        <w:t>Election to Reinstate</w:t>
      </w:r>
      <w:r w:rsidRPr="009E68EA">
        <w:t xml:space="preserve"> has the meaning</w:t>
      </w:r>
      <w:r>
        <w:t xml:space="preserve"> given in clause </w:t>
      </w:r>
      <w:r>
        <w:fldChar w:fldCharType="begin"/>
      </w:r>
      <w:r>
        <w:instrText xml:space="preserve"> REF _Ref104279559 \w \h </w:instrText>
      </w:r>
      <w:r w:rsidR="006B6899">
        <w:instrText xml:space="preserve"> \* MERGEFORMAT </w:instrText>
      </w:r>
      <w:r>
        <w:fldChar w:fldCharType="separate"/>
      </w:r>
      <w:r w:rsidR="002E5C6A">
        <w:t>20.1</w:t>
      </w:r>
      <w:r>
        <w:fldChar w:fldCharType="end"/>
      </w:r>
      <w:r>
        <w:t xml:space="preserve"> (“</w:t>
      </w:r>
      <w:r>
        <w:fldChar w:fldCharType="begin"/>
      </w:r>
      <w:r>
        <w:instrText xml:space="preserve"> REF _Ref104279559 \h </w:instrText>
      </w:r>
      <w:r w:rsidR="006B6899">
        <w:instrText xml:space="preserve"> \* MERGEFORMAT </w:instrText>
      </w:r>
      <w:r>
        <w:fldChar w:fldCharType="separate"/>
      </w:r>
      <w:r w:rsidR="002E5C6A">
        <w:t>Major Casualty Event</w:t>
      </w:r>
      <w:r>
        <w:fldChar w:fldCharType="end"/>
      </w:r>
      <w:r>
        <w:t>”).</w:t>
      </w:r>
    </w:p>
    <w:p w14:paraId="0E7340B6" w14:textId="77777777" w:rsidR="000335E6" w:rsidRPr="000335E6" w:rsidRDefault="000335E6" w:rsidP="005852CA">
      <w:pPr>
        <w:pStyle w:val="Heading7"/>
        <w:numPr>
          <w:ilvl w:val="0"/>
          <w:numId w:val="0"/>
        </w:numPr>
        <w:tabs>
          <w:tab w:val="left" w:pos="6840"/>
        </w:tabs>
        <w:ind w:left="737"/>
      </w:pPr>
      <w:r>
        <w:rPr>
          <w:b/>
          <w:bCs/>
        </w:rPr>
        <w:t>Electricity Industry Act</w:t>
      </w:r>
      <w:r>
        <w:rPr>
          <w:b/>
          <w:bCs/>
          <w:i/>
          <w:iCs/>
        </w:rPr>
        <w:t xml:space="preserve"> </w:t>
      </w:r>
      <w:r>
        <w:t xml:space="preserve">means the </w:t>
      </w:r>
      <w:r>
        <w:rPr>
          <w:i/>
          <w:iCs/>
        </w:rPr>
        <w:t xml:space="preserve">Electricity Industry Act 2004 </w:t>
      </w:r>
      <w:r>
        <w:t>(WA).</w:t>
      </w:r>
    </w:p>
    <w:p w14:paraId="76864F3F" w14:textId="3775D136" w:rsidR="003F1C16" w:rsidRDefault="00F526FE" w:rsidP="00B5506F">
      <w:pPr>
        <w:pStyle w:val="Heading7"/>
        <w:rPr>
          <w:bCs/>
        </w:rPr>
      </w:pPr>
      <w:r w:rsidRPr="06AC912F">
        <w:rPr>
          <w:b/>
          <w:bCs/>
        </w:rPr>
        <w:t xml:space="preserve">Eligible </w:t>
      </w:r>
      <w:r w:rsidR="000B6F7D">
        <w:rPr>
          <w:b/>
          <w:bCs/>
        </w:rPr>
        <w:t>Bilateral</w:t>
      </w:r>
      <w:r w:rsidR="000B6F7D" w:rsidRPr="06AC912F">
        <w:rPr>
          <w:b/>
          <w:bCs/>
        </w:rPr>
        <w:t xml:space="preserve"> </w:t>
      </w:r>
      <w:r w:rsidRPr="06AC912F">
        <w:rPr>
          <w:b/>
          <w:bCs/>
        </w:rPr>
        <w:t xml:space="preserve">Contract </w:t>
      </w:r>
      <w:r w:rsidR="00BF6454" w:rsidRPr="06AC912F">
        <w:t>has the meaning given in clause</w:t>
      </w:r>
      <w:r w:rsidR="009327F8">
        <w:t xml:space="preserve"> </w:t>
      </w:r>
      <w:r w:rsidR="009327F8">
        <w:fldChar w:fldCharType="begin"/>
      </w:r>
      <w:r w:rsidR="009327F8">
        <w:instrText xml:space="preserve"> REF _Ref205750534 \r \h </w:instrText>
      </w:r>
      <w:r w:rsidR="009327F8">
        <w:fldChar w:fldCharType="separate"/>
      </w:r>
      <w:r w:rsidR="002E5C6A">
        <w:t>15.1(a)</w:t>
      </w:r>
      <w:r w:rsidR="009327F8">
        <w:fldChar w:fldCharType="end"/>
      </w:r>
      <w:r w:rsidR="00BF6454" w:rsidRPr="06AC912F">
        <w:t xml:space="preserve"> </w:t>
      </w:r>
      <w:r w:rsidR="00BF6454">
        <w:rPr>
          <w:bCs/>
        </w:rPr>
        <w:t>(“</w:t>
      </w:r>
      <w:r w:rsidR="00BF6454">
        <w:rPr>
          <w:bCs/>
        </w:rPr>
        <w:fldChar w:fldCharType="begin"/>
      </w:r>
      <w:r w:rsidR="00BF6454">
        <w:rPr>
          <w:bCs/>
        </w:rPr>
        <w:instrText xml:space="preserve">  REF _Ref166164634 \h </w:instrText>
      </w:r>
      <w:r w:rsidR="00BF6454">
        <w:rPr>
          <w:bCs/>
        </w:rPr>
      </w:r>
      <w:r w:rsidR="00BF6454">
        <w:rPr>
          <w:bCs/>
        </w:rPr>
        <w:fldChar w:fldCharType="separate"/>
      </w:r>
      <w:r w:rsidR="002E5C6A">
        <w:t>Eligibility requirements</w:t>
      </w:r>
      <w:r w:rsidR="00BF6454">
        <w:rPr>
          <w:bCs/>
        </w:rPr>
        <w:fldChar w:fldCharType="end"/>
      </w:r>
      <w:r w:rsidR="00BF6454">
        <w:rPr>
          <w:bCs/>
        </w:rPr>
        <w:t>”).</w:t>
      </w:r>
    </w:p>
    <w:p w14:paraId="199B0885" w14:textId="77777777" w:rsidR="005852CA" w:rsidRDefault="005852CA" w:rsidP="0058045D">
      <w:pPr>
        <w:pStyle w:val="Heading7"/>
        <w:numPr>
          <w:ilvl w:val="0"/>
          <w:numId w:val="0"/>
        </w:numPr>
        <w:ind w:left="737"/>
        <w:rPr>
          <w:bCs/>
        </w:rPr>
      </w:pPr>
      <w:r>
        <w:rPr>
          <w:b/>
        </w:rPr>
        <w:t>ENAC</w:t>
      </w:r>
      <w:r>
        <w:rPr>
          <w:bCs/>
        </w:rPr>
        <w:t xml:space="preserve"> means the </w:t>
      </w:r>
      <w:r>
        <w:rPr>
          <w:bCs/>
          <w:i/>
          <w:iCs/>
        </w:rPr>
        <w:t xml:space="preserve">Electricity Networks Access Code 2004 </w:t>
      </w:r>
      <w:r>
        <w:rPr>
          <w:bCs/>
        </w:rPr>
        <w:t>(WA)</w:t>
      </w:r>
      <w:r w:rsidR="000335E6">
        <w:rPr>
          <w:bCs/>
        </w:rPr>
        <w:t xml:space="preserve"> established under section 104 of the Electricity Industry Act.</w:t>
      </w:r>
    </w:p>
    <w:p w14:paraId="2DFE8447" w14:textId="04733E74" w:rsidR="0081103F" w:rsidRDefault="0081103F" w:rsidP="0081103F">
      <w:pPr>
        <w:pStyle w:val="Heading7"/>
        <w:numPr>
          <w:ilvl w:val="0"/>
          <w:numId w:val="0"/>
        </w:numPr>
        <w:spacing w:after="120"/>
        <w:ind w:left="737"/>
      </w:pPr>
      <w:r>
        <w:t>[</w:t>
      </w:r>
      <w:r w:rsidR="00E13C40">
        <w:rPr>
          <w:b/>
          <w:bCs/>
        </w:rPr>
        <w:t xml:space="preserve">EP Export Capacity </w:t>
      </w:r>
      <w:r w:rsidR="00E13C40">
        <w:t xml:space="preserve">has the meaning given in item </w:t>
      </w:r>
      <w:r>
        <w:fldChar w:fldCharType="begin"/>
      </w:r>
      <w:r>
        <w:instrText xml:space="preserve"> REF _Ref172454872 \n \h </w:instrText>
      </w:r>
      <w:r>
        <w:fldChar w:fldCharType="separate"/>
      </w:r>
      <w:r w:rsidR="002E5C6A">
        <w:t>9</w:t>
      </w:r>
      <w:r>
        <w:fldChar w:fldCharType="end"/>
      </w:r>
      <w:r w:rsidR="00E13C40">
        <w:t xml:space="preserve"> of the Reference Details.</w:t>
      </w:r>
      <w:r>
        <w:t>]</w:t>
      </w:r>
      <w:r w:rsidR="00E13C40">
        <w:t xml:space="preserve"> </w:t>
      </w:r>
    </w:p>
    <w:p w14:paraId="011286E0" w14:textId="099B8308" w:rsidR="00E13C40" w:rsidRDefault="00E13C40" w:rsidP="0058045D">
      <w:pPr>
        <w:pStyle w:val="Heading7"/>
        <w:numPr>
          <w:ilvl w:val="0"/>
          <w:numId w:val="0"/>
        </w:numPr>
        <w:ind w:left="737"/>
      </w:pPr>
      <w:r>
        <w:t>[</w:t>
      </w:r>
      <w:r w:rsidRPr="00646DC9">
        <w:rPr>
          <w:b/>
          <w:bCs/>
          <w:i/>
          <w:iCs/>
          <w:highlight w:val="lightGray"/>
        </w:rPr>
        <w:t xml:space="preserve">Note: definition to be included for </w:t>
      </w:r>
      <w:r>
        <w:rPr>
          <w:b/>
          <w:bCs/>
          <w:i/>
          <w:iCs/>
          <w:highlight w:val="lightGray"/>
        </w:rPr>
        <w:t xml:space="preserve">Staged </w:t>
      </w:r>
      <w:r w:rsidRPr="00646DC9">
        <w:rPr>
          <w:b/>
          <w:bCs/>
          <w:i/>
          <w:iCs/>
          <w:highlight w:val="lightGray"/>
        </w:rPr>
        <w:t>Projects only.</w:t>
      </w:r>
      <w:r>
        <w:t>]</w:t>
      </w:r>
    </w:p>
    <w:p w14:paraId="5D3DDBAE" w14:textId="406C39D7" w:rsidR="00BC3493" w:rsidRDefault="00BC3493" w:rsidP="008F660B">
      <w:pPr>
        <w:pStyle w:val="Heading7"/>
        <w:numPr>
          <w:ilvl w:val="6"/>
          <w:numId w:val="61"/>
        </w:numPr>
      </w:pPr>
      <w:r>
        <w:rPr>
          <w:b/>
          <w:bCs/>
        </w:rPr>
        <w:t xml:space="preserve">[EP Import Capacity </w:t>
      </w:r>
      <w:r>
        <w:t xml:space="preserve">has the meaning given in </w:t>
      </w:r>
      <w:r w:rsidRPr="000B5694">
        <w:t>item</w:t>
      </w:r>
      <w:r w:rsidR="000F2DA2" w:rsidRPr="008F660B">
        <w:t xml:space="preserve"> </w:t>
      </w:r>
      <w:r w:rsidR="000F2DA2" w:rsidRPr="000B5694">
        <w:fldChar w:fldCharType="begin"/>
      </w:r>
      <w:r w:rsidR="000F2DA2" w:rsidRPr="000B5694">
        <w:instrText xml:space="preserve"> REF _Ref172455240 \r \h </w:instrText>
      </w:r>
      <w:r w:rsidR="000F2DA2" w:rsidRPr="008F660B">
        <w:instrText xml:space="preserve"> \* MERGEFORMAT </w:instrText>
      </w:r>
      <w:r w:rsidR="000F2DA2" w:rsidRPr="000B5694">
        <w:fldChar w:fldCharType="separate"/>
      </w:r>
      <w:r w:rsidR="002E5C6A">
        <w:t>20</w:t>
      </w:r>
      <w:r w:rsidR="000F2DA2" w:rsidRPr="000B5694">
        <w:fldChar w:fldCharType="end"/>
      </w:r>
      <w:r w:rsidR="000F2DA2">
        <w:t>.</w:t>
      </w:r>
    </w:p>
    <w:p w14:paraId="1D4695B0" w14:textId="327F6B23" w:rsidR="00BC3493" w:rsidRDefault="00BC3493" w:rsidP="008F660B">
      <w:pPr>
        <w:pStyle w:val="Heading7"/>
        <w:numPr>
          <w:ilvl w:val="6"/>
          <w:numId w:val="61"/>
        </w:numPr>
      </w:pPr>
      <w:r>
        <w:t>[</w:t>
      </w:r>
      <w:r>
        <w:rPr>
          <w:b/>
          <w:i/>
          <w:highlight w:val="lightGray"/>
        </w:rPr>
        <w:t>Note: definition to be included for Staged Projects only.</w:t>
      </w:r>
      <w:r>
        <w:rPr>
          <w:highlight w:val="lightGray"/>
        </w:rPr>
        <w:t>]</w:t>
      </w:r>
    </w:p>
    <w:p w14:paraId="6CDD2F23" w14:textId="2BC8333C" w:rsidR="0081103F" w:rsidRDefault="0081103F" w:rsidP="0081103F">
      <w:pPr>
        <w:pStyle w:val="Heading7"/>
        <w:numPr>
          <w:ilvl w:val="0"/>
          <w:numId w:val="0"/>
        </w:numPr>
        <w:spacing w:after="120"/>
        <w:ind w:left="737"/>
      </w:pPr>
      <w:r>
        <w:t>[</w:t>
      </w:r>
      <w:r w:rsidR="000E2BF1">
        <w:rPr>
          <w:b/>
          <w:bCs/>
        </w:rPr>
        <w:t xml:space="preserve">EP Minimum Hours </w:t>
      </w:r>
      <w:r w:rsidR="000E2BF1">
        <w:t xml:space="preserve">has the meaning given in item </w:t>
      </w:r>
      <w:r>
        <w:fldChar w:fldCharType="begin"/>
      </w:r>
      <w:r>
        <w:instrText xml:space="preserve"> REF _Ref203744629 \n \h </w:instrText>
      </w:r>
      <w:r>
        <w:fldChar w:fldCharType="separate"/>
      </w:r>
      <w:r w:rsidR="002E5C6A">
        <w:t>17</w:t>
      </w:r>
      <w:r>
        <w:fldChar w:fldCharType="end"/>
      </w:r>
      <w:r w:rsidR="000E2BF1">
        <w:t xml:space="preserve"> of the Reference Details.</w:t>
      </w:r>
      <w:r>
        <w:t>]</w:t>
      </w:r>
      <w:r w:rsidR="000E2BF1">
        <w:t xml:space="preserve"> </w:t>
      </w:r>
    </w:p>
    <w:p w14:paraId="55E3564F" w14:textId="3BC0C1F2" w:rsidR="000E2BF1" w:rsidRDefault="000E2BF1" w:rsidP="0058045D">
      <w:pPr>
        <w:pStyle w:val="Heading7"/>
        <w:numPr>
          <w:ilvl w:val="0"/>
          <w:numId w:val="0"/>
        </w:numPr>
        <w:ind w:left="737"/>
      </w:pPr>
      <w:r>
        <w:t>[</w:t>
      </w:r>
      <w:r w:rsidRPr="00646DC9">
        <w:rPr>
          <w:b/>
          <w:bCs/>
          <w:i/>
          <w:iCs/>
          <w:highlight w:val="lightGray"/>
        </w:rPr>
        <w:t xml:space="preserve">Note: definition to be included for </w:t>
      </w:r>
      <w:r>
        <w:rPr>
          <w:b/>
          <w:bCs/>
          <w:i/>
          <w:iCs/>
          <w:highlight w:val="lightGray"/>
        </w:rPr>
        <w:t xml:space="preserve">Staged </w:t>
      </w:r>
      <w:r w:rsidRPr="00646DC9">
        <w:rPr>
          <w:b/>
          <w:bCs/>
          <w:i/>
          <w:iCs/>
          <w:highlight w:val="lightGray"/>
        </w:rPr>
        <w:t>Projects only.</w:t>
      </w:r>
      <w:r>
        <w:t>]</w:t>
      </w:r>
    </w:p>
    <w:p w14:paraId="492C1465" w14:textId="6AC145CA" w:rsidR="0015041E" w:rsidRPr="0081103F" w:rsidRDefault="0015041E" w:rsidP="0058045D">
      <w:pPr>
        <w:pStyle w:val="Heading7"/>
        <w:numPr>
          <w:ilvl w:val="0"/>
          <w:numId w:val="0"/>
        </w:numPr>
        <w:ind w:left="737"/>
      </w:pPr>
      <w:r>
        <w:t>[</w:t>
      </w:r>
      <w:r w:rsidRPr="008F660B">
        <w:rPr>
          <w:b/>
          <w:bCs/>
        </w:rPr>
        <w:t>EP Minimum State of Charge</w:t>
      </w:r>
      <w:r>
        <w:t xml:space="preserve"> has the meaning given in item </w:t>
      </w:r>
      <w:r w:rsidR="00243094">
        <w:fldChar w:fldCharType="begin"/>
      </w:r>
      <w:r w:rsidR="00243094">
        <w:instrText xml:space="preserve"> REF _Ref206685267 \r \h </w:instrText>
      </w:r>
      <w:r w:rsidR="00243094">
        <w:fldChar w:fldCharType="separate"/>
      </w:r>
      <w:r w:rsidR="002E5C6A">
        <w:t>18</w:t>
      </w:r>
      <w:r w:rsidR="00243094">
        <w:fldChar w:fldCharType="end"/>
      </w:r>
      <w:r>
        <w:t xml:space="preserve"> of the Reference Details.]</w:t>
      </w:r>
    </w:p>
    <w:p w14:paraId="5D54B95D" w14:textId="614B3B5D" w:rsidR="0081103F" w:rsidRDefault="008D6B37" w:rsidP="0081103F">
      <w:pPr>
        <w:pStyle w:val="Heading7"/>
        <w:numPr>
          <w:ilvl w:val="0"/>
          <w:numId w:val="0"/>
        </w:numPr>
        <w:spacing w:after="120"/>
        <w:ind w:left="737"/>
      </w:pPr>
      <w:r w:rsidRPr="0081103F">
        <w:t>[</w:t>
      </w:r>
      <w:r w:rsidR="00E13C40">
        <w:rPr>
          <w:b/>
          <w:bCs/>
        </w:rPr>
        <w:t>EP Storage Capacity</w:t>
      </w:r>
      <w:r w:rsidR="00E13C40" w:rsidRPr="00E13C40">
        <w:t xml:space="preserve"> </w:t>
      </w:r>
      <w:r w:rsidR="00E13C40">
        <w:t xml:space="preserve">has the meaning given in item </w:t>
      </w:r>
      <w:r w:rsidR="0081103F">
        <w:fldChar w:fldCharType="begin"/>
      </w:r>
      <w:r w:rsidR="0081103F">
        <w:instrText xml:space="preserve"> REF _Ref203745366 \n \h </w:instrText>
      </w:r>
      <w:r w:rsidR="0081103F">
        <w:fldChar w:fldCharType="separate"/>
      </w:r>
      <w:r w:rsidR="002E5C6A">
        <w:t>10</w:t>
      </w:r>
      <w:r w:rsidR="0081103F">
        <w:fldChar w:fldCharType="end"/>
      </w:r>
      <w:r w:rsidR="0081103F">
        <w:t xml:space="preserve"> </w:t>
      </w:r>
      <w:r w:rsidR="00E13C40">
        <w:t>of the Reference Details.</w:t>
      </w:r>
      <w:r>
        <w:t>]</w:t>
      </w:r>
      <w:r w:rsidR="00E13C40">
        <w:t xml:space="preserve"> </w:t>
      </w:r>
    </w:p>
    <w:p w14:paraId="3F2E8098" w14:textId="181E4BF5" w:rsidR="00E13C40" w:rsidRDefault="00E13C40" w:rsidP="0058045D">
      <w:pPr>
        <w:pStyle w:val="Heading7"/>
        <w:numPr>
          <w:ilvl w:val="0"/>
          <w:numId w:val="0"/>
        </w:numPr>
        <w:ind w:left="737"/>
      </w:pPr>
      <w:r>
        <w:t>[</w:t>
      </w:r>
      <w:r w:rsidRPr="00646DC9">
        <w:rPr>
          <w:b/>
          <w:bCs/>
          <w:i/>
          <w:iCs/>
          <w:highlight w:val="lightGray"/>
        </w:rPr>
        <w:t xml:space="preserve">Note: definition to be included for </w:t>
      </w:r>
      <w:r>
        <w:rPr>
          <w:b/>
          <w:bCs/>
          <w:i/>
          <w:iCs/>
          <w:highlight w:val="lightGray"/>
        </w:rPr>
        <w:t xml:space="preserve">Staged </w:t>
      </w:r>
      <w:r w:rsidRPr="00646DC9">
        <w:rPr>
          <w:b/>
          <w:bCs/>
          <w:i/>
          <w:iCs/>
          <w:highlight w:val="lightGray"/>
        </w:rPr>
        <w:t>Projects only.</w:t>
      </w:r>
      <w:r>
        <w:t>]</w:t>
      </w:r>
    </w:p>
    <w:p w14:paraId="553C860A" w14:textId="4F61C0F7" w:rsidR="00D77B1D" w:rsidRDefault="00D77B1D" w:rsidP="0058045D">
      <w:pPr>
        <w:pStyle w:val="Heading7"/>
        <w:numPr>
          <w:ilvl w:val="0"/>
          <w:numId w:val="0"/>
        </w:numPr>
        <w:ind w:left="737"/>
      </w:pPr>
      <w:r w:rsidRPr="007F483A">
        <w:rPr>
          <w:b/>
        </w:rPr>
        <w:t xml:space="preserve">Equivalent Availability </w:t>
      </w:r>
      <w:r w:rsidRPr="00E42BED">
        <w:rPr>
          <w:b/>
        </w:rPr>
        <w:t>Factor</w:t>
      </w:r>
      <w:r w:rsidRPr="00E42BED">
        <w:rPr>
          <w:bCs/>
        </w:rPr>
        <w:t xml:space="preserve"> means the amount determined in accordance with </w:t>
      </w:r>
      <w:r w:rsidR="00670579">
        <w:rPr>
          <w:bCs/>
        </w:rPr>
        <w:t xml:space="preserve">item </w:t>
      </w:r>
      <w:r w:rsidR="00670579">
        <w:rPr>
          <w:bCs/>
        </w:rPr>
        <w:fldChar w:fldCharType="begin"/>
      </w:r>
      <w:r w:rsidR="00670579">
        <w:rPr>
          <w:bCs/>
        </w:rPr>
        <w:instrText xml:space="preserve"> REF _Ref206083774 \n \h </w:instrText>
      </w:r>
      <w:r w:rsidR="00670579">
        <w:rPr>
          <w:bCs/>
        </w:rPr>
      </w:r>
      <w:r w:rsidR="00670579">
        <w:rPr>
          <w:bCs/>
        </w:rPr>
        <w:fldChar w:fldCharType="separate"/>
      </w:r>
      <w:r w:rsidR="002E5C6A">
        <w:rPr>
          <w:bCs/>
        </w:rPr>
        <w:t>4.3</w:t>
      </w:r>
      <w:r w:rsidR="00670579">
        <w:rPr>
          <w:bCs/>
        </w:rPr>
        <w:fldChar w:fldCharType="end"/>
      </w:r>
      <w:r w:rsidRPr="008E4A1B">
        <w:t xml:space="preserve"> of </w:t>
      </w:r>
      <w:r w:rsidR="00A813EB">
        <w:fldChar w:fldCharType="begin"/>
      </w:r>
      <w:r w:rsidR="00A813EB">
        <w:instrText xml:space="preserve"> REF _Ref103257737 \w \h </w:instrText>
      </w:r>
      <w:r w:rsidR="00A813EB">
        <w:fldChar w:fldCharType="separate"/>
      </w:r>
      <w:r w:rsidR="002E5C6A">
        <w:t>Schedule 1</w:t>
      </w:r>
      <w:r w:rsidR="00A813EB">
        <w:fldChar w:fldCharType="end"/>
      </w:r>
      <w:r w:rsidR="00A813EB">
        <w:t xml:space="preserve"> (“</w:t>
      </w:r>
      <w:r w:rsidR="00A813EB">
        <w:fldChar w:fldCharType="begin"/>
      </w:r>
      <w:r w:rsidR="00A813EB">
        <w:instrText xml:space="preserve">  REF _Ref103257737 \h </w:instrText>
      </w:r>
      <w:r w:rsidR="00A813EB">
        <w:fldChar w:fldCharType="separate"/>
      </w:r>
      <w:r w:rsidR="002E5C6A">
        <w:t>Support terms</w:t>
      </w:r>
      <w:r w:rsidR="00A813EB">
        <w:fldChar w:fldCharType="end"/>
      </w:r>
      <w:r w:rsidR="00A813EB">
        <w:t>”)</w:t>
      </w:r>
      <w:r w:rsidRPr="00E42BED">
        <w:t>.</w:t>
      </w:r>
      <w:r w:rsidRPr="00DF002E">
        <w:t xml:space="preserve"> </w:t>
      </w:r>
    </w:p>
    <w:p w14:paraId="0DEF077A" w14:textId="77777777" w:rsidR="00D64014" w:rsidRDefault="00D64014" w:rsidP="0058045D">
      <w:pPr>
        <w:pStyle w:val="Heading7"/>
        <w:numPr>
          <w:ilvl w:val="0"/>
          <w:numId w:val="0"/>
        </w:numPr>
        <w:ind w:left="737"/>
        <w:rPr>
          <w:bCs/>
        </w:rPr>
      </w:pPr>
      <w:r w:rsidRPr="008E4A1B">
        <w:rPr>
          <w:b/>
        </w:rPr>
        <w:t>Equivalent Availability Threshold</w:t>
      </w:r>
      <w:r w:rsidRPr="00D64014">
        <w:rPr>
          <w:bCs/>
        </w:rPr>
        <w:t xml:space="preserve"> means 90%.</w:t>
      </w:r>
    </w:p>
    <w:p w14:paraId="51F85101" w14:textId="39A2A8C1" w:rsidR="00BC3493" w:rsidRPr="00BC3493" w:rsidRDefault="00BC3493" w:rsidP="00BC3493">
      <w:pPr>
        <w:pStyle w:val="Heading7"/>
        <w:numPr>
          <w:ilvl w:val="0"/>
          <w:numId w:val="0"/>
        </w:numPr>
        <w:ind w:left="737"/>
      </w:pPr>
      <w:r w:rsidRPr="004A1236">
        <w:rPr>
          <w:b/>
          <w:bCs/>
        </w:rPr>
        <w:t xml:space="preserve">ESM Rules </w:t>
      </w:r>
      <w:r w:rsidRPr="0081103F">
        <w:t xml:space="preserve">means the Electricity System and Market Rules made under the </w:t>
      </w:r>
      <w:r w:rsidRPr="0081103F">
        <w:rPr>
          <w:i/>
          <w:iCs/>
        </w:rPr>
        <w:t>Electricity Industry (Wholesale Electricity Market) Regulations 2004</w:t>
      </w:r>
      <w:r w:rsidRPr="0081103F">
        <w:t xml:space="preserve"> (WA) in accordance with section 123 of the Electricity Industry Act.</w:t>
      </w:r>
    </w:p>
    <w:p w14:paraId="25FE7EA1" w14:textId="12803B3D" w:rsidR="003F705C" w:rsidRDefault="003F705C" w:rsidP="0058045D">
      <w:pPr>
        <w:pStyle w:val="Heading7"/>
        <w:numPr>
          <w:ilvl w:val="0"/>
          <w:numId w:val="0"/>
        </w:numPr>
        <w:ind w:left="737"/>
        <w:rPr>
          <w:bCs/>
        </w:rPr>
      </w:pPr>
      <w:r>
        <w:rPr>
          <w:b/>
        </w:rPr>
        <w:t>Essential System Service</w:t>
      </w:r>
      <w:r>
        <w:rPr>
          <w:bCs/>
        </w:rPr>
        <w:t xml:space="preserve"> </w:t>
      </w:r>
      <w:r w:rsidR="00C37C31">
        <w:rPr>
          <w:bCs/>
        </w:rPr>
        <w:t xml:space="preserve">has the meaning given in the </w:t>
      </w:r>
      <w:r w:rsidR="004A1236">
        <w:rPr>
          <w:bCs/>
        </w:rPr>
        <w:t>ESM Rules</w:t>
      </w:r>
      <w:r w:rsidR="00C37C31">
        <w:rPr>
          <w:bCs/>
        </w:rPr>
        <w:t>.</w:t>
      </w:r>
    </w:p>
    <w:p w14:paraId="2F4CBFE1" w14:textId="586BFFB9" w:rsidR="005808C0" w:rsidRDefault="004E523B" w:rsidP="0058045D">
      <w:pPr>
        <w:pStyle w:val="Heading7"/>
        <w:numPr>
          <w:ilvl w:val="0"/>
          <w:numId w:val="0"/>
        </w:numPr>
        <w:ind w:left="737"/>
      </w:pPr>
      <w:r w:rsidRPr="00131021">
        <w:rPr>
          <w:b/>
          <w:bCs/>
        </w:rPr>
        <w:t>ETAC</w:t>
      </w:r>
      <w:r>
        <w:t xml:space="preserve"> means the “Electricity Transfer Access Contract” entered into</w:t>
      </w:r>
      <w:r w:rsidR="009959A8">
        <w:t>,</w:t>
      </w:r>
      <w:r>
        <w:t xml:space="preserve"> or to be entered into</w:t>
      </w:r>
      <w:r w:rsidR="009959A8">
        <w:t>,</w:t>
      </w:r>
      <w:r>
        <w:t xml:space="preserve"> between Project Operator and Western Power which allows the </w:t>
      </w:r>
      <w:r w:rsidR="00BB3F9B" w:rsidRPr="00666ED4">
        <w:t xml:space="preserve">Project </w:t>
      </w:r>
      <w:r w:rsidRPr="00666ED4">
        <w:t xml:space="preserve">to connect to, </w:t>
      </w:r>
      <w:r w:rsidR="00BB3F9B" w:rsidRPr="00666ED4">
        <w:t xml:space="preserve">import electricity from and export electricity </w:t>
      </w:r>
      <w:r w:rsidRPr="00666ED4">
        <w:t>to, the SWIS.</w:t>
      </w:r>
    </w:p>
    <w:p w14:paraId="46A1E779" w14:textId="236246A2" w:rsidR="00BC3493" w:rsidRDefault="00BC3493" w:rsidP="00BC3493">
      <w:pPr>
        <w:pStyle w:val="Heading7"/>
        <w:numPr>
          <w:ilvl w:val="0"/>
          <w:numId w:val="0"/>
        </w:numPr>
        <w:spacing w:after="120"/>
        <w:ind w:left="737"/>
      </w:pPr>
      <w:r>
        <w:t>[</w:t>
      </w:r>
      <w:r>
        <w:rPr>
          <w:b/>
          <w:bCs/>
        </w:rPr>
        <w:t>Existing Project</w:t>
      </w:r>
      <w:r w:rsidRPr="00E13C40">
        <w:t xml:space="preserve"> </w:t>
      </w:r>
      <w:r>
        <w:t xml:space="preserve">has the meaning given in item </w:t>
      </w:r>
      <w:r w:rsidR="00977985">
        <w:fldChar w:fldCharType="begin"/>
      </w:r>
      <w:r w:rsidR="00977985">
        <w:instrText xml:space="preserve"> REF _Ref206093284 \n \h </w:instrText>
      </w:r>
      <w:r w:rsidR="00977985">
        <w:fldChar w:fldCharType="separate"/>
      </w:r>
      <w:r w:rsidR="002E5C6A">
        <w:t>12</w:t>
      </w:r>
      <w:r w:rsidR="00977985">
        <w:fldChar w:fldCharType="end"/>
      </w:r>
      <w:r>
        <w:t xml:space="preserve"> of the Reference Details.] </w:t>
      </w:r>
    </w:p>
    <w:p w14:paraId="4C39E54C" w14:textId="77777777" w:rsidR="00BC3493" w:rsidRDefault="00BC3493" w:rsidP="00BC3493">
      <w:pPr>
        <w:pStyle w:val="Heading7"/>
        <w:numPr>
          <w:ilvl w:val="0"/>
          <w:numId w:val="0"/>
        </w:numPr>
        <w:ind w:left="737"/>
      </w:pPr>
      <w:r>
        <w:t>[</w:t>
      </w:r>
      <w:r w:rsidRPr="00646DC9">
        <w:rPr>
          <w:b/>
          <w:bCs/>
          <w:i/>
          <w:iCs/>
          <w:highlight w:val="lightGray"/>
        </w:rPr>
        <w:t xml:space="preserve">Note: definition to be included for </w:t>
      </w:r>
      <w:r>
        <w:rPr>
          <w:b/>
          <w:bCs/>
          <w:i/>
          <w:iCs/>
          <w:highlight w:val="lightGray"/>
        </w:rPr>
        <w:t xml:space="preserve">Staged </w:t>
      </w:r>
      <w:r w:rsidRPr="00646DC9">
        <w:rPr>
          <w:b/>
          <w:bCs/>
          <w:i/>
          <w:iCs/>
          <w:highlight w:val="lightGray"/>
        </w:rPr>
        <w:t>Projects only.</w:t>
      </w:r>
      <w:r>
        <w:t>]</w:t>
      </w:r>
    </w:p>
    <w:p w14:paraId="399C989F" w14:textId="073E5061" w:rsidR="00BC3493" w:rsidRDefault="00BC3493" w:rsidP="008F660B">
      <w:pPr>
        <w:pStyle w:val="Heading7"/>
        <w:numPr>
          <w:ilvl w:val="6"/>
          <w:numId w:val="61"/>
        </w:numPr>
      </w:pPr>
      <w:r>
        <w:rPr>
          <w:b/>
          <w:bCs/>
        </w:rPr>
        <w:t xml:space="preserve">[Existing Project Commencement Date </w:t>
      </w:r>
      <w:r>
        <w:t>has the meaning given in</w:t>
      </w:r>
      <w:r w:rsidR="004B3BDF">
        <w:t xml:space="preserve"> </w:t>
      </w:r>
      <w:r w:rsidR="004B3BDF" w:rsidRPr="000B5694">
        <w:t>item</w:t>
      </w:r>
      <w:r w:rsidR="004953EF">
        <w:t xml:space="preserve"> </w:t>
      </w:r>
      <w:r w:rsidR="004953EF">
        <w:fldChar w:fldCharType="begin"/>
      </w:r>
      <w:r w:rsidR="004953EF">
        <w:instrText xml:space="preserve"> REF _Ref206180891 \r \h </w:instrText>
      </w:r>
      <w:r w:rsidR="004953EF">
        <w:fldChar w:fldCharType="separate"/>
      </w:r>
      <w:r w:rsidR="002E5C6A">
        <w:t>13</w:t>
      </w:r>
      <w:r w:rsidR="004953EF">
        <w:fldChar w:fldCharType="end"/>
      </w:r>
      <w:r w:rsidRPr="000B5694">
        <w:t xml:space="preserve"> </w:t>
      </w:r>
      <w:r>
        <w:t>of the Reference Details.] [</w:t>
      </w:r>
      <w:r>
        <w:rPr>
          <w:b/>
          <w:i/>
          <w:highlight w:val="lightGray"/>
        </w:rPr>
        <w:t>Note: definition to be included for Staged Projects only.</w:t>
      </w:r>
      <w:r>
        <w:t>]</w:t>
      </w:r>
    </w:p>
    <w:p w14:paraId="00F84D12" w14:textId="5D6DF71F" w:rsidR="003F4015" w:rsidRPr="00666ED4" w:rsidRDefault="003F4015" w:rsidP="00D6422A">
      <w:pPr>
        <w:pStyle w:val="Heading7"/>
        <w:numPr>
          <w:ilvl w:val="6"/>
          <w:numId w:val="0"/>
        </w:numPr>
        <w:spacing w:line="259" w:lineRule="auto"/>
        <w:ind w:left="737"/>
      </w:pPr>
      <w:r w:rsidRPr="00666ED4">
        <w:rPr>
          <w:b/>
          <w:bCs/>
        </w:rPr>
        <w:t xml:space="preserve">Export Capacity </w:t>
      </w:r>
      <w:r w:rsidRPr="00666ED4">
        <w:t xml:space="preserve">has the meaning given in item </w:t>
      </w:r>
      <w:r w:rsidRPr="00666ED4">
        <w:fldChar w:fldCharType="begin"/>
      </w:r>
      <w:r w:rsidRPr="00666ED4">
        <w:instrText xml:space="preserve"> REF _Ref172454687 \r \h </w:instrText>
      </w:r>
      <w:r w:rsidR="00D6422A" w:rsidRPr="00666ED4">
        <w:instrText xml:space="preserve"> \* MERGEFORMAT </w:instrText>
      </w:r>
      <w:r w:rsidRPr="00666ED4">
        <w:fldChar w:fldCharType="separate"/>
      </w:r>
      <w:r w:rsidR="002E5C6A">
        <w:t>3</w:t>
      </w:r>
      <w:r w:rsidRPr="00666ED4">
        <w:fldChar w:fldCharType="end"/>
      </w:r>
      <w:r w:rsidRPr="00666ED4">
        <w:t xml:space="preserve"> of the Reference Details. </w:t>
      </w:r>
    </w:p>
    <w:p w14:paraId="301B177C" w14:textId="4EE5A134" w:rsidR="00572750" w:rsidRPr="00666ED4" w:rsidRDefault="2BC382E4" w:rsidP="00D6422A">
      <w:pPr>
        <w:pStyle w:val="Heading7"/>
        <w:numPr>
          <w:ilvl w:val="6"/>
          <w:numId w:val="0"/>
        </w:numPr>
        <w:spacing w:line="259" w:lineRule="auto"/>
        <w:ind w:left="737"/>
        <w:rPr>
          <w:b/>
          <w:bCs/>
        </w:rPr>
      </w:pPr>
      <w:r w:rsidRPr="00666ED4">
        <w:rPr>
          <w:b/>
          <w:bCs/>
        </w:rPr>
        <w:t xml:space="preserve">FC Cure Period </w:t>
      </w:r>
      <w:r w:rsidRPr="00666ED4">
        <w:t>has the meaning given in clause</w:t>
      </w:r>
      <w:r w:rsidR="009327F8">
        <w:t xml:space="preserve"> </w:t>
      </w:r>
      <w:r w:rsidR="009327F8">
        <w:fldChar w:fldCharType="begin"/>
      </w:r>
      <w:r w:rsidR="009327F8">
        <w:instrText xml:space="preserve"> REF _Ref165024555 \r \h </w:instrText>
      </w:r>
      <w:r w:rsidR="009327F8">
        <w:fldChar w:fldCharType="separate"/>
      </w:r>
      <w:r w:rsidR="002E5C6A">
        <w:t>5.4(d)</w:t>
      </w:r>
      <w:r w:rsidR="009327F8">
        <w:fldChar w:fldCharType="end"/>
      </w:r>
      <w:r w:rsidRPr="00666ED4">
        <w:t>.</w:t>
      </w:r>
    </w:p>
    <w:p w14:paraId="61F50FD0" w14:textId="19378AFB" w:rsidR="003F4015" w:rsidRDefault="003F4015" w:rsidP="00D6422A">
      <w:pPr>
        <w:pStyle w:val="Heading7"/>
        <w:numPr>
          <w:ilvl w:val="6"/>
          <w:numId w:val="0"/>
        </w:numPr>
        <w:spacing w:line="259" w:lineRule="auto"/>
        <w:ind w:left="737"/>
      </w:pPr>
      <w:r w:rsidRPr="00666ED4">
        <w:rPr>
          <w:b/>
          <w:bCs/>
        </w:rPr>
        <w:t xml:space="preserve">FC Sunset Date </w:t>
      </w:r>
      <w:r w:rsidRPr="00666ED4">
        <w:t xml:space="preserve">has the meaning given in item </w:t>
      </w:r>
      <w:r w:rsidRPr="00666ED4">
        <w:fldChar w:fldCharType="begin"/>
      </w:r>
      <w:r w:rsidRPr="00666ED4">
        <w:instrText xml:space="preserve"> REF _Ref159415173 \r \h </w:instrText>
      </w:r>
      <w:r w:rsidR="00D6422A" w:rsidRPr="00666ED4">
        <w:instrText xml:space="preserve"> \* MERGEFORMAT </w:instrText>
      </w:r>
      <w:r w:rsidRPr="00666ED4">
        <w:fldChar w:fldCharType="separate"/>
      </w:r>
      <w:r w:rsidR="002E5C6A">
        <w:t>22</w:t>
      </w:r>
      <w:r w:rsidRPr="00666ED4">
        <w:fldChar w:fldCharType="end"/>
      </w:r>
      <w:r w:rsidRPr="00666ED4">
        <w:t xml:space="preserve"> of the Reference Details.</w:t>
      </w:r>
      <w:r>
        <w:t xml:space="preserve"> </w:t>
      </w:r>
    </w:p>
    <w:p w14:paraId="11CF96BC" w14:textId="77777777" w:rsidR="00BC3493" w:rsidRDefault="00BC3493" w:rsidP="008F660B">
      <w:pPr>
        <w:pStyle w:val="Heading7"/>
        <w:numPr>
          <w:ilvl w:val="6"/>
          <w:numId w:val="61"/>
        </w:numPr>
      </w:pPr>
      <w:r>
        <w:rPr>
          <w:b/>
          <w:bCs/>
        </w:rPr>
        <w:t>Final Reference Trading Price</w:t>
      </w:r>
      <w:r>
        <w:t xml:space="preserve"> has the meaning given in the ESM Rules. </w:t>
      </w:r>
    </w:p>
    <w:p w14:paraId="63D658AD" w14:textId="3B14C92D" w:rsidR="00BC3493" w:rsidRDefault="00BC3493" w:rsidP="008F660B">
      <w:pPr>
        <w:pStyle w:val="Heading7"/>
        <w:numPr>
          <w:ilvl w:val="6"/>
          <w:numId w:val="61"/>
        </w:numPr>
      </w:pPr>
      <w:r>
        <w:rPr>
          <w:b/>
          <w:bCs/>
        </w:rPr>
        <w:t xml:space="preserve">Final Support Commencement Date </w:t>
      </w:r>
      <w:r>
        <w:t xml:space="preserve">has the meaning given in </w:t>
      </w:r>
      <w:r w:rsidRPr="000B5694">
        <w:t xml:space="preserve">item </w:t>
      </w:r>
      <w:r w:rsidR="00382CE0">
        <w:fldChar w:fldCharType="begin"/>
      </w:r>
      <w:r w:rsidR="00382CE0">
        <w:instrText xml:space="preserve"> REF _Ref172454921 \r \h </w:instrText>
      </w:r>
      <w:r w:rsidR="00382CE0">
        <w:fldChar w:fldCharType="separate"/>
      </w:r>
      <w:r w:rsidR="002E5C6A">
        <w:t>19</w:t>
      </w:r>
      <w:r w:rsidR="00382CE0">
        <w:fldChar w:fldCharType="end"/>
      </w:r>
      <w:r>
        <w:t xml:space="preserve"> of the Reference Details. </w:t>
      </w:r>
    </w:p>
    <w:p w14:paraId="1A60BC07" w14:textId="696BA710" w:rsidR="00397A27" w:rsidRPr="00792B2E" w:rsidRDefault="2BC382E4" w:rsidP="00D6422A">
      <w:pPr>
        <w:pStyle w:val="Heading7"/>
        <w:keepNext/>
        <w:numPr>
          <w:ilvl w:val="6"/>
          <w:numId w:val="0"/>
        </w:numPr>
        <w:spacing w:line="259" w:lineRule="auto"/>
        <w:ind w:left="737"/>
        <w:rPr>
          <w:b/>
          <w:bCs/>
        </w:rPr>
      </w:pPr>
      <w:r w:rsidRPr="2BC382E4">
        <w:rPr>
          <w:b/>
          <w:bCs/>
        </w:rPr>
        <w:t>Financial Close</w:t>
      </w:r>
      <w:r w:rsidRPr="00792B2E">
        <w:rPr>
          <w:b/>
          <w:bCs/>
        </w:rPr>
        <w:t xml:space="preserve"> </w:t>
      </w:r>
      <w:r w:rsidRPr="00131021">
        <w:t>occurs when:</w:t>
      </w:r>
    </w:p>
    <w:p w14:paraId="0C1A1311" w14:textId="50404142" w:rsidR="00624158" w:rsidRPr="00792B2E" w:rsidRDefault="06AC912F" w:rsidP="0058045D">
      <w:pPr>
        <w:pStyle w:val="Heading8"/>
        <w:tabs>
          <w:tab w:val="clear" w:pos="1474"/>
          <w:tab w:val="num" w:pos="968"/>
        </w:tabs>
      </w:pPr>
      <w:bookmarkStart w:id="112" w:name="_Ref167911501"/>
      <w:r w:rsidRPr="00792B2E">
        <w:t>Project Operator or its Related Bod</w:t>
      </w:r>
      <w:r w:rsidR="0033335D">
        <w:t>ies</w:t>
      </w:r>
      <w:r w:rsidRPr="00792B2E">
        <w:t xml:space="preserve"> Corporate ha</w:t>
      </w:r>
      <w:r w:rsidR="0033335D">
        <w:t>ve</w:t>
      </w:r>
      <w:r w:rsidRPr="00792B2E">
        <w:t xml:space="preserve"> secured the equity and/or external debt financing that is required to fund the construction and commissioning of the Project;</w:t>
      </w:r>
      <w:bookmarkEnd w:id="112"/>
      <w:r w:rsidRPr="00792B2E">
        <w:t xml:space="preserve"> </w:t>
      </w:r>
    </w:p>
    <w:p w14:paraId="5F5A2154" w14:textId="09AD6351" w:rsidR="000C2B14" w:rsidRDefault="06AC912F" w:rsidP="0058045D">
      <w:pPr>
        <w:pStyle w:val="Heading8"/>
        <w:tabs>
          <w:tab w:val="clear" w:pos="1474"/>
          <w:tab w:val="num" w:pos="968"/>
        </w:tabs>
      </w:pPr>
      <w:bookmarkStart w:id="113" w:name="_Ref167911522"/>
      <w:r>
        <w:t xml:space="preserve">any conditions precedent to first draw down under the financing referred to in paragraph </w:t>
      </w:r>
      <w:r w:rsidR="00D00E94">
        <w:fldChar w:fldCharType="begin"/>
      </w:r>
      <w:r w:rsidR="00D00E94">
        <w:instrText xml:space="preserve"> REF _Ref167911501 \n \h </w:instrText>
      </w:r>
      <w:r w:rsidR="00D00E94">
        <w:fldChar w:fldCharType="separate"/>
      </w:r>
      <w:r w:rsidR="002E5C6A">
        <w:t>(a)</w:t>
      </w:r>
      <w:r w:rsidR="00D00E94">
        <w:fldChar w:fldCharType="end"/>
      </w:r>
      <w:r>
        <w:t xml:space="preserve"> have been </w:t>
      </w:r>
      <w:r w:rsidR="00D462B5">
        <w:t xml:space="preserve">either </w:t>
      </w:r>
      <w:r>
        <w:t>satisfied or waived</w:t>
      </w:r>
      <w:r w:rsidR="00D462B5">
        <w:t xml:space="preserve"> in writing by the relevant financier(s)</w:t>
      </w:r>
      <w:r>
        <w:t>;</w:t>
      </w:r>
      <w:bookmarkEnd w:id="113"/>
      <w:r>
        <w:t xml:space="preserve"> </w:t>
      </w:r>
    </w:p>
    <w:p w14:paraId="1FBD8F86" w14:textId="1E12C77C" w:rsidR="00397A27" w:rsidRDefault="06AC912F" w:rsidP="0058045D">
      <w:pPr>
        <w:pStyle w:val="Heading8"/>
        <w:tabs>
          <w:tab w:val="clear" w:pos="1474"/>
          <w:tab w:val="num" w:pos="968"/>
        </w:tabs>
      </w:pPr>
      <w:r>
        <w:t xml:space="preserve">the first draw down referred to in paragraph </w:t>
      </w:r>
      <w:r w:rsidR="00D00E94">
        <w:fldChar w:fldCharType="begin"/>
      </w:r>
      <w:r w:rsidR="00D00E94">
        <w:instrText xml:space="preserve"> REF _Ref167911522 \n \h </w:instrText>
      </w:r>
      <w:r w:rsidR="00D00E94">
        <w:fldChar w:fldCharType="separate"/>
      </w:r>
      <w:r w:rsidR="002E5C6A">
        <w:t>(b)</w:t>
      </w:r>
      <w:r w:rsidR="00D00E94">
        <w:fldChar w:fldCharType="end"/>
      </w:r>
      <w:r>
        <w:t xml:space="preserve"> </w:t>
      </w:r>
      <w:r w:rsidR="00D462B5">
        <w:t xml:space="preserve">has been </w:t>
      </w:r>
      <w:r>
        <w:t>made available to Project Operator; and</w:t>
      </w:r>
    </w:p>
    <w:p w14:paraId="4637D2C2" w14:textId="78878F34" w:rsidR="00397A27" w:rsidRPr="00666ED4" w:rsidRDefault="06AC912F" w:rsidP="0058045D">
      <w:pPr>
        <w:pStyle w:val="Heading8"/>
        <w:tabs>
          <w:tab w:val="clear" w:pos="1474"/>
          <w:tab w:val="num" w:pos="968"/>
        </w:tabs>
      </w:pPr>
      <w:r>
        <w:t>Project Operator</w:t>
      </w:r>
      <w:r w:rsidR="00D462B5">
        <w:t xml:space="preserve"> has</w:t>
      </w:r>
      <w:r>
        <w:t xml:space="preserve"> issue</w:t>
      </w:r>
      <w:r w:rsidR="00D462B5">
        <w:t>d</w:t>
      </w:r>
      <w:r>
        <w:t xml:space="preserve"> an unconditional notice to proceed for the full scope of work under the engineering, procurement and construction </w:t>
      </w:r>
      <w:r w:rsidRPr="00666ED4">
        <w:t>contract (or equivalent) for the Project.</w:t>
      </w:r>
    </w:p>
    <w:p w14:paraId="5544C836" w14:textId="0FA5ED06" w:rsidR="003F4015" w:rsidRPr="00666ED4" w:rsidRDefault="003F4015" w:rsidP="00D6422A">
      <w:pPr>
        <w:pStyle w:val="Heading7"/>
        <w:numPr>
          <w:ilvl w:val="6"/>
          <w:numId w:val="0"/>
        </w:numPr>
        <w:spacing w:line="259" w:lineRule="auto"/>
        <w:ind w:left="737"/>
      </w:pPr>
      <w:r w:rsidRPr="00666ED4">
        <w:rPr>
          <w:b/>
          <w:bCs/>
        </w:rPr>
        <w:t xml:space="preserve">Final Support Commencement Date </w:t>
      </w:r>
      <w:r w:rsidRPr="00666ED4">
        <w:t xml:space="preserve">has the meaning given in item </w:t>
      </w:r>
      <w:r w:rsidRPr="00666ED4">
        <w:fldChar w:fldCharType="begin"/>
      </w:r>
      <w:r w:rsidRPr="00666ED4">
        <w:instrText xml:space="preserve"> REF _Ref172454921 \r \h </w:instrText>
      </w:r>
      <w:r w:rsidR="00D6422A" w:rsidRPr="00666ED4">
        <w:instrText xml:space="preserve"> \* MERGEFORMAT </w:instrText>
      </w:r>
      <w:r w:rsidRPr="00666ED4">
        <w:fldChar w:fldCharType="separate"/>
      </w:r>
      <w:r w:rsidR="002E5C6A">
        <w:t>19</w:t>
      </w:r>
      <w:r w:rsidRPr="00666ED4">
        <w:fldChar w:fldCharType="end"/>
      </w:r>
      <w:r w:rsidRPr="00666ED4">
        <w:t xml:space="preserve"> of the Reference Details. </w:t>
      </w:r>
    </w:p>
    <w:p w14:paraId="75B9B7A9" w14:textId="10D01FEA" w:rsidR="003F4015" w:rsidRPr="00ED6B6A" w:rsidRDefault="003F4015" w:rsidP="00D6422A">
      <w:pPr>
        <w:pStyle w:val="Heading7"/>
        <w:numPr>
          <w:ilvl w:val="6"/>
          <w:numId w:val="0"/>
        </w:numPr>
        <w:spacing w:line="259" w:lineRule="auto"/>
        <w:ind w:left="737"/>
      </w:pPr>
      <w:r w:rsidRPr="00666ED4">
        <w:rPr>
          <w:b/>
          <w:bCs/>
        </w:rPr>
        <w:t xml:space="preserve">Final Support End Date </w:t>
      </w:r>
      <w:r w:rsidRPr="00666ED4">
        <w:t xml:space="preserve">has the meaning given in item </w:t>
      </w:r>
      <w:r w:rsidRPr="00666ED4">
        <w:fldChar w:fldCharType="begin"/>
      </w:r>
      <w:r w:rsidRPr="00666ED4">
        <w:instrText xml:space="preserve"> REF _Ref172455240 \r \h </w:instrText>
      </w:r>
      <w:r w:rsidR="00D6422A" w:rsidRPr="00666ED4">
        <w:instrText xml:space="preserve"> \* MERGEFORMAT </w:instrText>
      </w:r>
      <w:r w:rsidRPr="00666ED4">
        <w:fldChar w:fldCharType="separate"/>
      </w:r>
      <w:r w:rsidR="002E5C6A">
        <w:t>20</w:t>
      </w:r>
      <w:r w:rsidRPr="00666ED4">
        <w:fldChar w:fldCharType="end"/>
      </w:r>
      <w:r w:rsidRPr="00666ED4">
        <w:t xml:space="preserve"> of the Reference Details.</w:t>
      </w:r>
      <w:r>
        <w:t xml:space="preserve"> </w:t>
      </w:r>
    </w:p>
    <w:p w14:paraId="669D3677" w14:textId="038DB089" w:rsidR="005039AB" w:rsidRPr="008E4A1B" w:rsidRDefault="005039AB" w:rsidP="00D6422A">
      <w:pPr>
        <w:pStyle w:val="Heading7"/>
        <w:numPr>
          <w:ilvl w:val="6"/>
          <w:numId w:val="0"/>
        </w:numPr>
        <w:spacing w:line="259" w:lineRule="auto"/>
        <w:ind w:left="737"/>
      </w:pPr>
      <w:r>
        <w:rPr>
          <w:b/>
          <w:bCs/>
        </w:rPr>
        <w:t>Final Support Year</w:t>
      </w:r>
      <w:r>
        <w:t xml:space="preserve"> means the Support Year in which the Final Support End Date occurs or, if this agreement </w:t>
      </w:r>
      <w:r w:rsidR="00D462B5">
        <w:t xml:space="preserve">is </w:t>
      </w:r>
      <w:r>
        <w:t>terminate</w:t>
      </w:r>
      <w:r w:rsidR="00D462B5">
        <w:t>d</w:t>
      </w:r>
      <w:r>
        <w:t xml:space="preserve"> earlier, the Support Year in which the Term ends.</w:t>
      </w:r>
    </w:p>
    <w:p w14:paraId="383F52D7" w14:textId="77777777" w:rsidR="007A637A" w:rsidRDefault="2BC382E4" w:rsidP="00D6422A">
      <w:pPr>
        <w:pStyle w:val="Heading7"/>
        <w:numPr>
          <w:ilvl w:val="6"/>
          <w:numId w:val="0"/>
        </w:numPr>
        <w:spacing w:line="259" w:lineRule="auto"/>
        <w:ind w:left="737"/>
      </w:pPr>
      <w:r w:rsidRPr="00792B2E">
        <w:rPr>
          <w:b/>
          <w:bCs/>
        </w:rPr>
        <w:t xml:space="preserve">First </w:t>
      </w:r>
      <w:r w:rsidR="00373CE0">
        <w:rPr>
          <w:b/>
          <w:bCs/>
        </w:rPr>
        <w:t>Support</w:t>
      </w:r>
      <w:r w:rsidR="00373CE0" w:rsidRPr="00792B2E">
        <w:rPr>
          <w:b/>
          <w:bCs/>
        </w:rPr>
        <w:t xml:space="preserve"> </w:t>
      </w:r>
      <w:r w:rsidRPr="00792B2E">
        <w:rPr>
          <w:b/>
          <w:bCs/>
        </w:rPr>
        <w:t xml:space="preserve">Year </w:t>
      </w:r>
      <w:r w:rsidRPr="00792B2E">
        <w:t xml:space="preserve">means the </w:t>
      </w:r>
      <w:r w:rsidR="00373CE0">
        <w:t xml:space="preserve">Support Year </w:t>
      </w:r>
      <w:r w:rsidRPr="00792B2E">
        <w:t xml:space="preserve">in which the Support </w:t>
      </w:r>
      <w:r w:rsidR="00482EF3">
        <w:t xml:space="preserve">Start </w:t>
      </w:r>
      <w:r w:rsidRPr="00792B2E">
        <w:t xml:space="preserve">Date occurs. </w:t>
      </w:r>
    </w:p>
    <w:p w14:paraId="7059D340" w14:textId="3EB615F2" w:rsidR="00A6236B" w:rsidRDefault="2BC382E4" w:rsidP="0058045D">
      <w:pPr>
        <w:pStyle w:val="Heading7"/>
        <w:numPr>
          <w:ilvl w:val="6"/>
          <w:numId w:val="0"/>
        </w:numPr>
        <w:ind w:left="737"/>
        <w:rPr>
          <w:b/>
          <w:bCs/>
        </w:rPr>
      </w:pPr>
      <w:r w:rsidRPr="00792B2E">
        <w:rPr>
          <w:b/>
          <w:bCs/>
        </w:rPr>
        <w:t xml:space="preserve">Fixed Termination Amount </w:t>
      </w:r>
      <w:r w:rsidR="06AC912F" w:rsidRPr="00792B2E">
        <w:t xml:space="preserve">means the amount calculated as set out in </w:t>
      </w:r>
      <w:r w:rsidR="00A6236B" w:rsidRPr="00792B2E">
        <w:fldChar w:fldCharType="begin"/>
      </w:r>
      <w:r w:rsidR="00A6236B" w:rsidRPr="00792B2E">
        <w:instrText xml:space="preserve"> REF _Ref108089453 \r \h  \* MERGEFORMAT  REF _Ref108089453 \r \h </w:instrText>
      </w:r>
      <w:r w:rsidR="06AC912F" w:rsidRPr="00AA6C27">
        <w:instrText>￼</w:instrText>
      </w:r>
      <w:r w:rsidR="00A6236B" w:rsidRPr="00792B2E">
        <w:fldChar w:fldCharType="separate"/>
      </w:r>
      <w:r w:rsidR="002E5C6A">
        <w:t>Schedule 5</w:t>
      </w:r>
      <w:r w:rsidR="00A6236B" w:rsidRPr="00792B2E">
        <w:fldChar w:fldCharType="end"/>
      </w:r>
      <w:r w:rsidR="06AC912F" w:rsidRPr="00792B2E">
        <w:t xml:space="preserve"> (“</w:t>
      </w:r>
      <w:r w:rsidR="00AA6C27" w:rsidRPr="00792B2E">
        <w:fldChar w:fldCharType="begin"/>
      </w:r>
      <w:r w:rsidR="00AA6C27" w:rsidRPr="00792B2E">
        <w:instrText xml:space="preserve"> REF _Ref108089453 \h </w:instrText>
      </w:r>
      <w:r w:rsidR="00AA6C27">
        <w:instrText xml:space="preserve"> \* MERGEFORMAT </w:instrText>
      </w:r>
      <w:r w:rsidR="00AA6C27" w:rsidRPr="00792B2E">
        <w:fldChar w:fldCharType="separate"/>
      </w:r>
      <w:r w:rsidR="002E5C6A">
        <w:t xml:space="preserve">Fixed Termination </w:t>
      </w:r>
      <w:r w:rsidR="002E5C6A" w:rsidRPr="00983A30">
        <w:t>Amount and Early Termination</w:t>
      </w:r>
      <w:r w:rsidR="002E5C6A">
        <w:t xml:space="preserve"> Amount</w:t>
      </w:r>
      <w:r w:rsidR="00AA6C27" w:rsidRPr="00792B2E">
        <w:fldChar w:fldCharType="end"/>
      </w:r>
      <w:r w:rsidR="00AA6C27" w:rsidRPr="00792B2E">
        <w:t>”</w:t>
      </w:r>
      <w:r w:rsidRPr="00792B2E">
        <w:t>)</w:t>
      </w:r>
      <w:r w:rsidRPr="00AA6C27">
        <w:t>.</w:t>
      </w:r>
    </w:p>
    <w:p w14:paraId="410A3397" w14:textId="0886572E" w:rsidR="007603B0" w:rsidRDefault="2BC382E4" w:rsidP="0058045D">
      <w:pPr>
        <w:pStyle w:val="Heading7"/>
      </w:pPr>
      <w:r w:rsidRPr="2BC382E4">
        <w:rPr>
          <w:b/>
          <w:bCs/>
        </w:rPr>
        <w:t xml:space="preserve">Force Majeure Event </w:t>
      </w:r>
      <w:r>
        <w:t xml:space="preserve">means a Project Force Majeure Event or a Connection Force Majeure Event. </w:t>
      </w:r>
    </w:p>
    <w:p w14:paraId="7CEA6B9B" w14:textId="2682E2ED" w:rsidR="003E05DB" w:rsidRDefault="003E05DB" w:rsidP="0081103F">
      <w:pPr>
        <w:pStyle w:val="Heading7"/>
      </w:pPr>
      <w:r>
        <w:rPr>
          <w:b/>
        </w:rPr>
        <w:t xml:space="preserve">Gaming </w:t>
      </w:r>
      <w:r w:rsidRPr="0081103F">
        <w:t>means</w:t>
      </w:r>
      <w:r w:rsidRPr="009A1A62">
        <w:rPr>
          <w:bCs/>
        </w:rPr>
        <w:t xml:space="preserve"> any conduct, scheme, arrangement or omission by Project Operator or its Associates that is intended to</w:t>
      </w:r>
      <w:r>
        <w:rPr>
          <w:bCs/>
        </w:rPr>
        <w:t>,</w:t>
      </w:r>
      <w:r w:rsidRPr="009A1A62">
        <w:rPr>
          <w:bCs/>
        </w:rPr>
        <w:t xml:space="preserve"> or has the effect of</w:t>
      </w:r>
      <w:r>
        <w:rPr>
          <w:bCs/>
        </w:rPr>
        <w:t>, m</w:t>
      </w:r>
      <w:r w:rsidRPr="009A1A62">
        <w:rPr>
          <w:bCs/>
        </w:rPr>
        <w:t>anipulating</w:t>
      </w:r>
      <w:r>
        <w:rPr>
          <w:bCs/>
        </w:rPr>
        <w:t xml:space="preserve">, </w:t>
      </w:r>
      <w:r w:rsidRPr="00CA00BD">
        <w:t>distorting</w:t>
      </w:r>
      <w:r>
        <w:t xml:space="preserve"> </w:t>
      </w:r>
      <w:r w:rsidRPr="009A1A62">
        <w:rPr>
          <w:bCs/>
        </w:rPr>
        <w:t>or</w:t>
      </w:r>
      <w:r>
        <w:rPr>
          <w:bCs/>
        </w:rPr>
        <w:t xml:space="preserve"> </w:t>
      </w:r>
      <w:r w:rsidRPr="009A1A62">
        <w:rPr>
          <w:bCs/>
        </w:rPr>
        <w:t>circumventing</w:t>
      </w:r>
      <w:r>
        <w:rPr>
          <w:bCs/>
        </w:rPr>
        <w:t xml:space="preserve"> </w:t>
      </w:r>
      <w:r w:rsidRPr="009A1A62">
        <w:t>the operation or calculation of any</w:t>
      </w:r>
      <w:r>
        <w:t>:</w:t>
      </w:r>
      <w:r w:rsidRPr="009A1A62">
        <w:t xml:space="preserve"> </w:t>
      </w:r>
    </w:p>
    <w:p w14:paraId="4BDA43E6" w14:textId="77777777" w:rsidR="0081103F" w:rsidRDefault="0081103F" w:rsidP="008F660B">
      <w:pPr>
        <w:pStyle w:val="legalDefinition"/>
        <w:numPr>
          <w:ilvl w:val="0"/>
          <w:numId w:val="89"/>
        </w:numPr>
        <w:spacing w:before="0"/>
      </w:pPr>
      <w:r>
        <w:t>e</w:t>
      </w:r>
      <w:r w:rsidRPr="009A1A62">
        <w:t>ntitlement</w:t>
      </w:r>
      <w:r>
        <w:t>;</w:t>
      </w:r>
    </w:p>
    <w:p w14:paraId="0F6BB98E" w14:textId="77777777" w:rsidR="0081103F" w:rsidRDefault="0081103F" w:rsidP="008F660B">
      <w:pPr>
        <w:pStyle w:val="legalDefinition"/>
        <w:numPr>
          <w:ilvl w:val="0"/>
          <w:numId w:val="89"/>
        </w:numPr>
      </w:pPr>
      <w:r>
        <w:t>o</w:t>
      </w:r>
      <w:r w:rsidRPr="009A1A62">
        <w:t>bligation</w:t>
      </w:r>
      <w:r>
        <w:t>;</w:t>
      </w:r>
    </w:p>
    <w:p w14:paraId="32BA3EC0" w14:textId="77777777" w:rsidR="0081103F" w:rsidRDefault="0081103F" w:rsidP="008F660B">
      <w:pPr>
        <w:pStyle w:val="legalDefinition"/>
        <w:numPr>
          <w:ilvl w:val="0"/>
          <w:numId w:val="89"/>
        </w:numPr>
      </w:pPr>
      <w:r w:rsidRPr="009A1A62">
        <w:t>Apportionment Principle</w:t>
      </w:r>
      <w:r>
        <w:t>;</w:t>
      </w:r>
      <w:r w:rsidRPr="009A1A62">
        <w:t xml:space="preserve"> or </w:t>
      </w:r>
    </w:p>
    <w:p w14:paraId="2E060E23" w14:textId="77777777" w:rsidR="0081103F" w:rsidRDefault="0081103F" w:rsidP="008F660B">
      <w:pPr>
        <w:pStyle w:val="legalDefinition"/>
        <w:numPr>
          <w:ilvl w:val="0"/>
          <w:numId w:val="89"/>
        </w:numPr>
      </w:pPr>
      <w:r>
        <w:t>p</w:t>
      </w:r>
      <w:r w:rsidRPr="009A1A62">
        <w:t>ayment</w:t>
      </w:r>
      <w:r>
        <w:t>,</w:t>
      </w:r>
    </w:p>
    <w:p w14:paraId="0AB48EE3" w14:textId="7891F35C" w:rsidR="0081103F" w:rsidRDefault="0081103F" w:rsidP="0081103F">
      <w:pPr>
        <w:spacing w:before="240"/>
        <w:ind w:left="740"/>
      </w:pPr>
      <w:r w:rsidRPr="009A1A62">
        <w:t xml:space="preserve">under this </w:t>
      </w:r>
      <w:r>
        <w:t>a</w:t>
      </w:r>
      <w:r w:rsidRPr="009A1A62">
        <w:t>greement.</w:t>
      </w:r>
    </w:p>
    <w:p w14:paraId="62C6A649" w14:textId="77777777" w:rsidR="003E05DB" w:rsidRDefault="003E05DB" w:rsidP="0081103F">
      <w:pPr>
        <w:pStyle w:val="BodyIndent1"/>
        <w:ind w:left="737" w:firstLine="3"/>
      </w:pPr>
      <w:r w:rsidRPr="00DE0170">
        <w:rPr>
          <w:b/>
        </w:rPr>
        <w:t>Good Industry Practice</w:t>
      </w:r>
      <w:r>
        <w:t xml:space="preserve"> means the practices, procedures, methods specifications and standards that:</w:t>
      </w:r>
    </w:p>
    <w:p w14:paraId="79E62C83" w14:textId="49F8503D" w:rsidR="003E05DB" w:rsidRDefault="0033335D" w:rsidP="008F660B">
      <w:pPr>
        <w:pStyle w:val="legalDefinition"/>
        <w:numPr>
          <w:ilvl w:val="0"/>
          <w:numId w:val="96"/>
        </w:numPr>
      </w:pPr>
      <w:r>
        <w:t>would reasonably be expected to be</w:t>
      </w:r>
      <w:r w:rsidR="003E05DB">
        <w:t xml:space="preserve"> used</w:t>
      </w:r>
      <w:r w:rsidR="00CA0D1F">
        <w:t xml:space="preserve"> or applied</w:t>
      </w:r>
      <w:r w:rsidR="003E05DB">
        <w:t xml:space="preserve"> by prudent, competent, experienced and reputable developers, contractors and operators who develop and operate projects of a similar nature to the Project [and the [Associated/Existing] Project (as applicable)]</w:t>
      </w:r>
      <w:r>
        <w:t xml:space="preserve"> under comparable conditions and circumstances consistent with applicable written laws and statutory instruments and applicable recognised codes, standards and guidelines. [</w:t>
      </w:r>
      <w:r>
        <w:rPr>
          <w:b/>
          <w:i/>
          <w:highlight w:val="lightGray"/>
        </w:rPr>
        <w:t>Note: bracketed wording is to be included for all Hybrid Projects and Staged Projects.</w:t>
      </w:r>
      <w:r>
        <w:t>]</w:t>
      </w:r>
      <w:r w:rsidR="00BC2BE9">
        <w:t xml:space="preserve"> </w:t>
      </w:r>
    </w:p>
    <w:p w14:paraId="5B97EBF9" w14:textId="77777777" w:rsidR="003E05DB" w:rsidRDefault="003E05DB" w:rsidP="00D315FD">
      <w:pPr>
        <w:pStyle w:val="legalDefinition"/>
        <w:numPr>
          <w:ilvl w:val="0"/>
          <w:numId w:val="0"/>
        </w:numPr>
        <w:ind w:left="1560"/>
      </w:pPr>
    </w:p>
    <w:p w14:paraId="48A6AE63" w14:textId="77777777" w:rsidR="003E05DB" w:rsidRDefault="2BC382E4" w:rsidP="0058045D">
      <w:pPr>
        <w:pStyle w:val="Heading7"/>
      </w:pPr>
      <w:r w:rsidRPr="2BC382E4">
        <w:rPr>
          <w:b/>
          <w:bCs/>
        </w:rPr>
        <w:t>Government Authority</w:t>
      </w:r>
      <w:r>
        <w:t xml:space="preserve"> means a government or a governmental, semi-governmental, fiscal, judicial or quasi-judicial body, department, commission, authority, tribunal, agency or entity in any part of the world, including</w:t>
      </w:r>
      <w:r w:rsidR="003E05DB">
        <w:t>:</w:t>
      </w:r>
    </w:p>
    <w:p w14:paraId="3395BE0B" w14:textId="45AEC52A" w:rsidR="003E05DB" w:rsidRDefault="2BC382E4" w:rsidP="008F660B">
      <w:pPr>
        <w:pStyle w:val="legalDefinition"/>
        <w:numPr>
          <w:ilvl w:val="0"/>
          <w:numId w:val="92"/>
        </w:numPr>
        <w:spacing w:before="0"/>
      </w:pPr>
      <w:r>
        <w:t>AEMO</w:t>
      </w:r>
      <w:r w:rsidR="003E05DB">
        <w:t>;</w:t>
      </w:r>
    </w:p>
    <w:p w14:paraId="2A249B37" w14:textId="359C9F0D" w:rsidR="003E05DB" w:rsidRDefault="000F68A1" w:rsidP="008F660B">
      <w:pPr>
        <w:pStyle w:val="legalDefinition"/>
        <w:numPr>
          <w:ilvl w:val="0"/>
          <w:numId w:val="89"/>
        </w:numPr>
      </w:pPr>
      <w:r>
        <w:t xml:space="preserve">Commonwealth Entities, when applicable, </w:t>
      </w:r>
      <w:r w:rsidR="2BC382E4">
        <w:t>but e</w:t>
      </w:r>
      <w:r w:rsidR="003E05DB">
        <w:t>x</w:t>
      </w:r>
      <w:r w:rsidR="2BC382E4">
        <w:t>clud</w:t>
      </w:r>
      <w:r w:rsidR="003E05DB">
        <w:t>ing</w:t>
      </w:r>
      <w:r w:rsidR="2BC382E4">
        <w:t xml:space="preserve"> the Commonwealth</w:t>
      </w:r>
      <w:r>
        <w:t xml:space="preserve"> as defined in this agreement</w:t>
      </w:r>
      <w:r w:rsidR="003E05DB">
        <w:t>;</w:t>
      </w:r>
    </w:p>
    <w:p w14:paraId="43F39114" w14:textId="548E7513" w:rsidR="003E05DB" w:rsidRDefault="2BC382E4" w:rsidP="008F660B">
      <w:pPr>
        <w:pStyle w:val="legalDefinition"/>
        <w:numPr>
          <w:ilvl w:val="0"/>
          <w:numId w:val="89"/>
        </w:numPr>
      </w:pPr>
      <w:r>
        <w:t>a self-regulatory organisation established under statute</w:t>
      </w:r>
      <w:r w:rsidR="003E05DB">
        <w:t>;</w:t>
      </w:r>
    </w:p>
    <w:p w14:paraId="1725214D" w14:textId="1FF3ECA7" w:rsidR="003E05DB" w:rsidRDefault="2BC382E4" w:rsidP="008F660B">
      <w:pPr>
        <w:pStyle w:val="legalDefinition"/>
        <w:numPr>
          <w:ilvl w:val="0"/>
          <w:numId w:val="89"/>
        </w:numPr>
      </w:pPr>
      <w:r>
        <w:t>a securities exchange</w:t>
      </w:r>
      <w:r w:rsidR="003E05DB">
        <w:t>;</w:t>
      </w:r>
      <w:r>
        <w:t xml:space="preserve"> </w:t>
      </w:r>
      <w:bookmarkStart w:id="114" w:name="_Hlk118883228"/>
      <w:r>
        <w:t>and</w:t>
      </w:r>
    </w:p>
    <w:p w14:paraId="008D2DE3" w14:textId="3E986E53" w:rsidR="003E05DB" w:rsidRDefault="2BC382E4" w:rsidP="008F660B">
      <w:pPr>
        <w:pStyle w:val="legalDefinition"/>
        <w:numPr>
          <w:ilvl w:val="0"/>
          <w:numId w:val="89"/>
        </w:numPr>
        <w:spacing w:after="240"/>
      </w:pPr>
      <w:r>
        <w:t>in respect of Green Products, an organisation that sets standards for Green Product creation</w:t>
      </w:r>
      <w:bookmarkEnd w:id="114"/>
      <w:r>
        <w:t>.</w:t>
      </w:r>
    </w:p>
    <w:p w14:paraId="1C55DFAE" w14:textId="141FCCFF" w:rsidR="00D462B5" w:rsidRDefault="2BC382E4" w:rsidP="00B5506F">
      <w:pPr>
        <w:pStyle w:val="Heading7"/>
        <w:keepNext/>
      </w:pPr>
      <w:r w:rsidRPr="2BC382E4">
        <w:rPr>
          <w:b/>
          <w:bCs/>
        </w:rPr>
        <w:t>Green Product</w:t>
      </w:r>
      <w:r>
        <w:t xml:space="preserve"> means any right, entitlement, credit, offset, allowance, compensation, payment, benefit or certificate of any kind, recognised or arising under any scheme, Law, policy or arrangement </w:t>
      </w:r>
      <w:r w:rsidR="00D462B5">
        <w:t xml:space="preserve">that: </w:t>
      </w:r>
    </w:p>
    <w:p w14:paraId="441A1576" w14:textId="1ECA591B" w:rsidR="00D462B5" w:rsidRDefault="00D462B5" w:rsidP="00D462B5">
      <w:pPr>
        <w:pStyle w:val="Heading7"/>
        <w:ind w:left="1474" w:hanging="737"/>
      </w:pPr>
      <w:r w:rsidRPr="00D462B5">
        <w:t>(a)</w:t>
      </w:r>
      <w:r w:rsidRPr="00D462B5">
        <w:tab/>
      </w:r>
      <w:r>
        <w:t xml:space="preserve">has </w:t>
      </w:r>
      <w:r w:rsidR="2BC382E4">
        <w:t>be</w:t>
      </w:r>
      <w:r>
        <w:t>en</w:t>
      </w:r>
      <w:r w:rsidR="2BC382E4">
        <w:t xml:space="preserve"> created in respect of, or relate</w:t>
      </w:r>
      <w:r w:rsidR="0033335D">
        <w:t>s</w:t>
      </w:r>
      <w:r w:rsidR="2BC382E4">
        <w:t xml:space="preserve"> to, the regulation or reduction of greenhouse gas emissions</w:t>
      </w:r>
      <w:r w:rsidR="0033335D">
        <w:t xml:space="preserve"> or the regulation or generation of renewable energy</w:t>
      </w:r>
      <w:r>
        <w:t>;</w:t>
      </w:r>
      <w:r w:rsidR="2BC382E4">
        <w:t xml:space="preserve"> </w:t>
      </w:r>
      <w:r w:rsidR="00486D4D">
        <w:t xml:space="preserve">and </w:t>
      </w:r>
    </w:p>
    <w:p w14:paraId="041A7A40" w14:textId="4B286AEC" w:rsidR="00EE5480" w:rsidRDefault="00D462B5" w:rsidP="00D462B5">
      <w:pPr>
        <w:pStyle w:val="Heading7"/>
        <w:ind w:left="1474" w:hanging="737"/>
      </w:pPr>
      <w:r>
        <w:t>(b)</w:t>
      </w:r>
      <w:r>
        <w:tab/>
      </w:r>
      <w:r w:rsidR="00486D4D">
        <w:t>becomes available to the owner or operator of an energy storage system or generating facility that is attributable to the Project.</w:t>
      </w:r>
      <w:r w:rsidR="00B25B83">
        <w:t xml:space="preserve"> </w:t>
      </w:r>
      <w:r w:rsidR="00B25B83" w:rsidRPr="002426A6">
        <w:t>[</w:t>
      </w:r>
      <w:r w:rsidR="00B25B83" w:rsidRPr="002426A6">
        <w:rPr>
          <w:b/>
          <w:bCs/>
          <w:i/>
          <w:iCs/>
          <w:highlight w:val="lightGray"/>
        </w:rPr>
        <w:t xml:space="preserve">Note: </w:t>
      </w:r>
      <w:r w:rsidR="00520242" w:rsidRPr="002426A6">
        <w:rPr>
          <w:b/>
          <w:bCs/>
          <w:i/>
          <w:iCs/>
          <w:highlight w:val="lightGray"/>
        </w:rPr>
        <w:t>see agreement cover note regarding Non-Storage Projects</w:t>
      </w:r>
      <w:r w:rsidR="00B25B83" w:rsidRPr="002426A6">
        <w:rPr>
          <w:b/>
          <w:bCs/>
          <w:i/>
          <w:iCs/>
          <w:highlight w:val="lightGray"/>
        </w:rPr>
        <w:t>.</w:t>
      </w:r>
      <w:r w:rsidR="00B25B83" w:rsidRPr="002426A6">
        <w:t>]</w:t>
      </w:r>
    </w:p>
    <w:p w14:paraId="35481A21" w14:textId="10D3E4D5" w:rsidR="0033335D" w:rsidRDefault="0033335D" w:rsidP="008F660B">
      <w:pPr>
        <w:pStyle w:val="Indent2"/>
      </w:pPr>
      <w:r>
        <w:t>[</w:t>
      </w:r>
      <w:r>
        <w:rPr>
          <w:b/>
          <w:bCs/>
          <w:i/>
          <w:iCs/>
          <w:highlight w:val="lightGray"/>
        </w:rPr>
        <w:t>Note: wording in square brackets above is to be included for all Staged Projects.</w:t>
      </w:r>
      <w:r>
        <w:rPr>
          <w:highlight w:val="lightGray"/>
        </w:rPr>
        <w:t>]</w:t>
      </w:r>
    </w:p>
    <w:p w14:paraId="06D09B4E" w14:textId="6499B284" w:rsidR="00D27E24" w:rsidRDefault="2BC382E4" w:rsidP="0058045D">
      <w:pPr>
        <w:pStyle w:val="Heading7"/>
        <w:numPr>
          <w:ilvl w:val="6"/>
          <w:numId w:val="0"/>
        </w:numPr>
        <w:ind w:left="737"/>
      </w:pPr>
      <w:r w:rsidRPr="2BC382E4">
        <w:rPr>
          <w:b/>
          <w:bCs/>
        </w:rPr>
        <w:t>Green Product Scheme</w:t>
      </w:r>
      <w:r>
        <w:t xml:space="preserve"> means any scheme, Law, policy or arrangement </w:t>
      </w:r>
      <w:r w:rsidR="00D462B5">
        <w:t xml:space="preserve">that is </w:t>
      </w:r>
      <w:r>
        <w:t>established or regulated by a Government Authority, and that provides for the creation and transfer of Green Products.</w:t>
      </w:r>
    </w:p>
    <w:p w14:paraId="0BE2BFB4" w14:textId="14B94F96" w:rsidR="00F52A84" w:rsidRDefault="00F52A84" w:rsidP="0058045D">
      <w:pPr>
        <w:pStyle w:val="Heading7"/>
      </w:pPr>
      <w:r w:rsidRPr="1A62E2FE">
        <w:rPr>
          <w:b/>
          <w:bCs/>
        </w:rPr>
        <w:t xml:space="preserve">GST Amount </w:t>
      </w:r>
      <w:r w:rsidRPr="1A62E2FE">
        <w:t xml:space="preserve">has the meaning given in clause </w:t>
      </w:r>
      <w:r>
        <w:rPr>
          <w:bCs/>
        </w:rPr>
        <w:fldChar w:fldCharType="begin"/>
      </w:r>
      <w:r>
        <w:rPr>
          <w:bCs/>
        </w:rPr>
        <w:instrText xml:space="preserve"> REF _Ref104318865 \r \h </w:instrText>
      </w:r>
      <w:r>
        <w:rPr>
          <w:bCs/>
        </w:rPr>
      </w:r>
      <w:r>
        <w:rPr>
          <w:bCs/>
        </w:rPr>
        <w:fldChar w:fldCharType="separate"/>
      </w:r>
      <w:r w:rsidR="002E5C6A">
        <w:rPr>
          <w:bCs/>
        </w:rPr>
        <w:t>18.3</w:t>
      </w:r>
      <w:r>
        <w:rPr>
          <w:bCs/>
        </w:rPr>
        <w:fldChar w:fldCharType="end"/>
      </w:r>
      <w:r>
        <w:rPr>
          <w:bCs/>
        </w:rPr>
        <w:t xml:space="preserve"> (“</w:t>
      </w:r>
      <w:r>
        <w:rPr>
          <w:bCs/>
        </w:rPr>
        <w:fldChar w:fldCharType="begin"/>
      </w:r>
      <w:r>
        <w:rPr>
          <w:bCs/>
        </w:rPr>
        <w:instrText xml:space="preserve"> REF _Ref104318853 \h </w:instrText>
      </w:r>
      <w:r>
        <w:rPr>
          <w:bCs/>
        </w:rPr>
      </w:r>
      <w:r>
        <w:rPr>
          <w:bCs/>
        </w:rPr>
        <w:fldChar w:fldCharType="separate"/>
      </w:r>
      <w:r w:rsidR="002E5C6A">
        <w:t>Payment of GST</w:t>
      </w:r>
      <w:r>
        <w:rPr>
          <w:bCs/>
        </w:rPr>
        <w:fldChar w:fldCharType="end"/>
      </w:r>
      <w:r>
        <w:rPr>
          <w:bCs/>
        </w:rPr>
        <w:t>”).</w:t>
      </w:r>
    </w:p>
    <w:p w14:paraId="14E110FE" w14:textId="77777777" w:rsidR="00907F1C" w:rsidRDefault="2BC382E4" w:rsidP="0058045D">
      <w:pPr>
        <w:pStyle w:val="Heading7"/>
      </w:pPr>
      <w:r w:rsidRPr="2BC382E4">
        <w:rPr>
          <w:b/>
          <w:bCs/>
        </w:rPr>
        <w:t>GST Law</w:t>
      </w:r>
      <w:r>
        <w:t xml:space="preserve"> has the meaning given to that term in the </w:t>
      </w:r>
      <w:r w:rsidRPr="2BC382E4">
        <w:rPr>
          <w:i/>
          <w:iCs/>
        </w:rPr>
        <w:t>A New Tax System (Goods and Services Tax) Act 1999</w:t>
      </w:r>
      <w:r>
        <w:t xml:space="preserve"> (Cth).</w:t>
      </w:r>
    </w:p>
    <w:p w14:paraId="5BEA2678" w14:textId="457806C9" w:rsidR="004923DC" w:rsidRDefault="2BC382E4" w:rsidP="00AD4EA6">
      <w:pPr>
        <w:pStyle w:val="Heading7"/>
        <w:keepNext/>
        <w:numPr>
          <w:ilvl w:val="6"/>
          <w:numId w:val="0"/>
        </w:numPr>
        <w:spacing w:after="120"/>
        <w:ind w:left="737"/>
      </w:pPr>
      <w:r>
        <w:t>[</w:t>
      </w:r>
      <w:r w:rsidRPr="2BC382E4">
        <w:rPr>
          <w:b/>
          <w:bCs/>
        </w:rPr>
        <w:t xml:space="preserve">Hybrid Project </w:t>
      </w:r>
      <w:r>
        <w:t xml:space="preserve">means the co-located </w:t>
      </w:r>
      <w:r w:rsidR="0033335D">
        <w:t xml:space="preserve">and electrically connected </w:t>
      </w:r>
      <w:r>
        <w:t xml:space="preserve">generation and </w:t>
      </w:r>
      <w:r w:rsidR="00951C26">
        <w:t xml:space="preserve">dispatchable </w:t>
      </w:r>
      <w:r>
        <w:t>project</w:t>
      </w:r>
      <w:r w:rsidR="0033335D">
        <w:t>s</w:t>
      </w:r>
      <w:r>
        <w:t xml:space="preserve"> being the Project, the Associated Project and the Shared Infrastructure.] </w:t>
      </w:r>
    </w:p>
    <w:p w14:paraId="119A4D71" w14:textId="77777777" w:rsidR="004923DC" w:rsidRDefault="2BC382E4" w:rsidP="004923DC">
      <w:pPr>
        <w:pStyle w:val="Heading7"/>
        <w:numPr>
          <w:ilvl w:val="6"/>
          <w:numId w:val="0"/>
        </w:numPr>
        <w:spacing w:after="0"/>
        <w:ind w:left="737"/>
      </w:pPr>
      <w:r>
        <w:t>[</w:t>
      </w:r>
      <w:r w:rsidRPr="2BC382E4">
        <w:rPr>
          <w:b/>
          <w:bCs/>
          <w:i/>
          <w:iCs/>
          <w:highlight w:val="lightGray"/>
        </w:rPr>
        <w:t>Note: this definition is to be included for all Hybrid Projects.</w:t>
      </w:r>
      <w:r>
        <w:t>]</w:t>
      </w:r>
      <w:r w:rsidR="00B25B83">
        <w:t xml:space="preserve"> </w:t>
      </w:r>
    </w:p>
    <w:p w14:paraId="1955A762" w14:textId="216D6C8D" w:rsidR="00A41AF0" w:rsidRDefault="00B25B83" w:rsidP="004923DC">
      <w:pPr>
        <w:pStyle w:val="Heading7"/>
        <w:numPr>
          <w:ilvl w:val="6"/>
          <w:numId w:val="0"/>
        </w:numPr>
        <w:ind w:left="737"/>
        <w:rPr>
          <w:b/>
          <w:bCs/>
        </w:rPr>
      </w:pPr>
      <w:r w:rsidRPr="00FB7EB2">
        <w:t>[</w:t>
      </w:r>
      <w:r w:rsidRPr="00FB7EB2">
        <w:rPr>
          <w:b/>
          <w:bCs/>
          <w:i/>
          <w:iCs/>
          <w:highlight w:val="lightGray"/>
        </w:rPr>
        <w:t>Note:</w:t>
      </w:r>
      <w:r w:rsidR="001D4E8F">
        <w:rPr>
          <w:b/>
          <w:bCs/>
          <w:i/>
          <w:iCs/>
          <w:highlight w:val="lightGray"/>
        </w:rPr>
        <w:t xml:space="preserve"> D</w:t>
      </w:r>
      <w:r w:rsidRPr="00FB7EB2">
        <w:rPr>
          <w:b/>
          <w:bCs/>
          <w:i/>
          <w:iCs/>
          <w:highlight w:val="lightGray"/>
        </w:rPr>
        <w:t>efinition to be updated if the proposed Project comprises dispatchable</w:t>
      </w:r>
      <w:r w:rsidR="00FB12FB" w:rsidRPr="00FB7EB2">
        <w:rPr>
          <w:b/>
          <w:bCs/>
          <w:i/>
          <w:iCs/>
          <w:highlight w:val="lightGray"/>
        </w:rPr>
        <w:t>, non-storage</w:t>
      </w:r>
      <w:r w:rsidRPr="00FB7EB2">
        <w:rPr>
          <w:b/>
          <w:bCs/>
          <w:i/>
          <w:iCs/>
          <w:highlight w:val="lightGray"/>
        </w:rPr>
        <w:t xml:space="preserve"> capacity only.</w:t>
      </w:r>
      <w:r w:rsidRPr="00BF2977">
        <w:t>]</w:t>
      </w:r>
    </w:p>
    <w:p w14:paraId="68103C61" w14:textId="383C7BF4" w:rsidR="003F4015" w:rsidRDefault="003F4015" w:rsidP="0058045D">
      <w:pPr>
        <w:pStyle w:val="Heading7"/>
        <w:numPr>
          <w:ilvl w:val="0"/>
          <w:numId w:val="0"/>
        </w:numPr>
        <w:ind w:left="737"/>
      </w:pPr>
      <w:r w:rsidRPr="00666ED4">
        <w:rPr>
          <w:b/>
          <w:bCs/>
        </w:rPr>
        <w:t xml:space="preserve">Import Capacity </w:t>
      </w:r>
      <w:r w:rsidRPr="00666ED4">
        <w:t xml:space="preserve">has the meaning given in item </w:t>
      </w:r>
      <w:r w:rsidRPr="00666ED4">
        <w:fldChar w:fldCharType="begin"/>
      </w:r>
      <w:r w:rsidRPr="00666ED4">
        <w:instrText xml:space="preserve"> REF _Ref172454647 \r \h </w:instrText>
      </w:r>
      <w:r w:rsidR="00D6422A" w:rsidRPr="00666ED4">
        <w:instrText xml:space="preserve"> \* MERGEFORMAT </w:instrText>
      </w:r>
      <w:r w:rsidRPr="00666ED4">
        <w:fldChar w:fldCharType="separate"/>
      </w:r>
      <w:r w:rsidR="002E5C6A">
        <w:t>2</w:t>
      </w:r>
      <w:r w:rsidRPr="00666ED4">
        <w:fldChar w:fldCharType="end"/>
      </w:r>
      <w:r w:rsidRPr="00666ED4">
        <w:t xml:space="preserve"> of the Reference Details.</w:t>
      </w:r>
      <w:r>
        <w:t xml:space="preserve"> </w:t>
      </w:r>
    </w:p>
    <w:p w14:paraId="3A0DCA0D" w14:textId="22D5F8EC" w:rsidR="003E05DB" w:rsidRPr="00ED6B6A" w:rsidRDefault="003E05DB" w:rsidP="00951C26">
      <w:pPr>
        <w:pStyle w:val="BodyIndent1"/>
        <w:spacing w:before="0" w:after="240"/>
        <w:ind w:left="737"/>
      </w:pPr>
      <w:r w:rsidRPr="0055337B">
        <w:rPr>
          <w:b/>
          <w:bCs/>
        </w:rPr>
        <w:t xml:space="preserve">Incorrect Apportionment </w:t>
      </w:r>
      <w:r w:rsidRPr="0055337B">
        <w:t xml:space="preserve">has the meaning given in clause </w:t>
      </w:r>
      <w:r>
        <w:fldChar w:fldCharType="begin"/>
      </w:r>
      <w:r>
        <w:instrText xml:space="preserve"> REF _Ref196386542 \r \h </w:instrText>
      </w:r>
      <w:r>
        <w:fldChar w:fldCharType="separate"/>
      </w:r>
      <w:r w:rsidR="002E5C6A">
        <w:t>15.7(b)</w:t>
      </w:r>
      <w:r>
        <w:fldChar w:fldCharType="end"/>
      </w:r>
      <w:r w:rsidRPr="0055337B">
        <w:t>.</w:t>
      </w:r>
    </w:p>
    <w:p w14:paraId="01D96FEB" w14:textId="7D02966B" w:rsidR="00066698" w:rsidRDefault="00066698" w:rsidP="00066698">
      <w:pPr>
        <w:pStyle w:val="Heading7"/>
        <w:numPr>
          <w:ilvl w:val="6"/>
          <w:numId w:val="0"/>
        </w:numPr>
        <w:ind w:left="737"/>
      </w:pPr>
      <w:r>
        <w:rPr>
          <w:b/>
          <w:bCs/>
        </w:rPr>
        <w:t xml:space="preserve">Indemnified Party </w:t>
      </w:r>
      <w:r>
        <w:t xml:space="preserve">has the meaning given in clause </w:t>
      </w:r>
      <w:r w:rsidR="009327F8">
        <w:fldChar w:fldCharType="begin"/>
      </w:r>
      <w:r w:rsidR="009327F8">
        <w:instrText xml:space="preserve"> REF _Ref205750703 \r \h </w:instrText>
      </w:r>
      <w:r w:rsidR="009327F8">
        <w:fldChar w:fldCharType="separate"/>
      </w:r>
      <w:r w:rsidR="002E5C6A">
        <w:t>29.5(a)</w:t>
      </w:r>
      <w:r w:rsidR="009327F8">
        <w:fldChar w:fldCharType="end"/>
      </w:r>
      <w:r>
        <w:t>.</w:t>
      </w:r>
    </w:p>
    <w:p w14:paraId="06031C8B" w14:textId="3B509153" w:rsidR="00504BD3" w:rsidRPr="002E220D" w:rsidRDefault="00DF610F" w:rsidP="0058045D">
      <w:pPr>
        <w:pStyle w:val="Heading7"/>
        <w:numPr>
          <w:ilvl w:val="0"/>
          <w:numId w:val="0"/>
        </w:numPr>
        <w:ind w:left="737"/>
      </w:pPr>
      <w:r w:rsidRPr="1A62E2FE">
        <w:rPr>
          <w:b/>
          <w:bCs/>
        </w:rPr>
        <w:t>Independent Expert</w:t>
      </w:r>
      <w:r w:rsidR="009D48A2" w:rsidRPr="1A62E2FE">
        <w:rPr>
          <w:b/>
          <w:bCs/>
        </w:rPr>
        <w:t xml:space="preserve"> </w:t>
      </w:r>
      <w:r w:rsidR="009D48A2" w:rsidRPr="1A62E2FE">
        <w:t>has the meaning given in</w:t>
      </w:r>
      <w:r w:rsidRPr="1A62E2FE">
        <w:t xml:space="preserve"> clause </w:t>
      </w:r>
      <w:r w:rsidR="009327F8">
        <w:fldChar w:fldCharType="begin"/>
      </w:r>
      <w:r w:rsidR="009327F8">
        <w:instrText xml:space="preserve"> REF _Ref103668824 \r \h </w:instrText>
      </w:r>
      <w:r w:rsidR="009327F8">
        <w:fldChar w:fldCharType="separate"/>
      </w:r>
      <w:r w:rsidR="002E5C6A">
        <w:t>27.6(a)</w:t>
      </w:r>
      <w:r w:rsidR="009327F8">
        <w:fldChar w:fldCharType="end"/>
      </w:r>
      <w:r>
        <w:rPr>
          <w:bCs/>
        </w:rPr>
        <w:t>.</w:t>
      </w:r>
    </w:p>
    <w:p w14:paraId="406AADFA" w14:textId="0CD428AD" w:rsidR="003D5E83" w:rsidRDefault="00E45B48" w:rsidP="00467340">
      <w:pPr>
        <w:pStyle w:val="Heading7"/>
        <w:numPr>
          <w:ilvl w:val="6"/>
          <w:numId w:val="45"/>
        </w:numPr>
      </w:pPr>
      <w:r w:rsidRPr="003D5E83">
        <w:rPr>
          <w:b/>
          <w:bCs/>
        </w:rPr>
        <w:t>Ineligible Tax</w:t>
      </w:r>
      <w:r>
        <w:t xml:space="preserve"> means any</w:t>
      </w:r>
      <w:r w:rsidR="003E05DB" w:rsidRPr="003E05DB">
        <w:t xml:space="preserve"> </w:t>
      </w:r>
      <w:r w:rsidR="003E05DB">
        <w:t>Federal, State, Territory or local Government</w:t>
      </w:r>
      <w:r>
        <w:t xml:space="preserve"> income, capital gains, stamp, payroll, land, council or transaction duty, tax or charge, or any taxes or charges analogous to such taxes or charges. </w:t>
      </w:r>
    </w:p>
    <w:p w14:paraId="57A13379" w14:textId="3134AC72" w:rsidR="00CB739B" w:rsidRDefault="00CB739B" w:rsidP="00467340">
      <w:pPr>
        <w:pStyle w:val="Heading7"/>
        <w:numPr>
          <w:ilvl w:val="6"/>
          <w:numId w:val="45"/>
        </w:numPr>
      </w:pPr>
      <w:r>
        <w:rPr>
          <w:b/>
          <w:bCs/>
        </w:rPr>
        <w:t>Input Resource</w:t>
      </w:r>
      <w:r>
        <w:t xml:space="preserve"> means the energy available at the Connection Point.</w:t>
      </w:r>
    </w:p>
    <w:p w14:paraId="5E409920" w14:textId="18898973" w:rsidR="00907F1C" w:rsidRDefault="00907F1C" w:rsidP="00467340">
      <w:pPr>
        <w:pStyle w:val="Heading7"/>
        <w:keepNext/>
        <w:numPr>
          <w:ilvl w:val="6"/>
          <w:numId w:val="45"/>
        </w:numPr>
      </w:pPr>
      <w:r w:rsidRPr="008F229D">
        <w:rPr>
          <w:b/>
        </w:rPr>
        <w:t>Insolvency Event</w:t>
      </w:r>
      <w:r>
        <w:t xml:space="preserve"> means, in respect of </w:t>
      </w:r>
      <w:r w:rsidR="00D462B5">
        <w:t>Project Operator</w:t>
      </w:r>
      <w:r>
        <w:t>:</w:t>
      </w:r>
    </w:p>
    <w:p w14:paraId="6F3F373D" w14:textId="77777777" w:rsidR="0062719B" w:rsidRPr="00354E1C" w:rsidRDefault="2BC382E4" w:rsidP="0058045D">
      <w:pPr>
        <w:pStyle w:val="Heading8"/>
        <w:tabs>
          <w:tab w:val="clear" w:pos="1474"/>
          <w:tab w:val="num" w:pos="968"/>
        </w:tabs>
      </w:pPr>
      <w:bookmarkStart w:id="115" w:name="_Ref167911567"/>
      <w:bookmarkStart w:id="116" w:name="_Ref395012010"/>
      <w:r>
        <w:t xml:space="preserve">it is (or states that it is) an insolvent under administration or insolvent (each as defined in the </w:t>
      </w:r>
      <w:r w:rsidRPr="2BC382E4">
        <w:rPr>
          <w:rFonts w:eastAsia="SimSun"/>
          <w:lang w:eastAsia="zh-CN"/>
        </w:rPr>
        <w:t>Corporations Act</w:t>
      </w:r>
      <w:r>
        <w:t>);</w:t>
      </w:r>
      <w:bookmarkEnd w:id="115"/>
    </w:p>
    <w:p w14:paraId="67371E76" w14:textId="77777777" w:rsidR="00F573D5" w:rsidRPr="00354E1C" w:rsidRDefault="2BC382E4" w:rsidP="0058045D">
      <w:pPr>
        <w:pStyle w:val="Heading8"/>
        <w:tabs>
          <w:tab w:val="clear" w:pos="1474"/>
          <w:tab w:val="num" w:pos="968"/>
        </w:tabs>
      </w:pPr>
      <w:bookmarkStart w:id="117" w:name="_Ref167911575"/>
      <w:bookmarkEnd w:id="116"/>
      <w:r>
        <w:t>it is in liquidation, in provisional liquidation, under administration or wound up or has had a “controller” (as defined in the Corporations Act) appointed to all or substantially all of its property;</w:t>
      </w:r>
      <w:bookmarkEnd w:id="117"/>
    </w:p>
    <w:p w14:paraId="48988615" w14:textId="3E2EE071" w:rsidR="00F573D5" w:rsidRPr="00354E1C" w:rsidRDefault="2BC382E4" w:rsidP="0058045D">
      <w:pPr>
        <w:pStyle w:val="Heading8"/>
        <w:tabs>
          <w:tab w:val="clear" w:pos="1474"/>
          <w:tab w:val="num" w:pos="968"/>
        </w:tabs>
      </w:pPr>
      <w:bookmarkStart w:id="118" w:name="_Ref167911584"/>
      <w:r>
        <w:t xml:space="preserve">it is subject to any arrangement (including a deed of company arrangement or scheme of arrangement), assignment, moratorium or compromise or composition, protected from creditors under any statute or dissolved </w:t>
      </w:r>
      <w:bookmarkStart w:id="119" w:name="F_Insolvent"/>
      <w:r>
        <w:t xml:space="preserve">(in each case, other than to carry out a reconstruction or amalgamation while solvent on terms approved by the </w:t>
      </w:r>
      <w:r w:rsidR="003E05DB">
        <w:t>Commonwealth</w:t>
      </w:r>
      <w:r>
        <w:t>)</w:t>
      </w:r>
      <w:bookmarkEnd w:id="119"/>
      <w:r>
        <w:t>;</w:t>
      </w:r>
      <w:bookmarkEnd w:id="118"/>
    </w:p>
    <w:p w14:paraId="1E5CBF14" w14:textId="26D2F348" w:rsidR="00F573D5" w:rsidRPr="00354E1C" w:rsidRDefault="2BC382E4" w:rsidP="0058045D">
      <w:pPr>
        <w:pStyle w:val="Heading8"/>
        <w:tabs>
          <w:tab w:val="clear" w:pos="1474"/>
          <w:tab w:val="num" w:pos="968"/>
        </w:tabs>
      </w:pPr>
      <w:r>
        <w:t xml:space="preserve">an application or order has been made (and in the case of an application which is disputed by </w:t>
      </w:r>
      <w:r w:rsidR="00D462B5">
        <w:t>Project Operator</w:t>
      </w:r>
      <w:r>
        <w:t xml:space="preserve">, it is not stayed, withdrawn or dismissed within 20 Business Days), resolution passed, proposal put forward or any other action taken, in each case in connection with </w:t>
      </w:r>
      <w:r w:rsidR="00BA1240">
        <w:t>Project Operator</w:t>
      </w:r>
      <w:r>
        <w:t xml:space="preserve">, </w:t>
      </w:r>
      <w:r w:rsidR="00BA1240">
        <w:t xml:space="preserve">that </w:t>
      </w:r>
      <w:r>
        <w:t xml:space="preserve">is preparatory to or could result in any of the things described in paragraphs </w:t>
      </w:r>
      <w:r w:rsidR="00D00E94">
        <w:fldChar w:fldCharType="begin"/>
      </w:r>
      <w:r w:rsidR="00D00E94">
        <w:instrText xml:space="preserve"> REF _Ref167911567 \n \h </w:instrText>
      </w:r>
      <w:r w:rsidR="00D00E94">
        <w:fldChar w:fldCharType="separate"/>
      </w:r>
      <w:r w:rsidR="002E5C6A">
        <w:t>(a)</w:t>
      </w:r>
      <w:r w:rsidR="00D00E94">
        <w:fldChar w:fldCharType="end"/>
      </w:r>
      <w:r>
        <w:t xml:space="preserve">, </w:t>
      </w:r>
      <w:r w:rsidR="00D00E94">
        <w:fldChar w:fldCharType="begin"/>
      </w:r>
      <w:r w:rsidR="00D00E94">
        <w:instrText xml:space="preserve"> REF _Ref167911575 \n \h </w:instrText>
      </w:r>
      <w:r w:rsidR="00D00E94">
        <w:fldChar w:fldCharType="separate"/>
      </w:r>
      <w:r w:rsidR="002E5C6A">
        <w:t>(b)</w:t>
      </w:r>
      <w:r w:rsidR="00D00E94">
        <w:fldChar w:fldCharType="end"/>
      </w:r>
      <w:r>
        <w:t xml:space="preserve"> or </w:t>
      </w:r>
      <w:r w:rsidR="00D00E94">
        <w:fldChar w:fldCharType="begin"/>
      </w:r>
      <w:r w:rsidR="00D00E94">
        <w:instrText xml:space="preserve"> REF _Ref167911584 \n \h </w:instrText>
      </w:r>
      <w:r w:rsidR="00D00E94">
        <w:fldChar w:fldCharType="separate"/>
      </w:r>
      <w:r w:rsidR="002E5C6A">
        <w:t>(c)</w:t>
      </w:r>
      <w:r w:rsidR="00D00E94">
        <w:fldChar w:fldCharType="end"/>
      </w:r>
      <w:r>
        <w:t xml:space="preserve"> or any other action </w:t>
      </w:r>
      <w:r w:rsidR="00BA1240">
        <w:t xml:space="preserve">is </w:t>
      </w:r>
      <w:r>
        <w:t xml:space="preserve">taken, in each case in connection with </w:t>
      </w:r>
      <w:r w:rsidR="00BA1240">
        <w:t>Project Operator</w:t>
      </w:r>
      <w:r>
        <w:t xml:space="preserve">, in respect of any of the things described in paragraphs </w:t>
      </w:r>
      <w:r w:rsidR="00D00E94">
        <w:fldChar w:fldCharType="begin"/>
      </w:r>
      <w:r w:rsidR="00D00E94">
        <w:instrText xml:space="preserve"> REF _Ref167911567 \n \h </w:instrText>
      </w:r>
      <w:r w:rsidR="00D00E94">
        <w:fldChar w:fldCharType="separate"/>
      </w:r>
      <w:r w:rsidR="002E5C6A">
        <w:t>(a)</w:t>
      </w:r>
      <w:r w:rsidR="00D00E94">
        <w:fldChar w:fldCharType="end"/>
      </w:r>
      <w:r>
        <w:t xml:space="preserve">, </w:t>
      </w:r>
      <w:r w:rsidR="00D00E94">
        <w:fldChar w:fldCharType="begin"/>
      </w:r>
      <w:r w:rsidR="00D00E94">
        <w:instrText xml:space="preserve"> REF _Ref167911575 \n \h </w:instrText>
      </w:r>
      <w:r w:rsidR="00D00E94">
        <w:fldChar w:fldCharType="separate"/>
      </w:r>
      <w:r w:rsidR="002E5C6A">
        <w:t>(b)</w:t>
      </w:r>
      <w:r w:rsidR="00D00E94">
        <w:fldChar w:fldCharType="end"/>
      </w:r>
      <w:r>
        <w:t xml:space="preserve"> or </w:t>
      </w:r>
      <w:r w:rsidR="00D00E94">
        <w:fldChar w:fldCharType="begin"/>
      </w:r>
      <w:r w:rsidR="00D00E94">
        <w:instrText xml:space="preserve"> REF _Ref167911584 \n \h </w:instrText>
      </w:r>
      <w:r w:rsidR="00D00E94">
        <w:fldChar w:fldCharType="separate"/>
      </w:r>
      <w:r w:rsidR="002E5C6A">
        <w:t>(c)</w:t>
      </w:r>
      <w:r w:rsidR="00D00E94">
        <w:fldChar w:fldCharType="end"/>
      </w:r>
      <w:r>
        <w:t>;</w:t>
      </w:r>
    </w:p>
    <w:p w14:paraId="671B27DF" w14:textId="77777777" w:rsidR="00F573D5" w:rsidRPr="00354E1C" w:rsidRDefault="2BC382E4" w:rsidP="0058045D">
      <w:pPr>
        <w:pStyle w:val="Heading8"/>
        <w:tabs>
          <w:tab w:val="clear" w:pos="1474"/>
          <w:tab w:val="num" w:pos="968"/>
        </w:tabs>
      </w:pPr>
      <w:r>
        <w:t xml:space="preserve">it is taken (under section 459F(1) of the </w:t>
      </w:r>
      <w:r w:rsidRPr="2BC382E4">
        <w:rPr>
          <w:rFonts w:eastAsia="SimSun"/>
          <w:lang w:eastAsia="zh-CN"/>
        </w:rPr>
        <w:t>Corporations Act</w:t>
      </w:r>
      <w:r>
        <w:t>) to have failed to comply with a statutory demand;</w:t>
      </w:r>
    </w:p>
    <w:p w14:paraId="17D58C67" w14:textId="75E5ACB1" w:rsidR="00F573D5" w:rsidRPr="00354E1C" w:rsidRDefault="005039AB" w:rsidP="00984DE8">
      <w:pPr>
        <w:pStyle w:val="Heading8"/>
      </w:pPr>
      <w:r>
        <w:tab/>
      </w:r>
      <w:r w:rsidR="2BC382E4">
        <w:t xml:space="preserve">it is the subject of an event described in section 459C(2)(b) or section 585 of the </w:t>
      </w:r>
      <w:r w:rsidR="2BC382E4" w:rsidRPr="2BC382E4">
        <w:rPr>
          <w:rFonts w:eastAsia="SimSun"/>
          <w:lang w:eastAsia="zh-CN"/>
        </w:rPr>
        <w:t>Corporations Act</w:t>
      </w:r>
      <w:r w:rsidR="2BC382E4" w:rsidRPr="2BC382E4">
        <w:rPr>
          <w:i/>
          <w:iCs/>
        </w:rPr>
        <w:t xml:space="preserve"> </w:t>
      </w:r>
      <w:r w:rsidR="2BC382E4">
        <w:t xml:space="preserve">(or it makes a statement from which </w:t>
      </w:r>
      <w:r w:rsidR="00022D15">
        <w:t xml:space="preserve">another party to this agreement </w:t>
      </w:r>
      <w:r w:rsidR="2BC382E4">
        <w:t>reasonably deduces it is so subject);</w:t>
      </w:r>
    </w:p>
    <w:p w14:paraId="7677FE97" w14:textId="77777777" w:rsidR="00F573D5" w:rsidRPr="00354E1C" w:rsidRDefault="2BC382E4" w:rsidP="0058045D">
      <w:pPr>
        <w:pStyle w:val="Heading8"/>
        <w:tabs>
          <w:tab w:val="clear" w:pos="1474"/>
          <w:tab w:val="num" w:pos="968"/>
        </w:tabs>
      </w:pPr>
      <w:bookmarkStart w:id="120" w:name="_Ref167911643"/>
      <w:r>
        <w:t>it is otherwise unable to pay its debts when they fall due; or</w:t>
      </w:r>
      <w:bookmarkEnd w:id="120"/>
    </w:p>
    <w:p w14:paraId="746EE961" w14:textId="4B7551E1" w:rsidR="00F573D5" w:rsidRDefault="2BC382E4" w:rsidP="0058045D">
      <w:pPr>
        <w:pStyle w:val="Heading8"/>
        <w:tabs>
          <w:tab w:val="clear" w:pos="1474"/>
          <w:tab w:val="num" w:pos="968"/>
        </w:tabs>
      </w:pPr>
      <w:r>
        <w:t>something having a substantially similar effect to any of the things described in paragraphs </w:t>
      </w:r>
      <w:r w:rsidR="00D00E94">
        <w:fldChar w:fldCharType="begin"/>
      </w:r>
      <w:r w:rsidR="00D00E94">
        <w:instrText xml:space="preserve"> REF _Ref167911567 \n \h </w:instrText>
      </w:r>
      <w:r w:rsidR="00D00E94">
        <w:fldChar w:fldCharType="separate"/>
      </w:r>
      <w:r w:rsidR="002E5C6A">
        <w:t>(a)</w:t>
      </w:r>
      <w:r w:rsidR="00D00E94">
        <w:fldChar w:fldCharType="end"/>
      </w:r>
      <w:r>
        <w:t xml:space="preserve"> to </w:t>
      </w:r>
      <w:r w:rsidR="00D00E94">
        <w:fldChar w:fldCharType="begin"/>
      </w:r>
      <w:r w:rsidR="00D00E94">
        <w:instrText xml:space="preserve"> REF _Ref167911643 \n \h </w:instrText>
      </w:r>
      <w:r w:rsidR="00D00E94">
        <w:fldChar w:fldCharType="separate"/>
      </w:r>
      <w:r w:rsidR="002E5C6A">
        <w:t>(g)</w:t>
      </w:r>
      <w:r w:rsidR="00D00E94">
        <w:fldChar w:fldCharType="end"/>
      </w:r>
      <w:r>
        <w:t xml:space="preserve"> happens in connection with </w:t>
      </w:r>
      <w:r w:rsidR="00BA1240">
        <w:t>Project Operator</w:t>
      </w:r>
      <w:r w:rsidR="00990A8C">
        <w:t xml:space="preserve"> </w:t>
      </w:r>
      <w:r>
        <w:t>under the law of any jurisdiction.</w:t>
      </w:r>
    </w:p>
    <w:p w14:paraId="64428F34" w14:textId="3277032B" w:rsidR="004079C5" w:rsidRDefault="004079C5" w:rsidP="00B5506F">
      <w:pPr>
        <w:pStyle w:val="Heading7"/>
        <w:keepNext/>
      </w:pPr>
      <w:r>
        <w:rPr>
          <w:b/>
          <w:bCs/>
        </w:rPr>
        <w:t xml:space="preserve">Insurance Policies </w:t>
      </w:r>
      <w:r>
        <w:t xml:space="preserve">has the meaning given in clause </w:t>
      </w:r>
      <w:r w:rsidR="009327F8">
        <w:fldChar w:fldCharType="begin"/>
      </w:r>
      <w:r w:rsidR="009327F8">
        <w:instrText xml:space="preserve"> REF _Ref160872282 \r \h </w:instrText>
      </w:r>
      <w:r w:rsidR="009327F8">
        <w:fldChar w:fldCharType="separate"/>
      </w:r>
      <w:r w:rsidR="002E5C6A">
        <w:t>9(a)</w:t>
      </w:r>
      <w:r w:rsidR="009327F8">
        <w:fldChar w:fldCharType="end"/>
      </w:r>
      <w:r>
        <w:t>.</w:t>
      </w:r>
    </w:p>
    <w:p w14:paraId="5DFC1843" w14:textId="227B0383" w:rsidR="003D072D" w:rsidRPr="00716FCD" w:rsidRDefault="2BC382E4" w:rsidP="00B5506F">
      <w:pPr>
        <w:pStyle w:val="Heading7"/>
        <w:keepNext/>
      </w:pPr>
      <w:r w:rsidRPr="2BC382E4">
        <w:rPr>
          <w:b/>
          <w:bCs/>
        </w:rPr>
        <w:t>Intellectual Property</w:t>
      </w:r>
      <w:r>
        <w:t xml:space="preserve"> means all intellectual property rights, including the following rights:</w:t>
      </w:r>
    </w:p>
    <w:p w14:paraId="2B3B9D14" w14:textId="77777777" w:rsidR="00AB2BDC" w:rsidRPr="00716FCD" w:rsidRDefault="00AB2BDC" w:rsidP="00560FD4">
      <w:pPr>
        <w:pStyle w:val="Heading8"/>
        <w:numPr>
          <w:ilvl w:val="7"/>
          <w:numId w:val="134"/>
        </w:numPr>
      </w:pPr>
      <w:bookmarkStart w:id="121" w:name="_Ref310513807"/>
      <w:bookmarkStart w:id="122" w:name="_Ref_ContractCompanion_9kb9Ur3AA"/>
      <w:bookmarkStart w:id="123" w:name="_Ref310513831"/>
      <w:r w:rsidRPr="00716FCD">
        <w:t xml:space="preserve">patents, copyright (including future copyright), rights in circuit layouts, designs, trade and service marks (including goodwill in those marks), know how, </w:t>
      </w:r>
      <w:bookmarkEnd w:id="121"/>
      <w:r w:rsidRPr="00716FCD">
        <w:t>domain names and trade names and any right to have information kept confidential;</w:t>
      </w:r>
      <w:bookmarkEnd w:id="122"/>
    </w:p>
    <w:p w14:paraId="2905E0D5" w14:textId="0234D65E" w:rsidR="003D072D" w:rsidRPr="00716FCD" w:rsidRDefault="2BC382E4" w:rsidP="0058045D">
      <w:pPr>
        <w:pStyle w:val="Heading8"/>
        <w:tabs>
          <w:tab w:val="clear" w:pos="1474"/>
          <w:tab w:val="num" w:pos="968"/>
        </w:tabs>
      </w:pPr>
      <w:bookmarkStart w:id="124" w:name="_Ref_ContractCompanion_9kb9Ur3AC"/>
      <w:r>
        <w:t>any application or right to apply for registration of any of the rights referred to in paragraph </w:t>
      </w:r>
      <w:r w:rsidR="00EF6FF8">
        <w:fldChar w:fldCharType="begin"/>
      </w:r>
      <w:r w:rsidR="00EF6FF8">
        <w:instrText xml:space="preserve"> REF _Ref_ContractCompanion_9kb9Ur3AA \w \n \h \t \* MERGEFORMAT </w:instrText>
      </w:r>
      <w:r w:rsidR="00EF6FF8">
        <w:fldChar w:fldCharType="separate"/>
      </w:r>
      <w:r w:rsidR="004F0175">
        <w:t>(a)</w:t>
      </w:r>
      <w:r w:rsidR="00EF6FF8">
        <w:fldChar w:fldCharType="end"/>
      </w:r>
      <w:r>
        <w:t>; and</w:t>
      </w:r>
      <w:bookmarkEnd w:id="123"/>
      <w:bookmarkEnd w:id="124"/>
    </w:p>
    <w:p w14:paraId="618F19AD" w14:textId="06324598" w:rsidR="003D072D" w:rsidRPr="00716FCD" w:rsidRDefault="2BC382E4" w:rsidP="0058045D">
      <w:pPr>
        <w:pStyle w:val="Heading8"/>
        <w:tabs>
          <w:tab w:val="clear" w:pos="1474"/>
          <w:tab w:val="num" w:pos="968"/>
        </w:tabs>
      </w:pPr>
      <w:r>
        <w:t>all rights of a similar nature to any of the rights in paragraphs </w:t>
      </w:r>
      <w:r w:rsidR="00EF6FF8">
        <w:fldChar w:fldCharType="begin"/>
      </w:r>
      <w:r w:rsidR="00EF6FF8">
        <w:instrText xml:space="preserve"> REF _Ref_ContractCompanion_9kb9Ur3AA \w \n \h \t \* MERGEFORMAT </w:instrText>
      </w:r>
      <w:r w:rsidR="00EF6FF8">
        <w:fldChar w:fldCharType="separate"/>
      </w:r>
      <w:r w:rsidR="004F0175">
        <w:t>(a)</w:t>
      </w:r>
      <w:r w:rsidR="00EF6FF8">
        <w:fldChar w:fldCharType="end"/>
      </w:r>
      <w:r>
        <w:t xml:space="preserve"> and </w:t>
      </w:r>
      <w:r w:rsidR="003928EC">
        <w:fldChar w:fldCharType="begin"/>
      </w:r>
      <w:r w:rsidR="003928EC">
        <w:instrText xml:space="preserve"> REF _Ref_ContractCompanion_9kb9Ur3AC \n \h </w:instrText>
      </w:r>
      <w:r w:rsidR="003928EC">
        <w:fldChar w:fldCharType="separate"/>
      </w:r>
      <w:r w:rsidR="004F0175">
        <w:t>(b)</w:t>
      </w:r>
      <w:r w:rsidR="003928EC">
        <w:fldChar w:fldCharType="end"/>
      </w:r>
      <w:r>
        <w:t xml:space="preserve"> that may subsist anywhere in the world (including Australia),</w:t>
      </w:r>
    </w:p>
    <w:p w14:paraId="49D8FAEE" w14:textId="77777777" w:rsidR="00CF0DE9" w:rsidRPr="003D072D" w:rsidRDefault="2BC382E4" w:rsidP="0058045D">
      <w:pPr>
        <w:pStyle w:val="Heading7"/>
      </w:pPr>
      <w:r>
        <w:t>whether or not such rights are registered or capable of being registered.</w:t>
      </w:r>
    </w:p>
    <w:p w14:paraId="241F6AAF" w14:textId="0F45E501" w:rsidR="0008591C" w:rsidRDefault="0008591C" w:rsidP="0058045D">
      <w:pPr>
        <w:pStyle w:val="Heading7"/>
      </w:pPr>
      <w:r w:rsidRPr="1A62E2FE">
        <w:rPr>
          <w:b/>
          <w:bCs/>
        </w:rPr>
        <w:t xml:space="preserve">Invoice </w:t>
      </w:r>
      <w:r>
        <w:t xml:space="preserve">has the meaning given in clause </w:t>
      </w:r>
      <w:r w:rsidR="009327F8">
        <w:fldChar w:fldCharType="begin"/>
      </w:r>
      <w:r w:rsidR="009327F8">
        <w:instrText xml:space="preserve"> REF _Ref205750769 \r \h </w:instrText>
      </w:r>
      <w:r w:rsidR="009327F8">
        <w:fldChar w:fldCharType="separate"/>
      </w:r>
      <w:r w:rsidR="002E5C6A">
        <w:t>16.1(a)</w:t>
      </w:r>
      <w:r w:rsidR="009327F8">
        <w:fldChar w:fldCharType="end"/>
      </w:r>
      <w:r>
        <w:t>.</w:t>
      </w:r>
    </w:p>
    <w:p w14:paraId="644C7677" w14:textId="483F3FF4" w:rsidR="008C1FCC" w:rsidRPr="0097438F" w:rsidRDefault="008C1FCC" w:rsidP="0058045D">
      <w:pPr>
        <w:pStyle w:val="Heading7"/>
      </w:pPr>
      <w:r w:rsidRPr="1A62E2FE">
        <w:rPr>
          <w:b/>
          <w:bCs/>
        </w:rPr>
        <w:t>Invoiced Sum</w:t>
      </w:r>
      <w:r w:rsidRPr="1A62E2FE">
        <w:t xml:space="preserve"> has the meaning given in clause </w:t>
      </w:r>
      <w:r w:rsidR="009327F8">
        <w:fldChar w:fldCharType="begin"/>
      </w:r>
      <w:r w:rsidR="009327F8">
        <w:instrText xml:space="preserve"> REF _Ref205750769 \r \h </w:instrText>
      </w:r>
      <w:r w:rsidR="009327F8">
        <w:fldChar w:fldCharType="separate"/>
      </w:r>
      <w:r w:rsidR="002E5C6A">
        <w:t>16.1(a)</w:t>
      </w:r>
      <w:r w:rsidR="009327F8">
        <w:fldChar w:fldCharType="end"/>
      </w:r>
      <w:r w:rsidR="001E3C0E">
        <w:rPr>
          <w:bCs/>
        </w:rPr>
        <w:t>.</w:t>
      </w:r>
    </w:p>
    <w:p w14:paraId="44C24A42" w14:textId="346C2C8F" w:rsidR="003E7B31" w:rsidRDefault="003E7B31" w:rsidP="00B5506F">
      <w:pPr>
        <w:pStyle w:val="Heading7"/>
        <w:keepNext/>
      </w:pPr>
      <w:r w:rsidRPr="000417B0">
        <w:rPr>
          <w:b/>
          <w:bCs/>
        </w:rPr>
        <w:t>Key Subcontract</w:t>
      </w:r>
      <w:r w:rsidRPr="000417B0">
        <w:t xml:space="preserve"> means a Subcontract</w:t>
      </w:r>
      <w:r w:rsidR="00022D15">
        <w:t xml:space="preserve"> that meets any of the following requirements</w:t>
      </w:r>
      <w:r w:rsidRPr="000417B0">
        <w:t>:</w:t>
      </w:r>
      <w:r>
        <w:t xml:space="preserve"> </w:t>
      </w:r>
    </w:p>
    <w:p w14:paraId="6CA792ED" w14:textId="24F8D991" w:rsidR="003E7B31" w:rsidRPr="000417B0" w:rsidRDefault="003E7B31" w:rsidP="00B5506F">
      <w:pPr>
        <w:pStyle w:val="Heading7"/>
        <w:keepNext/>
      </w:pPr>
      <w:r w:rsidRPr="00FB7EB2">
        <w:rPr>
          <w:b/>
          <w:bCs/>
          <w:i/>
          <w:iCs/>
        </w:rPr>
        <w:t>[</w:t>
      </w:r>
      <w:r w:rsidR="00AD4EA6">
        <w:rPr>
          <w:b/>
          <w:bCs/>
          <w:i/>
          <w:iCs/>
          <w:highlight w:val="lightGray"/>
        </w:rPr>
        <w:t>N</w:t>
      </w:r>
      <w:r w:rsidRPr="003E7B31">
        <w:rPr>
          <w:b/>
          <w:bCs/>
          <w:i/>
          <w:iCs/>
          <w:highlight w:val="lightGray"/>
        </w:rPr>
        <w:t>ote: th</w:t>
      </w:r>
      <w:r>
        <w:rPr>
          <w:b/>
          <w:bCs/>
          <w:i/>
          <w:iCs/>
          <w:highlight w:val="lightGray"/>
        </w:rPr>
        <w:t>e relevant</w:t>
      </w:r>
      <w:r w:rsidRPr="003E7B31">
        <w:rPr>
          <w:b/>
          <w:bCs/>
          <w:i/>
          <w:iCs/>
          <w:highlight w:val="lightGray"/>
        </w:rPr>
        <w:t xml:space="preserve"> value</w:t>
      </w:r>
      <w:r>
        <w:rPr>
          <w:b/>
          <w:bCs/>
          <w:i/>
          <w:iCs/>
          <w:highlight w:val="lightGray"/>
        </w:rPr>
        <w:t>s</w:t>
      </w:r>
      <w:r w:rsidRPr="003E7B31">
        <w:rPr>
          <w:b/>
          <w:bCs/>
          <w:i/>
          <w:iCs/>
          <w:highlight w:val="lightGray"/>
        </w:rPr>
        <w:t xml:space="preserve"> will be set as a percentage of total capital expenditure being 20% of Capex during the </w:t>
      </w:r>
      <w:r w:rsidR="00DD3CEC">
        <w:rPr>
          <w:b/>
          <w:bCs/>
          <w:i/>
          <w:iCs/>
          <w:highlight w:val="lightGray"/>
        </w:rPr>
        <w:t>c</w:t>
      </w:r>
      <w:r w:rsidRPr="003E7B31">
        <w:rPr>
          <w:b/>
          <w:bCs/>
          <w:i/>
          <w:iCs/>
          <w:highlight w:val="lightGray"/>
        </w:rPr>
        <w:t xml:space="preserve">onstruction </w:t>
      </w:r>
      <w:r w:rsidR="00DD3CEC">
        <w:rPr>
          <w:b/>
          <w:bCs/>
          <w:i/>
          <w:iCs/>
          <w:highlight w:val="lightGray"/>
        </w:rPr>
        <w:t xml:space="preserve">of the Project </w:t>
      </w:r>
      <w:r w:rsidRPr="003E7B31">
        <w:rPr>
          <w:b/>
          <w:bCs/>
          <w:i/>
          <w:iCs/>
          <w:highlight w:val="lightGray"/>
        </w:rPr>
        <w:t xml:space="preserve">and </w:t>
      </w:r>
      <w:r w:rsidR="00E000B9">
        <w:rPr>
          <w:b/>
          <w:bCs/>
          <w:i/>
          <w:iCs/>
          <w:highlight w:val="lightGray"/>
        </w:rPr>
        <w:t>2</w:t>
      </w:r>
      <w:r w:rsidRPr="003E7B31">
        <w:rPr>
          <w:b/>
          <w:bCs/>
          <w:i/>
          <w:iCs/>
          <w:highlight w:val="lightGray"/>
        </w:rPr>
        <w:t xml:space="preserve">0% of </w:t>
      </w:r>
      <w:r w:rsidR="00E000B9">
        <w:rPr>
          <w:b/>
          <w:bCs/>
          <w:i/>
          <w:iCs/>
          <w:highlight w:val="lightGray"/>
        </w:rPr>
        <w:t>total</w:t>
      </w:r>
      <w:r w:rsidRPr="003E7B31">
        <w:rPr>
          <w:b/>
          <w:bCs/>
          <w:i/>
          <w:iCs/>
          <w:highlight w:val="lightGray"/>
        </w:rPr>
        <w:t xml:space="preserve"> Opex during the </w:t>
      </w:r>
      <w:r w:rsidR="00DD3CEC">
        <w:rPr>
          <w:b/>
          <w:bCs/>
          <w:i/>
          <w:iCs/>
          <w:highlight w:val="lightGray"/>
        </w:rPr>
        <w:t>o</w:t>
      </w:r>
      <w:r w:rsidRPr="003E7B31">
        <w:rPr>
          <w:b/>
          <w:bCs/>
          <w:i/>
          <w:iCs/>
          <w:highlight w:val="lightGray"/>
        </w:rPr>
        <w:t xml:space="preserve">perations </w:t>
      </w:r>
      <w:r w:rsidR="00DD3CEC">
        <w:rPr>
          <w:b/>
          <w:bCs/>
          <w:i/>
          <w:iCs/>
          <w:highlight w:val="lightGray"/>
        </w:rPr>
        <w:t>of the Project</w:t>
      </w:r>
      <w:r w:rsidRPr="003E7B31">
        <w:rPr>
          <w:b/>
          <w:bCs/>
          <w:i/>
          <w:iCs/>
          <w:highlight w:val="lightGray"/>
        </w:rPr>
        <w:t xml:space="preserve">. The </w:t>
      </w:r>
      <w:r w:rsidRPr="003E7B31">
        <w:rPr>
          <w:b/>
          <w:i/>
          <w:iCs/>
          <w:highlight w:val="lightGray"/>
        </w:rPr>
        <w:t xml:space="preserve">Proponent </w:t>
      </w:r>
      <w:r>
        <w:rPr>
          <w:b/>
          <w:bCs/>
          <w:i/>
          <w:iCs/>
          <w:highlight w:val="lightGray"/>
        </w:rPr>
        <w:t>will be</w:t>
      </w:r>
      <w:r w:rsidRPr="003E7B31">
        <w:rPr>
          <w:b/>
          <w:bCs/>
          <w:i/>
          <w:iCs/>
          <w:highlight w:val="lightGray"/>
        </w:rPr>
        <w:t xml:space="preserve"> required to provide that information as part of the Tender Process.</w:t>
      </w:r>
      <w:r w:rsidRPr="00FB7EB2">
        <w:rPr>
          <w:b/>
          <w:bCs/>
          <w:i/>
          <w:iCs/>
        </w:rPr>
        <w:t>]</w:t>
      </w:r>
      <w:r w:rsidRPr="003E7B31">
        <w:rPr>
          <w:b/>
          <w:bCs/>
          <w:i/>
          <w:iCs/>
        </w:rPr>
        <w:t xml:space="preserve"> </w:t>
      </w:r>
    </w:p>
    <w:p w14:paraId="73BC7CD7" w14:textId="3C848A2B" w:rsidR="003E7B31" w:rsidRPr="000417B0" w:rsidRDefault="00022D15" w:rsidP="008F660B">
      <w:pPr>
        <w:pStyle w:val="Heading8"/>
        <w:numPr>
          <w:ilvl w:val="7"/>
          <w:numId w:val="124"/>
        </w:numPr>
        <w:tabs>
          <w:tab w:val="clear" w:pos="1474"/>
          <w:tab w:val="num" w:pos="968"/>
        </w:tabs>
      </w:pPr>
      <w:r>
        <w:t xml:space="preserve">it is </w:t>
      </w:r>
      <w:r w:rsidR="003E7B31" w:rsidRPr="000417B0">
        <w:t xml:space="preserve">specified as such in </w:t>
      </w:r>
      <w:r w:rsidR="003E7B31">
        <w:fldChar w:fldCharType="begin"/>
      </w:r>
      <w:r w:rsidR="003E7B31">
        <w:instrText xml:space="preserve"> REF _Ref151253699 \w \h  \* MERGEFORMAT </w:instrText>
      </w:r>
      <w:r w:rsidR="003E7B31">
        <w:fldChar w:fldCharType="separate"/>
      </w:r>
      <w:r w:rsidR="002E5C6A">
        <w:t>Schedule 7</w:t>
      </w:r>
      <w:r w:rsidR="003E7B31">
        <w:fldChar w:fldCharType="end"/>
      </w:r>
      <w:r w:rsidR="003E7B31" w:rsidRPr="000417B0">
        <w:t xml:space="preserve">; </w:t>
      </w:r>
    </w:p>
    <w:p w14:paraId="210E2FEE" w14:textId="589852B8" w:rsidR="003E7B31" w:rsidRPr="00DE6A8F" w:rsidRDefault="00022D15" w:rsidP="0058045D">
      <w:pPr>
        <w:pStyle w:val="Heading8"/>
        <w:tabs>
          <w:tab w:val="clear" w:pos="1474"/>
          <w:tab w:val="num" w:pos="968"/>
        </w:tabs>
      </w:pPr>
      <w:r>
        <w:t xml:space="preserve">it </w:t>
      </w:r>
      <w:r w:rsidR="003E7B31">
        <w:t xml:space="preserve">has </w:t>
      </w:r>
      <w:r w:rsidR="003E7B31" w:rsidRPr="00DE6A8F">
        <w:t xml:space="preserve">a contract value of more than </w:t>
      </w:r>
      <w:r w:rsidR="003E7B31">
        <w:t>$[</w:t>
      </w:r>
      <w:r w:rsidR="003E7B31" w:rsidRPr="00917C51">
        <w:rPr>
          <w:highlight w:val="yellow"/>
        </w:rPr>
        <w:t>insert amount</w:t>
      </w:r>
      <w:r w:rsidR="003E7B31">
        <w:t xml:space="preserve">] </w:t>
      </w:r>
      <w:r w:rsidR="003E7B31" w:rsidRPr="00DE6A8F">
        <w:t>(</w:t>
      </w:r>
      <w:r w:rsidR="00917C51" w:rsidRPr="00DE6A8F">
        <w:t>indexed</w:t>
      </w:r>
      <w:r w:rsidR="003E7B31" w:rsidRPr="00DE6A8F">
        <w:t xml:space="preserve">) </w:t>
      </w:r>
      <w:r w:rsidR="00DD3CEC">
        <w:t xml:space="preserve">during </w:t>
      </w:r>
      <w:r w:rsidR="003E7B31" w:rsidRPr="00DE6A8F">
        <w:t xml:space="preserve">the </w:t>
      </w:r>
      <w:r w:rsidR="00DD3CEC">
        <w:t>c</w:t>
      </w:r>
      <w:r w:rsidR="003E7B31">
        <w:t xml:space="preserve">onstruction </w:t>
      </w:r>
      <w:r w:rsidR="00DD3CEC">
        <w:t>of the</w:t>
      </w:r>
      <w:r w:rsidR="008102B5">
        <w:t xml:space="preserve"> </w:t>
      </w:r>
      <w:r w:rsidR="00DD3CEC">
        <w:t>Project</w:t>
      </w:r>
      <w:r w:rsidR="003E7B31" w:rsidRPr="00DE6A8F">
        <w:t xml:space="preserve">; </w:t>
      </w:r>
    </w:p>
    <w:p w14:paraId="38517FA0" w14:textId="66AA4B49" w:rsidR="003E7B31" w:rsidRDefault="00022D15" w:rsidP="0058045D">
      <w:pPr>
        <w:pStyle w:val="Heading8"/>
        <w:tabs>
          <w:tab w:val="clear" w:pos="1474"/>
          <w:tab w:val="num" w:pos="968"/>
        </w:tabs>
      </w:pPr>
      <w:r>
        <w:rPr>
          <w14:ligatures w14:val="standardContextual"/>
        </w:rPr>
        <w:t>i</w:t>
      </w:r>
      <w:r w:rsidR="00666ED4">
        <w:rPr>
          <w14:ligatures w14:val="standardContextual"/>
        </w:rPr>
        <w:t xml:space="preserve">n conjunction with other Subcontracts with the same Subcontractor, </w:t>
      </w:r>
      <w:r>
        <w:rPr>
          <w14:ligatures w14:val="standardContextual"/>
        </w:rPr>
        <w:t xml:space="preserve">it </w:t>
      </w:r>
      <w:r w:rsidR="00666ED4">
        <w:rPr>
          <w14:ligatures w14:val="standardContextual"/>
        </w:rPr>
        <w:t>has</w:t>
      </w:r>
      <w:r w:rsidR="003E7B31" w:rsidRPr="0093064F">
        <w:t xml:space="preserve"> an aggregate value of more than </w:t>
      </w:r>
      <w:r w:rsidR="003E7B31">
        <w:t>$[</w:t>
      </w:r>
      <w:r w:rsidR="003E7B31" w:rsidRPr="00917C51">
        <w:rPr>
          <w:highlight w:val="yellow"/>
        </w:rPr>
        <w:t>insert amount</w:t>
      </w:r>
      <w:r w:rsidR="003E7B31">
        <w:t xml:space="preserve">] </w:t>
      </w:r>
      <w:r w:rsidR="003E7B31" w:rsidRPr="0093064F">
        <w:t>(</w:t>
      </w:r>
      <w:r w:rsidR="00917C51" w:rsidRPr="0093064F">
        <w:t>indexed</w:t>
      </w:r>
      <w:r w:rsidR="003E7B31" w:rsidRPr="0093064F">
        <w:t xml:space="preserve">) </w:t>
      </w:r>
      <w:r w:rsidR="00DD3CEC">
        <w:t xml:space="preserve">during </w:t>
      </w:r>
      <w:r w:rsidR="00DD3CEC" w:rsidRPr="00DE6A8F">
        <w:t xml:space="preserve">the </w:t>
      </w:r>
      <w:r w:rsidR="00DD3CEC">
        <w:t>construction of the Project</w:t>
      </w:r>
      <w:r w:rsidR="003E7B31">
        <w:t xml:space="preserve">; </w:t>
      </w:r>
    </w:p>
    <w:p w14:paraId="2999DF83" w14:textId="490D6F35" w:rsidR="003E7B31" w:rsidRPr="00DE6A8F" w:rsidRDefault="00022D15" w:rsidP="0058045D">
      <w:pPr>
        <w:pStyle w:val="Heading8"/>
        <w:tabs>
          <w:tab w:val="clear" w:pos="1474"/>
          <w:tab w:val="num" w:pos="968"/>
        </w:tabs>
      </w:pPr>
      <w:r>
        <w:t xml:space="preserve">it </w:t>
      </w:r>
      <w:r w:rsidR="003E7B31">
        <w:t xml:space="preserve">has </w:t>
      </w:r>
      <w:r w:rsidR="003E7B31" w:rsidRPr="00DE6A8F">
        <w:t xml:space="preserve">a contract value of more than </w:t>
      </w:r>
      <w:r w:rsidR="003E7B31">
        <w:t>$[</w:t>
      </w:r>
      <w:r w:rsidR="003E7B31" w:rsidRPr="00917C51">
        <w:rPr>
          <w:highlight w:val="yellow"/>
        </w:rPr>
        <w:t>insert amount</w:t>
      </w:r>
      <w:r w:rsidR="003E7B31">
        <w:t xml:space="preserve">] </w:t>
      </w:r>
      <w:r w:rsidR="003E7B31" w:rsidRPr="00DE6A8F">
        <w:t>(</w:t>
      </w:r>
      <w:r w:rsidR="00917C51" w:rsidRPr="00DE6A8F">
        <w:t>indexed</w:t>
      </w:r>
      <w:r w:rsidR="003E7B31" w:rsidRPr="00DE6A8F">
        <w:t xml:space="preserve">) </w:t>
      </w:r>
      <w:r w:rsidR="00DD3CEC">
        <w:t xml:space="preserve">during </w:t>
      </w:r>
      <w:r w:rsidR="003E7B31" w:rsidRPr="00DE6A8F">
        <w:t xml:space="preserve">the </w:t>
      </w:r>
      <w:r w:rsidR="00DD3CEC">
        <w:t>o</w:t>
      </w:r>
      <w:r w:rsidR="003E7B31">
        <w:t xml:space="preserve">peration </w:t>
      </w:r>
      <w:r w:rsidR="00DD3CEC">
        <w:t>of the Project</w:t>
      </w:r>
      <w:r w:rsidR="003E7B31" w:rsidRPr="00DE6A8F">
        <w:t xml:space="preserve">; </w:t>
      </w:r>
      <w:r w:rsidR="00E471B6">
        <w:t>or</w:t>
      </w:r>
    </w:p>
    <w:p w14:paraId="0F207BE2" w14:textId="23702CC8" w:rsidR="003E7B31" w:rsidRPr="0093064F" w:rsidRDefault="00666ED4" w:rsidP="0058045D">
      <w:pPr>
        <w:pStyle w:val="Heading8"/>
        <w:keepNext/>
        <w:tabs>
          <w:tab w:val="clear" w:pos="1474"/>
          <w:tab w:val="num" w:pos="968"/>
        </w:tabs>
      </w:pPr>
      <w:r>
        <w:rPr>
          <w14:ligatures w14:val="standardContextual"/>
        </w:rPr>
        <w:t>in conjunction w</w:t>
      </w:r>
      <w:r w:rsidR="009B09C2">
        <w:rPr>
          <w14:ligatures w14:val="standardContextual"/>
        </w:rPr>
        <w:t>i</w:t>
      </w:r>
      <w:r>
        <w:rPr>
          <w14:ligatures w14:val="standardContextual"/>
        </w:rPr>
        <w:t xml:space="preserve">th other Subcontracts with the same Subcontractor, </w:t>
      </w:r>
      <w:r w:rsidR="00022D15">
        <w:rPr>
          <w14:ligatures w14:val="standardContextual"/>
        </w:rPr>
        <w:t xml:space="preserve">it </w:t>
      </w:r>
      <w:r>
        <w:rPr>
          <w14:ligatures w14:val="standardContextual"/>
        </w:rPr>
        <w:t>has</w:t>
      </w:r>
      <w:r w:rsidR="003E7B31" w:rsidRPr="0093064F">
        <w:t xml:space="preserve"> an aggregate value of more than $</w:t>
      </w:r>
      <w:r w:rsidR="003E7B31">
        <w:t>[</w:t>
      </w:r>
      <w:r w:rsidR="003E7B31" w:rsidRPr="00917C51">
        <w:rPr>
          <w:highlight w:val="yellow"/>
        </w:rPr>
        <w:t>insert amount</w:t>
      </w:r>
      <w:r w:rsidR="003E7B31">
        <w:t xml:space="preserve">] </w:t>
      </w:r>
      <w:r w:rsidR="003E7B31" w:rsidRPr="0093064F">
        <w:t>(</w:t>
      </w:r>
      <w:r w:rsidR="00917C51" w:rsidRPr="0093064F">
        <w:t>indexed</w:t>
      </w:r>
      <w:r w:rsidR="003E7B31" w:rsidRPr="0093064F">
        <w:t xml:space="preserve">) </w:t>
      </w:r>
      <w:r w:rsidR="00DD3CEC">
        <w:t xml:space="preserve">during </w:t>
      </w:r>
      <w:r w:rsidR="00DD3CEC" w:rsidRPr="00DE6A8F">
        <w:t xml:space="preserve">the </w:t>
      </w:r>
      <w:r w:rsidR="00DD3CEC">
        <w:t>operation of the Project</w:t>
      </w:r>
      <w:r>
        <w:t>.</w:t>
      </w:r>
    </w:p>
    <w:p w14:paraId="4588CF05" w14:textId="387DDD27" w:rsidR="00666ED4" w:rsidRDefault="00666ED4" w:rsidP="00961F64">
      <w:pPr>
        <w:pStyle w:val="Heading7"/>
        <w:numPr>
          <w:ilvl w:val="6"/>
          <w:numId w:val="0"/>
        </w:numPr>
        <w:ind w:left="737"/>
        <w:rPr>
          <w:b/>
          <w:bCs/>
        </w:rPr>
      </w:pPr>
      <w:r>
        <w:rPr>
          <w:b/>
          <w:bCs/>
          <w14:ligatures w14:val="standardContextual"/>
        </w:rPr>
        <w:t>Key Subcontractor</w:t>
      </w:r>
      <w:r>
        <w:rPr>
          <w14:ligatures w14:val="standardContextual"/>
        </w:rPr>
        <w:t xml:space="preserve"> means a Subcontractor that is the party providing the goods and services under a Key Subcontract. For clarity, a Key Subcontractor may be engaged directly by Project Operator or by one or more interposed Subcontractors</w:t>
      </w:r>
      <w:r w:rsidR="00CB167A">
        <w:rPr>
          <w14:ligatures w14:val="standardContextual"/>
        </w:rPr>
        <w:t>.</w:t>
      </w:r>
    </w:p>
    <w:p w14:paraId="0866F6F6" w14:textId="5FEA95FC" w:rsidR="0097438F" w:rsidRDefault="2BC382E4" w:rsidP="00666ED4">
      <w:pPr>
        <w:pStyle w:val="Heading7"/>
        <w:numPr>
          <w:ilvl w:val="6"/>
          <w:numId w:val="0"/>
        </w:numPr>
        <w:ind w:left="737"/>
      </w:pPr>
      <w:r w:rsidRPr="2BC382E4">
        <w:rPr>
          <w:b/>
          <w:bCs/>
        </w:rPr>
        <w:t xml:space="preserve">Knowledge Sharing Deliverables </w:t>
      </w:r>
      <w:bookmarkStart w:id="125" w:name="_Hlk108021768"/>
      <w:r>
        <w:t>means the deliverables set out in the Knowledge Sharing Plan</w:t>
      </w:r>
      <w:bookmarkEnd w:id="125"/>
      <w:r>
        <w:t>.</w:t>
      </w:r>
    </w:p>
    <w:p w14:paraId="711CFCED" w14:textId="5B52AD7E" w:rsidR="0012221E" w:rsidRDefault="0012221E" w:rsidP="0058045D">
      <w:pPr>
        <w:pStyle w:val="Heading7"/>
        <w:numPr>
          <w:ilvl w:val="0"/>
          <w:numId w:val="0"/>
        </w:numPr>
        <w:ind w:left="737"/>
      </w:pPr>
      <w:r w:rsidRPr="0097438F">
        <w:rPr>
          <w:b/>
          <w:bCs/>
        </w:rPr>
        <w:t xml:space="preserve">Knowledge Sharing </w:t>
      </w:r>
      <w:r>
        <w:rPr>
          <w:b/>
          <w:bCs/>
        </w:rPr>
        <w:t>Plan</w:t>
      </w:r>
      <w:r w:rsidRPr="0097438F">
        <w:rPr>
          <w:b/>
          <w:bCs/>
        </w:rPr>
        <w:t xml:space="preserve"> </w:t>
      </w:r>
      <w:r>
        <w:t xml:space="preserve">means the plan set out in </w:t>
      </w:r>
      <w:r>
        <w:fldChar w:fldCharType="begin"/>
      </w:r>
      <w:r>
        <w:instrText xml:space="preserve"> REF _Ref108020757 \n \h </w:instrText>
      </w:r>
      <w:r>
        <w:fldChar w:fldCharType="separate"/>
      </w:r>
      <w:r w:rsidR="002E5C6A">
        <w:t>Schedule 4</w:t>
      </w:r>
      <w:r>
        <w:fldChar w:fldCharType="end"/>
      </w:r>
      <w:r>
        <w:t xml:space="preserve"> (“</w:t>
      </w:r>
      <w:r>
        <w:fldChar w:fldCharType="begin"/>
      </w:r>
      <w:r>
        <w:instrText xml:space="preserve"> REF _Ref108020757 \h </w:instrText>
      </w:r>
      <w:r>
        <w:fldChar w:fldCharType="separate"/>
      </w:r>
      <w:r w:rsidR="002E5C6A">
        <w:t>Knowledge Sharing Plan</w:t>
      </w:r>
      <w:r>
        <w:fldChar w:fldCharType="end"/>
      </w:r>
      <w:r>
        <w:t>”).</w:t>
      </w:r>
    </w:p>
    <w:p w14:paraId="6C1B1C56" w14:textId="4288D1AF" w:rsidR="009327F8" w:rsidRPr="00824511" w:rsidRDefault="009327F8" w:rsidP="0058045D">
      <w:pPr>
        <w:pStyle w:val="Heading7"/>
        <w:numPr>
          <w:ilvl w:val="0"/>
          <w:numId w:val="0"/>
        </w:numPr>
        <w:ind w:left="737"/>
      </w:pPr>
      <w:r w:rsidRPr="008F660B">
        <w:rPr>
          <w:b/>
          <w:bCs/>
        </w:rPr>
        <w:t>Labour Standards Report</w:t>
      </w:r>
      <w:r w:rsidRPr="009327F8">
        <w:t xml:space="preserve"> has the meaning given in clause</w:t>
      </w:r>
      <w:r w:rsidR="00DF21B3">
        <w:t xml:space="preserve"> </w:t>
      </w:r>
      <w:r w:rsidR="00DF21B3">
        <w:fldChar w:fldCharType="begin"/>
      </w:r>
      <w:r w:rsidR="00DF21B3">
        <w:instrText xml:space="preserve"> REF _Ref206700239 \r \h </w:instrText>
      </w:r>
      <w:r w:rsidR="00DF21B3">
        <w:fldChar w:fldCharType="separate"/>
      </w:r>
      <w:r w:rsidR="002E5C6A">
        <w:t>12.6</w:t>
      </w:r>
      <w:r w:rsidR="00DF21B3">
        <w:fldChar w:fldCharType="end"/>
      </w:r>
      <w:r w:rsidR="00DF21B3">
        <w:t xml:space="preserve"> (“</w:t>
      </w:r>
      <w:r w:rsidR="00DF21B3">
        <w:fldChar w:fldCharType="begin"/>
      </w:r>
      <w:r w:rsidR="00DF21B3">
        <w:instrText xml:space="preserve"> REF _Ref206700239 \h </w:instrText>
      </w:r>
      <w:r w:rsidR="00DF21B3">
        <w:fldChar w:fldCharType="separate"/>
      </w:r>
      <w:r w:rsidR="002E5C6A">
        <w:t>Labour standards reporting</w:t>
      </w:r>
      <w:r w:rsidR="00DF21B3">
        <w:fldChar w:fldCharType="end"/>
      </w:r>
      <w:r w:rsidR="00DF21B3">
        <w:t>”).</w:t>
      </w:r>
      <w:r w:rsidRPr="009327F8">
        <w:t xml:space="preserve"> </w:t>
      </w:r>
    </w:p>
    <w:p w14:paraId="00200DD5" w14:textId="1315F9D0" w:rsidR="0063766A" w:rsidRDefault="2BC382E4" w:rsidP="0058045D">
      <w:pPr>
        <w:pStyle w:val="Heading7"/>
        <w:numPr>
          <w:ilvl w:val="6"/>
          <w:numId w:val="0"/>
        </w:numPr>
        <w:ind w:left="737"/>
      </w:pPr>
      <w:r w:rsidRPr="2BC382E4">
        <w:rPr>
          <w:b/>
          <w:bCs/>
        </w:rPr>
        <w:t>Law</w:t>
      </w:r>
      <w:r>
        <w:t xml:space="preserve"> means</w:t>
      </w:r>
      <w:r w:rsidR="00022D15">
        <w:t xml:space="preserve"> the</w:t>
      </w:r>
      <w:r>
        <w:t xml:space="preserve"> common law, principles of equity, and laws </w:t>
      </w:r>
      <w:r w:rsidR="00022D15">
        <w:t xml:space="preserve">made </w:t>
      </w:r>
      <w:r>
        <w:t>by parliament including State, Territory and Commonwealth laws and regulations and other instruments under them,</w:t>
      </w:r>
      <w:r w:rsidR="0078292A">
        <w:t xml:space="preserve"> </w:t>
      </w:r>
      <w:r>
        <w:t xml:space="preserve">and includes the </w:t>
      </w:r>
      <w:r w:rsidR="004A1236">
        <w:t>ESM Rules</w:t>
      </w:r>
      <w:r>
        <w:t xml:space="preserve"> and the rules of any recognised securities exchange.</w:t>
      </w:r>
    </w:p>
    <w:p w14:paraId="10405A7D" w14:textId="32E33C32" w:rsidR="00816A7B" w:rsidRPr="00C877C1" w:rsidRDefault="00816A7B" w:rsidP="00816A7B">
      <w:pPr>
        <w:numPr>
          <w:ilvl w:val="6"/>
          <w:numId w:val="0"/>
        </w:numPr>
        <w:spacing w:after="240"/>
        <w:ind w:left="737"/>
        <w:outlineLvl w:val="6"/>
      </w:pPr>
      <w:r w:rsidRPr="00C877C1">
        <w:t>[</w:t>
      </w:r>
      <w:r w:rsidRPr="00C877C1">
        <w:rPr>
          <w:b/>
          <w:bCs/>
        </w:rPr>
        <w:t xml:space="preserve">LCOE </w:t>
      </w:r>
      <w:r w:rsidRPr="00C877C1">
        <w:t>means the Levelised Cost of Electricity for the Associated Project technology, as set out in the latest available “</w:t>
      </w:r>
      <w:hyperlink r:id="rId36" w:history="1">
        <w:r w:rsidRPr="00C877C1">
          <w:rPr>
            <w:color w:val="0000FF"/>
            <w:u w:val="single"/>
          </w:rPr>
          <w:t>CSIRO GenCost R</w:t>
        </w:r>
        <w:bookmarkStart w:id="126" w:name="_Hlt207352404"/>
        <w:bookmarkStart w:id="127" w:name="_Hlt207352405"/>
        <w:r w:rsidRPr="00C877C1">
          <w:rPr>
            <w:color w:val="0000FF"/>
            <w:u w:val="single"/>
          </w:rPr>
          <w:t>e</w:t>
        </w:r>
        <w:bookmarkEnd w:id="126"/>
        <w:bookmarkEnd w:id="127"/>
        <w:r w:rsidRPr="00C877C1">
          <w:rPr>
            <w:color w:val="0000FF"/>
            <w:u w:val="single"/>
          </w:rPr>
          <w:t>port</w:t>
        </w:r>
      </w:hyperlink>
      <w:r w:rsidRPr="00C877C1">
        <w:t xml:space="preserve">” as at the Tender Date, for the financial year in which Financial Close is nominated to fall under </w:t>
      </w:r>
      <w:r w:rsidRPr="000B5694">
        <w:t xml:space="preserve">item </w:t>
      </w:r>
      <w:r w:rsidR="008C7338">
        <w:fldChar w:fldCharType="begin"/>
      </w:r>
      <w:r w:rsidR="008C7338">
        <w:instrText xml:space="preserve"> REF _Ref159256658 \r \h </w:instrText>
      </w:r>
      <w:r w:rsidR="008C7338">
        <w:fldChar w:fldCharType="separate"/>
      </w:r>
      <w:r w:rsidR="002E5C6A">
        <w:t>21</w:t>
      </w:r>
      <w:r w:rsidR="008C7338">
        <w:fldChar w:fldCharType="end"/>
      </w:r>
      <w:r w:rsidRPr="00C877C1">
        <w:t xml:space="preserve"> of the Reference Details (“</w:t>
      </w:r>
      <w:r w:rsidRPr="00C877C1">
        <w:rPr>
          <w:b/>
          <w:bCs/>
        </w:rPr>
        <w:t>Nominated Year</w:t>
      </w:r>
      <w:r w:rsidRPr="00C877C1">
        <w:t>”), rather than the actual year in which Financial Close occurs. The LCOE value will not be indexed or escalated. If the LCOE is presented as a range, it will be the midpoint of this range for the purposes of this agreement.</w:t>
      </w:r>
    </w:p>
    <w:p w14:paraId="0FDC2B9B" w14:textId="77777777" w:rsidR="00816A7B" w:rsidRPr="00C877C1" w:rsidRDefault="00816A7B" w:rsidP="00816A7B">
      <w:pPr>
        <w:spacing w:after="240"/>
        <w:ind w:left="737"/>
        <w:outlineLvl w:val="6"/>
      </w:pPr>
      <w:r w:rsidRPr="00C877C1">
        <w:t xml:space="preserve">If the applicable CSIRO GenCost Report does not expressly set out the LCOE for the Nominated Year, it must be determined by linearly interpolating between the average of the ‘Low’ and ‘High’ values for the two closest years that are expressly provided for in the CSIRO GenCost Report, using the following calculation: </w:t>
      </w:r>
    </w:p>
    <w:p w14:paraId="0C8183A6" w14:textId="77777777" w:rsidR="00816A7B" w:rsidRPr="00C877C1" w:rsidRDefault="0057509B" w:rsidP="00816A7B">
      <w:pPr>
        <w:spacing w:after="240"/>
        <w:outlineLvl w:val="6"/>
      </w:pPr>
      <m:oMathPara>
        <m:oMathParaPr>
          <m:jc m:val="center"/>
        </m:oMathParaPr>
        <m:oMath>
          <m:sSub>
            <m:sSubPr>
              <m:ctrlPr>
                <w:rPr>
                  <w:rFonts w:ascii="Cambria Math" w:hAnsi="Cambria Math"/>
                  <w:b/>
                  <w:i/>
                </w:rPr>
              </m:ctrlPr>
            </m:sSubPr>
            <m:e>
              <m:r>
                <m:rPr>
                  <m:sty m:val="bi"/>
                </m:rPr>
                <w:rPr>
                  <w:rFonts w:ascii="Cambria Math" w:hAnsi="Cambria Math"/>
                </w:rPr>
                <m:t>LCOE</m:t>
              </m:r>
            </m:e>
            <m:sub>
              <m:r>
                <m:rPr>
                  <m:sty m:val="bi"/>
                </m:rPr>
                <w:rPr>
                  <w:rFonts w:ascii="Cambria Math" w:hAnsi="Cambria Math"/>
                </w:rPr>
                <m:t>NY</m:t>
              </m:r>
            </m:sub>
          </m:sSub>
          <m:r>
            <w:rPr>
              <w:rFonts w:ascii="Cambria Math" w:hAnsi="Cambria Math"/>
            </w:rPr>
            <m:t>=</m:t>
          </m:r>
          <m:sSub>
            <m:sSubPr>
              <m:ctrlPr>
                <w:rPr>
                  <w:rFonts w:ascii="Cambria Math" w:hAnsi="Cambria Math"/>
                  <w:i/>
                </w:rPr>
              </m:ctrlPr>
            </m:sSubPr>
            <m:e>
              <m:r>
                <m:rPr>
                  <m:sty m:val="bi"/>
                </m:rPr>
                <w:rPr>
                  <w:rFonts w:ascii="Cambria Math" w:hAnsi="Cambria Math"/>
                </w:rPr>
                <m:t>EY</m:t>
              </m:r>
            </m:e>
            <m:sub>
              <m:r>
                <m:rPr>
                  <m:sty m:val="bi"/>
                </m:rPr>
                <w:rPr>
                  <w:rFonts w:ascii="Cambria Math" w:hAnsi="Cambria Math"/>
                </w:rPr>
                <m:t>AP</m:t>
              </m:r>
            </m:sub>
          </m:sSub>
          <m:r>
            <w:rPr>
              <w:rFonts w:ascii="Cambria Math" w:hAnsi="Cambria Math"/>
            </w:rPr>
            <m:t>+(</m:t>
          </m:r>
          <m:sSub>
            <m:sSubPr>
              <m:ctrlPr>
                <w:rPr>
                  <w:rFonts w:ascii="Cambria Math" w:hAnsi="Cambria Math"/>
                  <w:i/>
                </w:rPr>
              </m:ctrlPr>
            </m:sSubPr>
            <m:e>
              <m:r>
                <m:rPr>
                  <m:sty m:val="bi"/>
                </m:rPr>
                <w:rPr>
                  <w:rFonts w:ascii="Cambria Math" w:hAnsi="Cambria Math"/>
                </w:rPr>
                <m:t>C</m:t>
              </m:r>
            </m:e>
            <m:sub>
              <m:r>
                <m:rPr>
                  <m:sty m:val="bi"/>
                </m:rPr>
                <w:rPr>
                  <w:rFonts w:ascii="Cambria Math" w:hAnsi="Cambria Math"/>
                </w:rPr>
                <m:t>Y</m:t>
              </m:r>
            </m:sub>
          </m:sSub>
          <m:r>
            <w:rPr>
              <w:rFonts w:ascii="Cambria Math" w:hAnsi="Cambria Math"/>
            </w:rPr>
            <m:t xml:space="preserve"> ×(</m:t>
          </m:r>
          <m:r>
            <m:rPr>
              <m:sty m:val="bi"/>
            </m:rPr>
            <w:rPr>
              <w:rFonts w:ascii="Cambria Math" w:hAnsi="Cambria Math"/>
            </w:rPr>
            <m:t>FC</m:t>
          </m:r>
          <m:r>
            <w:rPr>
              <w:rFonts w:ascii="Cambria Math" w:hAnsi="Cambria Math"/>
            </w:rPr>
            <m:t xml:space="preserve"> -</m:t>
          </m:r>
          <m:r>
            <m:rPr>
              <m:sty m:val="bi"/>
            </m:rPr>
            <w:rPr>
              <w:rFonts w:ascii="Cambria Math" w:hAnsi="Cambria Math"/>
            </w:rPr>
            <m:t>EY</m:t>
          </m:r>
          <m:r>
            <w:rPr>
              <w:rFonts w:ascii="Cambria Math" w:hAnsi="Cambria Math"/>
            </w:rPr>
            <m:t>)</m:t>
          </m:r>
        </m:oMath>
      </m:oMathPara>
    </w:p>
    <w:p w14:paraId="5FA41C78" w14:textId="77777777" w:rsidR="00816A7B" w:rsidRPr="00C877C1" w:rsidRDefault="00816A7B" w:rsidP="00816A7B">
      <w:pPr>
        <w:spacing w:after="240"/>
        <w:ind w:left="737"/>
      </w:pPr>
      <w:r w:rsidRPr="00C877C1">
        <w:t>where:</w:t>
      </w:r>
    </w:p>
    <w:p w14:paraId="35E50508" w14:textId="77777777" w:rsidR="00816A7B" w:rsidRPr="00C877C1" w:rsidRDefault="00816A7B" w:rsidP="00816A7B">
      <w:pPr>
        <w:tabs>
          <w:tab w:val="left" w:pos="1560"/>
          <w:tab w:val="left" w:pos="1985"/>
        </w:tabs>
        <w:spacing w:after="240"/>
        <w:ind w:left="1985" w:hanging="1248"/>
      </w:pPr>
      <w:r w:rsidRPr="00C877C1">
        <w:rPr>
          <w:b/>
          <w:bCs/>
        </w:rPr>
        <w:t>LCOE</w:t>
      </w:r>
      <w:r w:rsidRPr="00C877C1">
        <w:rPr>
          <w:b/>
          <w:bCs/>
          <w:vertAlign w:val="subscript"/>
        </w:rPr>
        <w:t>NY</w:t>
      </w:r>
      <w:r w:rsidRPr="00C877C1">
        <w:rPr>
          <w:b/>
          <w:bCs/>
          <w:vertAlign w:val="subscript"/>
        </w:rPr>
        <w:tab/>
      </w:r>
      <w:r w:rsidRPr="00C877C1">
        <w:t>=</w:t>
      </w:r>
      <w:r w:rsidRPr="00C877C1">
        <w:tab/>
        <w:t>the Levelised Cost of Electricity for the Nominated Year (where the LCOE is not expressly provided for in the applicable CSIRO GenCost Report for the Nominated Year);</w:t>
      </w:r>
    </w:p>
    <w:p w14:paraId="2DFECACA" w14:textId="77777777" w:rsidR="00816A7B" w:rsidRPr="00C877C1" w:rsidRDefault="00816A7B" w:rsidP="00816A7B">
      <w:pPr>
        <w:tabs>
          <w:tab w:val="left" w:pos="1560"/>
          <w:tab w:val="left" w:pos="1985"/>
        </w:tabs>
        <w:spacing w:after="240"/>
        <w:ind w:left="1985" w:hanging="1248"/>
      </w:pPr>
      <w:r w:rsidRPr="00C877C1">
        <w:rPr>
          <w:b/>
          <w:bCs/>
        </w:rPr>
        <w:t>EY</w:t>
      </w:r>
      <w:r w:rsidRPr="00C877C1">
        <w:rPr>
          <w:b/>
          <w:bCs/>
          <w:vertAlign w:val="subscript"/>
        </w:rPr>
        <w:t>AP</w:t>
      </w:r>
      <w:r w:rsidRPr="00C877C1">
        <w:rPr>
          <w:b/>
          <w:bCs/>
          <w:vertAlign w:val="subscript"/>
        </w:rPr>
        <w:tab/>
      </w:r>
      <w:r w:rsidRPr="00C877C1">
        <w:t>=</w:t>
      </w:r>
      <w:r w:rsidRPr="00C877C1">
        <w:tab/>
        <w:t>the average price of the Associated Project technology expressly listed for the year in the applicable CSIRO GenCost Report that is the closest preceding year to the Nominated Year;</w:t>
      </w:r>
    </w:p>
    <w:p w14:paraId="22B67AC8" w14:textId="77777777" w:rsidR="00816A7B" w:rsidRPr="00C877C1" w:rsidRDefault="00816A7B" w:rsidP="00816A7B">
      <w:pPr>
        <w:tabs>
          <w:tab w:val="left" w:pos="1560"/>
          <w:tab w:val="left" w:pos="1985"/>
        </w:tabs>
        <w:spacing w:after="240"/>
        <w:ind w:left="1985" w:hanging="1248"/>
      </w:pPr>
      <w:r w:rsidRPr="00C877C1">
        <w:rPr>
          <w:b/>
          <w:bCs/>
        </w:rPr>
        <w:t>C</w:t>
      </w:r>
      <w:r w:rsidRPr="00C877C1">
        <w:rPr>
          <w:b/>
          <w:bCs/>
          <w:vertAlign w:val="subscript"/>
        </w:rPr>
        <w:t>Y</w:t>
      </w:r>
      <w:r w:rsidRPr="00C877C1">
        <w:rPr>
          <w:b/>
          <w:bCs/>
          <w:vertAlign w:val="subscript"/>
        </w:rPr>
        <w:tab/>
      </w:r>
      <w:r w:rsidRPr="00C877C1">
        <w:t>=</w:t>
      </w:r>
      <w:r w:rsidRPr="00C877C1">
        <w:tab/>
        <w:t>the change in LCOE per year for the Associated Project technology, rounded to 2 decimal places and calculated on the following basis:</w:t>
      </w:r>
    </w:p>
    <w:p w14:paraId="4D910480" w14:textId="77777777" w:rsidR="00816A7B" w:rsidRPr="00C877C1" w:rsidRDefault="0057509B" w:rsidP="00816A7B">
      <w:pPr>
        <w:spacing w:after="240"/>
        <w:rPr>
          <w:b/>
          <w:bCs/>
        </w:rPr>
      </w:pPr>
      <m:oMathPara>
        <m:oMathParaPr>
          <m:jc m:val="center"/>
        </m:oMathParaPr>
        <m:oMath>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Y</m:t>
              </m:r>
            </m:sub>
          </m:sSub>
          <m:r>
            <m:rPr>
              <m:sty m:val="bi"/>
            </m:rPr>
            <w:rPr>
              <w:rFonts w:ascii="Cambria Math" w:hAnsi="Cambria Math"/>
            </w:rPr>
            <m:t>=</m:t>
          </m:r>
          <m:f>
            <m:fPr>
              <m:ctrlPr>
                <w:rPr>
                  <w:rFonts w:ascii="Cambria Math" w:hAnsi="Cambria Math"/>
                  <w:b/>
                  <w:bCs/>
                  <w:i/>
                </w:rPr>
              </m:ctrlPr>
            </m:fPr>
            <m:num>
              <m:d>
                <m:dPr>
                  <m:ctrlPr>
                    <w:rPr>
                      <w:rFonts w:ascii="Cambria Math" w:hAnsi="Cambria Math"/>
                      <w:b/>
                      <w:bCs/>
                      <w:i/>
                    </w:rPr>
                  </m:ctrlPr>
                </m:dPr>
                <m:e>
                  <m:sSub>
                    <m:sSubPr>
                      <m:ctrlPr>
                        <w:rPr>
                          <w:rFonts w:ascii="Cambria Math" w:hAnsi="Cambria Math"/>
                          <w:b/>
                          <w:bCs/>
                          <w:i/>
                        </w:rPr>
                      </m:ctrlPr>
                    </m:sSubPr>
                    <m:e>
                      <m:r>
                        <m:rPr>
                          <m:sty m:val="bi"/>
                        </m:rPr>
                        <w:rPr>
                          <w:rFonts w:ascii="Cambria Math" w:hAnsi="Cambria Math"/>
                        </w:rPr>
                        <m:t>LY</m:t>
                      </m:r>
                    </m:e>
                    <m:sub>
                      <m:r>
                        <m:rPr>
                          <m:sty m:val="bi"/>
                        </m:rPr>
                        <w:rPr>
                          <w:rFonts w:ascii="Cambria Math" w:hAnsi="Cambria Math"/>
                        </w:rPr>
                        <m:t>AP</m:t>
                      </m:r>
                    </m:sub>
                  </m:sSub>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EY</m:t>
                      </m:r>
                    </m:e>
                    <m:sub>
                      <m:r>
                        <m:rPr>
                          <m:sty m:val="bi"/>
                        </m:rPr>
                        <w:rPr>
                          <w:rFonts w:ascii="Cambria Math" w:hAnsi="Cambria Math"/>
                        </w:rPr>
                        <m:t>AP</m:t>
                      </m:r>
                    </m:sub>
                  </m:sSub>
                </m:e>
              </m:d>
            </m:num>
            <m:den>
              <m:r>
                <m:rPr>
                  <m:sty m:val="bi"/>
                </m:rPr>
                <w:rPr>
                  <w:rFonts w:ascii="Cambria Math" w:hAnsi="Cambria Math"/>
                </w:rPr>
                <m:t>(LY -EY)</m:t>
              </m:r>
            </m:den>
          </m:f>
        </m:oMath>
      </m:oMathPara>
    </w:p>
    <w:p w14:paraId="4F668508" w14:textId="77777777" w:rsidR="00816A7B" w:rsidRPr="00C877C1" w:rsidRDefault="00816A7B" w:rsidP="008F660B">
      <w:pPr>
        <w:keepNext/>
        <w:spacing w:after="240"/>
        <w:ind w:left="2211"/>
      </w:pPr>
      <w:r w:rsidRPr="00C877C1">
        <w:t>where:</w:t>
      </w:r>
    </w:p>
    <w:p w14:paraId="2B0A5847" w14:textId="77777777" w:rsidR="00816A7B" w:rsidRPr="00C877C1" w:rsidRDefault="00816A7B" w:rsidP="008F660B">
      <w:pPr>
        <w:tabs>
          <w:tab w:val="left" w:pos="1418"/>
          <w:tab w:val="left" w:pos="1843"/>
        </w:tabs>
        <w:spacing w:after="240"/>
        <w:ind w:left="3317" w:hanging="1106"/>
      </w:pPr>
      <w:r w:rsidRPr="00C877C1">
        <w:rPr>
          <w:b/>
          <w:bCs/>
        </w:rPr>
        <w:t>CY</w:t>
      </w:r>
      <w:r w:rsidRPr="00C877C1">
        <w:tab/>
        <w:t>=</w:t>
      </w:r>
      <w:r w:rsidRPr="00C877C1">
        <w:tab/>
        <w:t>the change in LCOE per year for the Associated Project technology;</w:t>
      </w:r>
    </w:p>
    <w:p w14:paraId="46E96380" w14:textId="77777777" w:rsidR="00816A7B" w:rsidRPr="00C877C1" w:rsidRDefault="00816A7B" w:rsidP="008F660B">
      <w:pPr>
        <w:tabs>
          <w:tab w:val="left" w:pos="1418"/>
          <w:tab w:val="left" w:pos="1843"/>
        </w:tabs>
        <w:spacing w:after="240"/>
        <w:ind w:left="3317" w:hanging="1106"/>
      </w:pPr>
      <w:r w:rsidRPr="00C877C1">
        <w:rPr>
          <w:b/>
          <w:bCs/>
        </w:rPr>
        <w:t>LY</w:t>
      </w:r>
      <w:r w:rsidRPr="008F660B">
        <w:rPr>
          <w:b/>
          <w:bCs/>
          <w:sz w:val="18"/>
          <w:szCs w:val="18"/>
          <w:vertAlign w:val="subscript"/>
        </w:rPr>
        <w:t>AP</w:t>
      </w:r>
      <w:r w:rsidRPr="00C877C1">
        <w:tab/>
        <w:t>=</w:t>
      </w:r>
      <w:r w:rsidRPr="00C877C1">
        <w:tab/>
        <w:t>the average price of the Associated Project technology expressly listed for the year in the applicable CSIRO GenCost Report that is the closest subsequent year to the Nominated Year;</w:t>
      </w:r>
    </w:p>
    <w:p w14:paraId="029AF8D3" w14:textId="77777777" w:rsidR="00816A7B" w:rsidRPr="00C877C1" w:rsidRDefault="00816A7B" w:rsidP="008F660B">
      <w:pPr>
        <w:tabs>
          <w:tab w:val="left" w:pos="1418"/>
          <w:tab w:val="left" w:pos="1843"/>
        </w:tabs>
        <w:spacing w:after="240"/>
        <w:ind w:left="3317" w:hanging="1106"/>
      </w:pPr>
      <w:r w:rsidRPr="00C877C1">
        <w:rPr>
          <w:b/>
          <w:bCs/>
        </w:rPr>
        <w:t>LY</w:t>
      </w:r>
      <w:r w:rsidRPr="00C877C1">
        <w:tab/>
        <w:t>=</w:t>
      </w:r>
      <w:r w:rsidRPr="00C877C1">
        <w:tab/>
        <w:t>the year expressly listed in the applicable CSIRO GenCost Report that is closest to, and follows, the Nominated Year;</w:t>
      </w:r>
    </w:p>
    <w:p w14:paraId="0E486988" w14:textId="77777777" w:rsidR="00816A7B" w:rsidRPr="00C877C1" w:rsidRDefault="00816A7B" w:rsidP="00816A7B">
      <w:pPr>
        <w:tabs>
          <w:tab w:val="left" w:pos="1418"/>
          <w:tab w:val="left" w:pos="1843"/>
        </w:tabs>
        <w:spacing w:after="240"/>
        <w:ind w:left="1843" w:hanging="1106"/>
      </w:pPr>
      <w:r w:rsidRPr="00C877C1">
        <w:rPr>
          <w:b/>
          <w:bCs/>
        </w:rPr>
        <w:t>EY</w:t>
      </w:r>
      <w:r w:rsidRPr="00C877C1">
        <w:tab/>
        <w:t>=</w:t>
      </w:r>
      <w:r w:rsidRPr="00C877C1">
        <w:tab/>
        <w:t>the year expressly listed in the applicable CSIRO GenCost Report that is closest to, and precedes, the Nominated Year; and</w:t>
      </w:r>
    </w:p>
    <w:p w14:paraId="0B0546B3" w14:textId="77777777" w:rsidR="00816A7B" w:rsidRPr="00C877C1" w:rsidRDefault="00816A7B" w:rsidP="00816A7B">
      <w:pPr>
        <w:tabs>
          <w:tab w:val="left" w:pos="1418"/>
          <w:tab w:val="left" w:pos="1843"/>
        </w:tabs>
        <w:spacing w:after="240"/>
        <w:ind w:left="1843" w:hanging="1106"/>
      </w:pPr>
      <w:r w:rsidRPr="00C877C1">
        <w:rPr>
          <w:b/>
          <w:bCs/>
        </w:rPr>
        <w:t>FC</w:t>
      </w:r>
      <w:r w:rsidRPr="00C877C1">
        <w:tab/>
        <w:t>=</w:t>
      </w:r>
      <w:r w:rsidRPr="00C877C1">
        <w:tab/>
        <w:t>the Nominated Year.</w:t>
      </w:r>
    </w:p>
    <w:p w14:paraId="647605A9" w14:textId="77777777" w:rsidR="00816A7B" w:rsidRPr="00C877C1" w:rsidRDefault="00816A7B" w:rsidP="00560FD4">
      <w:pPr>
        <w:keepNext/>
        <w:spacing w:after="240"/>
        <w:ind w:left="737"/>
        <w:rPr>
          <w:u w:val="single"/>
        </w:rPr>
      </w:pPr>
      <w:r w:rsidRPr="00C877C1">
        <w:rPr>
          <w:u w:val="single"/>
        </w:rPr>
        <w:t>Example</w:t>
      </w:r>
    </w:p>
    <w:p w14:paraId="1EC40CEC" w14:textId="77777777" w:rsidR="00816A7B" w:rsidRPr="00C877C1" w:rsidRDefault="00816A7B" w:rsidP="00816A7B">
      <w:pPr>
        <w:spacing w:after="240"/>
        <w:ind w:left="737"/>
      </w:pPr>
      <w:r w:rsidRPr="00C877C1">
        <w:t>Appendix Table B.10 in the 202</w:t>
      </w:r>
      <w:r>
        <w:t>4</w:t>
      </w:r>
      <w:r w:rsidRPr="00C877C1">
        <w:t>-202</w:t>
      </w:r>
      <w:r>
        <w:t>5</w:t>
      </w:r>
      <w:r w:rsidRPr="00C877C1">
        <w:t xml:space="preserve"> GenCost Report expressly values the LCOE for solar photovoltaic technology:</w:t>
      </w:r>
    </w:p>
    <w:p w14:paraId="62307C1E" w14:textId="77777777" w:rsidR="00816A7B" w:rsidRPr="00C877C1" w:rsidRDefault="00816A7B" w:rsidP="00816A7B">
      <w:pPr>
        <w:numPr>
          <w:ilvl w:val="7"/>
          <w:numId w:val="0"/>
        </w:numPr>
        <w:tabs>
          <w:tab w:val="num" w:pos="1474"/>
        </w:tabs>
        <w:spacing w:after="240"/>
        <w:ind w:left="1474" w:hanging="737"/>
        <w:outlineLvl w:val="7"/>
      </w:pPr>
      <w:r w:rsidRPr="00C877C1">
        <w:t>in 202</w:t>
      </w:r>
      <w:r>
        <w:t>4</w:t>
      </w:r>
      <w:r w:rsidRPr="00C877C1">
        <w:t>, at a ‘Low’ of $4</w:t>
      </w:r>
      <w:r>
        <w:t>8</w:t>
      </w:r>
      <w:r w:rsidRPr="00C877C1">
        <w:t>/MWh and a ‘High’ of $</w:t>
      </w:r>
      <w:r>
        <w:t>80</w:t>
      </w:r>
      <w:r w:rsidRPr="00C877C1">
        <w:t>/MWh; and</w:t>
      </w:r>
    </w:p>
    <w:p w14:paraId="7916888D" w14:textId="77777777" w:rsidR="00816A7B" w:rsidRPr="00C877C1" w:rsidRDefault="00816A7B" w:rsidP="00816A7B">
      <w:pPr>
        <w:numPr>
          <w:ilvl w:val="7"/>
          <w:numId w:val="0"/>
        </w:numPr>
        <w:tabs>
          <w:tab w:val="num" w:pos="1474"/>
        </w:tabs>
        <w:spacing w:after="240"/>
        <w:ind w:left="1474" w:hanging="737"/>
        <w:outlineLvl w:val="7"/>
      </w:pPr>
      <w:r w:rsidRPr="00C877C1">
        <w:t>in 2030, at a ‘Low’ of $3</w:t>
      </w:r>
      <w:r>
        <w:t>5</w:t>
      </w:r>
      <w:r w:rsidRPr="00C877C1">
        <w:t>/MWh and a ‘High’ of $63/MWh.</w:t>
      </w:r>
    </w:p>
    <w:p w14:paraId="70817A83" w14:textId="77777777" w:rsidR="00816A7B" w:rsidRPr="00C877C1" w:rsidRDefault="00816A7B" w:rsidP="00816A7B">
      <w:pPr>
        <w:spacing w:after="240"/>
        <w:ind w:left="737"/>
      </w:pPr>
      <w:r w:rsidRPr="00C877C1">
        <w:t>The LCOE for an Associated Project solar farm, where the Nominated Year is 2030, is $</w:t>
      </w:r>
      <w:r>
        <w:t>49</w:t>
      </w:r>
      <w:r w:rsidRPr="00C877C1">
        <w:t>/MWh (being the midpoint between the ‘Low’ and the ‘High’ range):</w:t>
      </w:r>
    </w:p>
    <w:p w14:paraId="3245E602" w14:textId="77777777" w:rsidR="00816A7B" w:rsidRPr="00C877C1" w:rsidRDefault="00816A7B" w:rsidP="00816A7B">
      <w:pPr>
        <w:spacing w:after="240"/>
        <w:ind w:left="737"/>
      </w:pPr>
      <w:r w:rsidRPr="00C877C1">
        <w:t>The LCOE for an Associated Project solar farm, where the Nominated Year is 2028, is calculated using linear interpolation:</w:t>
      </w:r>
    </w:p>
    <w:p w14:paraId="3E959C4A" w14:textId="77777777" w:rsidR="00816A7B" w:rsidRPr="00C877C1" w:rsidRDefault="00816A7B" w:rsidP="00816A7B">
      <w:pPr>
        <w:numPr>
          <w:ilvl w:val="7"/>
          <w:numId w:val="0"/>
        </w:numPr>
        <w:tabs>
          <w:tab w:val="num" w:pos="1474"/>
        </w:tabs>
        <w:spacing w:after="240"/>
        <w:ind w:left="1474" w:hanging="737"/>
        <w:outlineLvl w:val="7"/>
      </w:pPr>
      <w:r w:rsidRPr="00C877C1">
        <w:t>the average price for solar photovoltaic technology in 202</w:t>
      </w:r>
      <w:r>
        <w:t>4</w:t>
      </w:r>
      <w:r w:rsidRPr="00C877C1">
        <w:t xml:space="preserve"> (EY</w:t>
      </w:r>
      <w:r w:rsidRPr="00C877C1">
        <w:rPr>
          <w:vertAlign w:val="subscript"/>
        </w:rPr>
        <w:t>AP</w:t>
      </w:r>
      <w:r w:rsidRPr="00C877C1">
        <w:t>) is $6</w:t>
      </w:r>
      <w:r>
        <w:t>4</w:t>
      </w:r>
      <w:r w:rsidRPr="00C877C1">
        <w:t xml:space="preserve">/MWh (i.e. </w:t>
      </w:r>
      <m:oMath>
        <m:f>
          <m:fPr>
            <m:ctrlPr>
              <w:rPr>
                <w:rFonts w:ascii="Cambria Math" w:hAnsi="Cambria Math"/>
                <w:i/>
                <w:sz w:val="24"/>
                <w:szCs w:val="24"/>
              </w:rPr>
            </m:ctrlPr>
          </m:fPr>
          <m:num>
            <m:r>
              <w:rPr>
                <w:rFonts w:ascii="Cambria Math" w:hAnsi="Cambria Math"/>
                <w:sz w:val="24"/>
                <w:szCs w:val="24"/>
              </w:rPr>
              <m:t>$48 + $80</m:t>
            </m:r>
          </m:num>
          <m:den>
            <m:r>
              <w:rPr>
                <w:rFonts w:ascii="Cambria Math" w:hAnsi="Cambria Math"/>
                <w:sz w:val="24"/>
                <w:szCs w:val="24"/>
              </w:rPr>
              <m:t>2</m:t>
            </m:r>
          </m:den>
        </m:f>
      </m:oMath>
      <w:r w:rsidRPr="00C877C1">
        <w:t>);</w:t>
      </w:r>
    </w:p>
    <w:p w14:paraId="0C999A41" w14:textId="4BFBB0B9" w:rsidR="00816A7B" w:rsidRPr="00C877C1" w:rsidRDefault="00816A7B" w:rsidP="00816A7B">
      <w:pPr>
        <w:numPr>
          <w:ilvl w:val="7"/>
          <w:numId w:val="0"/>
        </w:numPr>
        <w:tabs>
          <w:tab w:val="num" w:pos="1474"/>
        </w:tabs>
        <w:spacing w:after="240"/>
        <w:ind w:left="1474" w:hanging="737"/>
        <w:outlineLvl w:val="7"/>
      </w:pPr>
      <w:r w:rsidRPr="00C877C1">
        <w:t>the average price for solar photovoltaic technology in 2030 (LY</w:t>
      </w:r>
      <w:r w:rsidRPr="00C877C1">
        <w:rPr>
          <w:vertAlign w:val="subscript"/>
        </w:rPr>
        <w:t>AP</w:t>
      </w:r>
      <w:r w:rsidRPr="00C877C1">
        <w:t>)</w:t>
      </w:r>
      <w:r w:rsidR="00BC2BE9">
        <w:t xml:space="preserve"> </w:t>
      </w:r>
      <w:r w:rsidRPr="00C877C1">
        <w:t>is $</w:t>
      </w:r>
      <w:r>
        <w:t>49</w:t>
      </w:r>
      <w:r w:rsidRPr="00C877C1">
        <w:t xml:space="preserve">/MWh (i.e. </w:t>
      </w:r>
      <m:oMath>
        <m:f>
          <m:fPr>
            <m:ctrlPr>
              <w:rPr>
                <w:rFonts w:ascii="Cambria Math" w:hAnsi="Cambria Math"/>
                <w:i/>
                <w:sz w:val="24"/>
                <w:szCs w:val="24"/>
              </w:rPr>
            </m:ctrlPr>
          </m:fPr>
          <m:num>
            <m:r>
              <w:rPr>
                <w:rFonts w:ascii="Cambria Math" w:hAnsi="Cambria Math"/>
                <w:sz w:val="24"/>
                <w:szCs w:val="24"/>
              </w:rPr>
              <m:t>$35+ $63</m:t>
            </m:r>
          </m:num>
          <m:den>
            <m:r>
              <w:rPr>
                <w:rFonts w:ascii="Cambria Math" w:hAnsi="Cambria Math"/>
                <w:sz w:val="24"/>
                <w:szCs w:val="24"/>
              </w:rPr>
              <m:t>2</m:t>
            </m:r>
          </m:den>
        </m:f>
      </m:oMath>
      <w:r w:rsidRPr="00C877C1">
        <w:t>); and</w:t>
      </w:r>
    </w:p>
    <w:p w14:paraId="7BBF5B25" w14:textId="77777777" w:rsidR="00816A7B" w:rsidRPr="00C877C1" w:rsidRDefault="00816A7B" w:rsidP="00816A7B">
      <w:pPr>
        <w:numPr>
          <w:ilvl w:val="7"/>
          <w:numId w:val="0"/>
        </w:numPr>
        <w:tabs>
          <w:tab w:val="num" w:pos="1474"/>
        </w:tabs>
        <w:spacing w:after="240"/>
        <w:ind w:left="1474" w:hanging="737"/>
        <w:outlineLvl w:val="7"/>
      </w:pPr>
      <w:r w:rsidRPr="00C877C1">
        <w:t>the change in LCOE for solar photovoltaic technology per year between 2023 and 2030 (C</w:t>
      </w:r>
      <w:r w:rsidRPr="00C877C1">
        <w:rPr>
          <w:vertAlign w:val="subscript"/>
        </w:rPr>
        <w:t>Y</w:t>
      </w:r>
      <w:r w:rsidRPr="00C877C1">
        <w:t>) is – $</w:t>
      </w:r>
      <w:r>
        <w:t>2.50</w:t>
      </w:r>
      <w:r w:rsidRPr="00C877C1">
        <w:t xml:space="preserve">/MWh ( i.e. </w:t>
      </w:r>
      <m:oMath>
        <m:f>
          <m:fPr>
            <m:ctrlPr>
              <w:rPr>
                <w:rFonts w:ascii="Cambria Math" w:hAnsi="Cambria Math"/>
                <w:i/>
                <w:sz w:val="24"/>
                <w:szCs w:val="24"/>
              </w:rPr>
            </m:ctrlPr>
          </m:fPr>
          <m:num>
            <m:d>
              <m:dPr>
                <m:ctrlPr>
                  <w:rPr>
                    <w:rFonts w:ascii="Cambria Math" w:hAnsi="Cambria Math"/>
                    <w:i/>
                    <w:sz w:val="24"/>
                    <w:szCs w:val="24"/>
                  </w:rPr>
                </m:ctrlPr>
              </m:dPr>
              <m:e>
                <m:r>
                  <w:rPr>
                    <w:rFonts w:ascii="Cambria Math" w:hAnsi="Cambria Math"/>
                    <w:sz w:val="24"/>
                    <w:szCs w:val="24"/>
                  </w:rPr>
                  <m:t>$49  - $64</m:t>
                </m:r>
              </m:e>
            </m:d>
          </m:num>
          <m:den>
            <m:r>
              <w:rPr>
                <w:rFonts w:ascii="Cambria Math" w:hAnsi="Cambria Math"/>
                <w:sz w:val="24"/>
                <w:szCs w:val="24"/>
              </w:rPr>
              <m:t>(2030 - 2024)</m:t>
            </m:r>
          </m:den>
        </m:f>
      </m:oMath>
      <w:r w:rsidRPr="00C877C1">
        <w:t>).</w:t>
      </w:r>
    </w:p>
    <w:p w14:paraId="771888BC" w14:textId="77777777" w:rsidR="00816A7B" w:rsidRPr="00C877C1" w:rsidRDefault="00816A7B" w:rsidP="00816A7B">
      <w:pPr>
        <w:numPr>
          <w:ilvl w:val="6"/>
          <w:numId w:val="0"/>
        </w:numPr>
        <w:spacing w:after="240"/>
        <w:ind w:left="737"/>
        <w:outlineLvl w:val="6"/>
      </w:pPr>
      <w:r w:rsidRPr="00C877C1">
        <w:t>Therefore, the LCOE for solar photovoltaic technology in 2028 is $</w:t>
      </w:r>
      <w:r>
        <w:t>54.00</w:t>
      </w:r>
      <w:r w:rsidRPr="00C877C1">
        <w:t xml:space="preserve">/MWh (i.e. </w:t>
      </w:r>
      <m:oMath>
        <m:r>
          <w:rPr>
            <w:rFonts w:ascii="Cambria Math" w:hAnsi="Cambria Math"/>
          </w:rPr>
          <m:t>64-(2.50 ×</m:t>
        </m:r>
        <m:d>
          <m:dPr>
            <m:ctrlPr>
              <w:rPr>
                <w:rFonts w:ascii="Cambria Math" w:hAnsi="Cambria Math"/>
                <w:i/>
              </w:rPr>
            </m:ctrlPr>
          </m:dPr>
          <m:e>
            <m:r>
              <w:rPr>
                <w:rFonts w:ascii="Cambria Math" w:hAnsi="Cambria Math"/>
              </w:rPr>
              <m:t>2028 -2024</m:t>
            </m:r>
          </m:e>
        </m:d>
        <m:r>
          <w:rPr>
            <w:rFonts w:ascii="Cambria Math" w:hAnsi="Cambria Math"/>
          </w:rPr>
          <m:t>))</m:t>
        </m:r>
      </m:oMath>
      <w:r w:rsidRPr="00C877C1">
        <w:t>.</w:t>
      </w:r>
    </w:p>
    <w:p w14:paraId="03427C87" w14:textId="466FA53D" w:rsidR="00816A7B" w:rsidRPr="00C877C1" w:rsidRDefault="00816A7B" w:rsidP="00816A7B">
      <w:pPr>
        <w:numPr>
          <w:ilvl w:val="6"/>
          <w:numId w:val="0"/>
        </w:numPr>
        <w:spacing w:after="240"/>
        <w:ind w:left="737"/>
        <w:outlineLvl w:val="6"/>
      </w:pPr>
      <w:r w:rsidRPr="00C877C1">
        <w:t>The table below outlines the expected LCOE values across a range of years for common Associated Project technologies</w:t>
      </w:r>
      <w:r w:rsidR="00BC5AC8">
        <w:t>.</w:t>
      </w:r>
    </w:p>
    <w:tbl>
      <w:tblPr>
        <w:tblStyle w:val="TableGrid"/>
        <w:tblW w:w="0" w:type="auto"/>
        <w:tblInd w:w="737" w:type="dxa"/>
        <w:tblLook w:val="04A0" w:firstRow="1" w:lastRow="0" w:firstColumn="1" w:lastColumn="0" w:noHBand="0" w:noVBand="1"/>
      </w:tblPr>
      <w:tblGrid>
        <w:gridCol w:w="2477"/>
        <w:gridCol w:w="2343"/>
        <w:gridCol w:w="2371"/>
      </w:tblGrid>
      <w:tr w:rsidR="00816A7B" w:rsidRPr="00C877C1" w14:paraId="21209D9F" w14:textId="77777777" w:rsidTr="00BC5AC8">
        <w:tc>
          <w:tcPr>
            <w:tcW w:w="2477" w:type="dxa"/>
          </w:tcPr>
          <w:p w14:paraId="28AFEDA2" w14:textId="77777777" w:rsidR="00816A7B" w:rsidRPr="00C877C1" w:rsidRDefault="00816A7B" w:rsidP="00A207B3">
            <w:pPr>
              <w:numPr>
                <w:ilvl w:val="6"/>
                <w:numId w:val="0"/>
              </w:numPr>
              <w:spacing w:after="240"/>
              <w:ind w:left="737"/>
              <w:outlineLvl w:val="6"/>
            </w:pPr>
            <w:r w:rsidRPr="00C877C1">
              <w:rPr>
                <w:b/>
                <w:bCs/>
              </w:rPr>
              <w:t>Nominated Year</w:t>
            </w:r>
          </w:p>
        </w:tc>
        <w:tc>
          <w:tcPr>
            <w:tcW w:w="2343" w:type="dxa"/>
          </w:tcPr>
          <w:p w14:paraId="003C283D" w14:textId="77777777" w:rsidR="00816A7B" w:rsidRPr="00C877C1" w:rsidRDefault="00816A7B" w:rsidP="00A207B3">
            <w:pPr>
              <w:numPr>
                <w:ilvl w:val="6"/>
                <w:numId w:val="0"/>
              </w:numPr>
              <w:spacing w:after="240"/>
              <w:ind w:left="737"/>
              <w:outlineLvl w:val="6"/>
              <w:rPr>
                <w:b/>
                <w:bCs/>
              </w:rPr>
            </w:pPr>
            <w:r w:rsidRPr="00C877C1">
              <w:rPr>
                <w:b/>
                <w:bCs/>
              </w:rPr>
              <w:t xml:space="preserve">Solar PV </w:t>
            </w:r>
          </w:p>
        </w:tc>
        <w:tc>
          <w:tcPr>
            <w:tcW w:w="2371" w:type="dxa"/>
          </w:tcPr>
          <w:p w14:paraId="1EE0621C" w14:textId="77777777" w:rsidR="00816A7B" w:rsidRPr="00C877C1" w:rsidRDefault="00816A7B" w:rsidP="00A207B3">
            <w:pPr>
              <w:spacing w:after="240"/>
              <w:outlineLvl w:val="6"/>
            </w:pPr>
            <w:r w:rsidRPr="00C877C1">
              <w:rPr>
                <w:b/>
                <w:bCs/>
              </w:rPr>
              <w:t>Wind onshore</w:t>
            </w:r>
          </w:p>
        </w:tc>
      </w:tr>
      <w:tr w:rsidR="00816A7B" w:rsidRPr="00C877C1" w14:paraId="6B87D99E" w14:textId="77777777" w:rsidTr="00BC5AC8">
        <w:tc>
          <w:tcPr>
            <w:tcW w:w="2477" w:type="dxa"/>
          </w:tcPr>
          <w:p w14:paraId="7B4BAFA1" w14:textId="77777777" w:rsidR="00816A7B" w:rsidRPr="00C877C1" w:rsidRDefault="00816A7B" w:rsidP="00A207B3">
            <w:pPr>
              <w:numPr>
                <w:ilvl w:val="6"/>
                <w:numId w:val="0"/>
              </w:numPr>
              <w:spacing w:after="240"/>
              <w:ind w:left="737"/>
              <w:outlineLvl w:val="6"/>
            </w:pPr>
            <w:r w:rsidRPr="00C877C1">
              <w:rPr>
                <w:b/>
                <w:bCs/>
              </w:rPr>
              <w:t>2024</w:t>
            </w:r>
          </w:p>
        </w:tc>
        <w:tc>
          <w:tcPr>
            <w:tcW w:w="2343" w:type="dxa"/>
            <w:vAlign w:val="bottom"/>
          </w:tcPr>
          <w:p w14:paraId="219DAFA6" w14:textId="77777777" w:rsidR="00816A7B" w:rsidRPr="00C877C1" w:rsidRDefault="00816A7B" w:rsidP="00A207B3">
            <w:pPr>
              <w:numPr>
                <w:ilvl w:val="6"/>
                <w:numId w:val="0"/>
              </w:numPr>
              <w:spacing w:after="240"/>
              <w:ind w:left="737"/>
              <w:jc w:val="center"/>
              <w:outlineLvl w:val="6"/>
            </w:pPr>
            <w:r>
              <w:rPr>
                <w:rFonts w:ascii="Aptos Narrow" w:hAnsi="Aptos Narrow"/>
                <w:color w:val="000000"/>
                <w:sz w:val="22"/>
                <w:szCs w:val="22"/>
              </w:rPr>
              <w:t>64.00</w:t>
            </w:r>
          </w:p>
        </w:tc>
        <w:tc>
          <w:tcPr>
            <w:tcW w:w="2371" w:type="dxa"/>
            <w:vAlign w:val="bottom"/>
          </w:tcPr>
          <w:p w14:paraId="39682608" w14:textId="77777777" w:rsidR="00816A7B" w:rsidRPr="00C877C1" w:rsidRDefault="00816A7B" w:rsidP="00A207B3">
            <w:pPr>
              <w:numPr>
                <w:ilvl w:val="6"/>
                <w:numId w:val="0"/>
              </w:numPr>
              <w:spacing w:after="240"/>
              <w:ind w:left="737"/>
              <w:jc w:val="center"/>
              <w:outlineLvl w:val="6"/>
            </w:pPr>
            <w:r>
              <w:rPr>
                <w:rFonts w:ascii="Aptos Narrow" w:hAnsi="Aptos Narrow"/>
                <w:color w:val="000000"/>
                <w:sz w:val="22"/>
                <w:szCs w:val="22"/>
              </w:rPr>
              <w:t>106.00</w:t>
            </w:r>
          </w:p>
        </w:tc>
      </w:tr>
      <w:tr w:rsidR="00816A7B" w:rsidRPr="00C877C1" w14:paraId="3D7A88FD" w14:textId="77777777" w:rsidTr="00BC5AC8">
        <w:tc>
          <w:tcPr>
            <w:tcW w:w="2477" w:type="dxa"/>
          </w:tcPr>
          <w:p w14:paraId="55B484FF" w14:textId="77777777" w:rsidR="00816A7B" w:rsidRPr="00C877C1" w:rsidRDefault="00816A7B" w:rsidP="00A207B3">
            <w:pPr>
              <w:numPr>
                <w:ilvl w:val="6"/>
                <w:numId w:val="0"/>
              </w:numPr>
              <w:spacing w:after="240"/>
              <w:ind w:left="737"/>
              <w:outlineLvl w:val="6"/>
            </w:pPr>
            <w:r w:rsidRPr="00C877C1">
              <w:rPr>
                <w:b/>
                <w:bCs/>
              </w:rPr>
              <w:t>2025</w:t>
            </w:r>
          </w:p>
        </w:tc>
        <w:tc>
          <w:tcPr>
            <w:tcW w:w="2343" w:type="dxa"/>
            <w:vAlign w:val="bottom"/>
          </w:tcPr>
          <w:p w14:paraId="095F1B8F" w14:textId="77777777" w:rsidR="00816A7B" w:rsidRPr="00C877C1" w:rsidRDefault="00816A7B" w:rsidP="00A207B3">
            <w:pPr>
              <w:numPr>
                <w:ilvl w:val="6"/>
                <w:numId w:val="0"/>
              </w:numPr>
              <w:spacing w:after="240"/>
              <w:ind w:left="737"/>
              <w:jc w:val="center"/>
              <w:outlineLvl w:val="6"/>
            </w:pPr>
            <w:r>
              <w:rPr>
                <w:rFonts w:ascii="Aptos Narrow" w:hAnsi="Aptos Narrow"/>
                <w:color w:val="000000"/>
                <w:sz w:val="22"/>
                <w:szCs w:val="22"/>
              </w:rPr>
              <w:t>61.50</w:t>
            </w:r>
          </w:p>
        </w:tc>
        <w:tc>
          <w:tcPr>
            <w:tcW w:w="2371" w:type="dxa"/>
            <w:vAlign w:val="bottom"/>
          </w:tcPr>
          <w:p w14:paraId="20B0E629" w14:textId="77777777" w:rsidR="00816A7B" w:rsidRPr="00C877C1" w:rsidRDefault="00816A7B" w:rsidP="00A207B3">
            <w:pPr>
              <w:numPr>
                <w:ilvl w:val="6"/>
                <w:numId w:val="0"/>
              </w:numPr>
              <w:spacing w:after="240"/>
              <w:ind w:left="737"/>
              <w:jc w:val="center"/>
              <w:outlineLvl w:val="6"/>
            </w:pPr>
            <w:r>
              <w:rPr>
                <w:rFonts w:ascii="Aptos Narrow" w:hAnsi="Aptos Narrow"/>
                <w:color w:val="000000"/>
                <w:sz w:val="22"/>
                <w:szCs w:val="22"/>
              </w:rPr>
              <w:t>102.58</w:t>
            </w:r>
          </w:p>
        </w:tc>
      </w:tr>
      <w:tr w:rsidR="00816A7B" w:rsidRPr="00C877C1" w14:paraId="6A16C7BB" w14:textId="77777777" w:rsidTr="00BC5AC8">
        <w:tc>
          <w:tcPr>
            <w:tcW w:w="2477" w:type="dxa"/>
          </w:tcPr>
          <w:p w14:paraId="20E62070" w14:textId="77777777" w:rsidR="00816A7B" w:rsidRPr="00C877C1" w:rsidRDefault="00816A7B" w:rsidP="00A207B3">
            <w:pPr>
              <w:numPr>
                <w:ilvl w:val="6"/>
                <w:numId w:val="0"/>
              </w:numPr>
              <w:spacing w:after="240"/>
              <w:ind w:left="737"/>
              <w:outlineLvl w:val="6"/>
            </w:pPr>
            <w:r w:rsidRPr="00C877C1">
              <w:rPr>
                <w:b/>
                <w:bCs/>
              </w:rPr>
              <w:t>2026</w:t>
            </w:r>
          </w:p>
        </w:tc>
        <w:tc>
          <w:tcPr>
            <w:tcW w:w="2343" w:type="dxa"/>
            <w:vAlign w:val="bottom"/>
          </w:tcPr>
          <w:p w14:paraId="377729F3" w14:textId="77777777" w:rsidR="00816A7B" w:rsidRPr="00C877C1" w:rsidRDefault="00816A7B" w:rsidP="00A207B3">
            <w:pPr>
              <w:numPr>
                <w:ilvl w:val="6"/>
                <w:numId w:val="0"/>
              </w:numPr>
              <w:spacing w:after="240"/>
              <w:ind w:left="737"/>
              <w:jc w:val="center"/>
              <w:outlineLvl w:val="6"/>
            </w:pPr>
            <w:r>
              <w:rPr>
                <w:rFonts w:ascii="Aptos Narrow" w:hAnsi="Aptos Narrow"/>
                <w:color w:val="000000"/>
                <w:sz w:val="22"/>
                <w:szCs w:val="22"/>
              </w:rPr>
              <w:t>59.00</w:t>
            </w:r>
          </w:p>
        </w:tc>
        <w:tc>
          <w:tcPr>
            <w:tcW w:w="2371" w:type="dxa"/>
            <w:vAlign w:val="bottom"/>
          </w:tcPr>
          <w:p w14:paraId="71913122" w14:textId="77777777" w:rsidR="00816A7B" w:rsidRPr="00C877C1" w:rsidRDefault="00816A7B" w:rsidP="00A207B3">
            <w:pPr>
              <w:numPr>
                <w:ilvl w:val="6"/>
                <w:numId w:val="0"/>
              </w:numPr>
              <w:spacing w:after="240"/>
              <w:ind w:left="737"/>
              <w:jc w:val="center"/>
              <w:outlineLvl w:val="6"/>
            </w:pPr>
            <w:r>
              <w:rPr>
                <w:rFonts w:ascii="Aptos Narrow" w:hAnsi="Aptos Narrow"/>
                <w:color w:val="000000"/>
                <w:sz w:val="22"/>
                <w:szCs w:val="22"/>
              </w:rPr>
              <w:t>99.17</w:t>
            </w:r>
          </w:p>
        </w:tc>
      </w:tr>
      <w:tr w:rsidR="00816A7B" w:rsidRPr="00C877C1" w14:paraId="715F54F8" w14:textId="77777777" w:rsidTr="00BC5AC8">
        <w:tc>
          <w:tcPr>
            <w:tcW w:w="2477" w:type="dxa"/>
          </w:tcPr>
          <w:p w14:paraId="06F93DCF" w14:textId="77777777" w:rsidR="00816A7B" w:rsidRPr="00C877C1" w:rsidRDefault="00816A7B" w:rsidP="00A207B3">
            <w:pPr>
              <w:numPr>
                <w:ilvl w:val="6"/>
                <w:numId w:val="0"/>
              </w:numPr>
              <w:spacing w:after="240"/>
              <w:ind w:left="737"/>
              <w:outlineLvl w:val="6"/>
            </w:pPr>
            <w:r w:rsidRPr="00C877C1">
              <w:rPr>
                <w:b/>
                <w:bCs/>
              </w:rPr>
              <w:t>2027</w:t>
            </w:r>
          </w:p>
        </w:tc>
        <w:tc>
          <w:tcPr>
            <w:tcW w:w="2343" w:type="dxa"/>
            <w:vAlign w:val="bottom"/>
          </w:tcPr>
          <w:p w14:paraId="22C4DEC1" w14:textId="77777777" w:rsidR="00816A7B" w:rsidRPr="00C877C1" w:rsidRDefault="00816A7B" w:rsidP="00A207B3">
            <w:pPr>
              <w:numPr>
                <w:ilvl w:val="6"/>
                <w:numId w:val="0"/>
              </w:numPr>
              <w:spacing w:after="240"/>
              <w:ind w:left="737"/>
              <w:jc w:val="center"/>
              <w:outlineLvl w:val="6"/>
            </w:pPr>
            <w:r>
              <w:rPr>
                <w:rFonts w:ascii="Aptos Narrow" w:hAnsi="Aptos Narrow"/>
                <w:color w:val="000000"/>
                <w:sz w:val="22"/>
                <w:szCs w:val="22"/>
              </w:rPr>
              <w:t>56.50</w:t>
            </w:r>
          </w:p>
        </w:tc>
        <w:tc>
          <w:tcPr>
            <w:tcW w:w="2371" w:type="dxa"/>
            <w:vAlign w:val="bottom"/>
          </w:tcPr>
          <w:p w14:paraId="75A2608F" w14:textId="77777777" w:rsidR="00816A7B" w:rsidRPr="00C877C1" w:rsidRDefault="00816A7B" w:rsidP="00A207B3">
            <w:pPr>
              <w:numPr>
                <w:ilvl w:val="6"/>
                <w:numId w:val="0"/>
              </w:numPr>
              <w:spacing w:after="240"/>
              <w:ind w:left="737"/>
              <w:jc w:val="center"/>
              <w:outlineLvl w:val="6"/>
            </w:pPr>
            <w:r>
              <w:rPr>
                <w:rFonts w:ascii="Aptos Narrow" w:hAnsi="Aptos Narrow"/>
                <w:color w:val="000000"/>
                <w:sz w:val="22"/>
                <w:szCs w:val="22"/>
              </w:rPr>
              <w:t>95.75</w:t>
            </w:r>
          </w:p>
        </w:tc>
      </w:tr>
      <w:tr w:rsidR="00816A7B" w:rsidRPr="00C877C1" w14:paraId="5803465B" w14:textId="77777777" w:rsidTr="00BC5AC8">
        <w:tc>
          <w:tcPr>
            <w:tcW w:w="2477" w:type="dxa"/>
          </w:tcPr>
          <w:p w14:paraId="714B9438" w14:textId="77777777" w:rsidR="00816A7B" w:rsidRPr="00C877C1" w:rsidRDefault="00816A7B" w:rsidP="00A207B3">
            <w:pPr>
              <w:numPr>
                <w:ilvl w:val="6"/>
                <w:numId w:val="0"/>
              </w:numPr>
              <w:spacing w:after="240"/>
              <w:ind w:left="737"/>
              <w:outlineLvl w:val="6"/>
              <w:rPr>
                <w:b/>
                <w:bCs/>
              </w:rPr>
            </w:pPr>
            <w:r w:rsidRPr="00C877C1">
              <w:rPr>
                <w:b/>
                <w:bCs/>
              </w:rPr>
              <w:t>2028</w:t>
            </w:r>
          </w:p>
        </w:tc>
        <w:tc>
          <w:tcPr>
            <w:tcW w:w="2343" w:type="dxa"/>
            <w:vAlign w:val="bottom"/>
          </w:tcPr>
          <w:p w14:paraId="7B82185C" w14:textId="77777777" w:rsidR="00816A7B" w:rsidRPr="00C877C1" w:rsidRDefault="00816A7B" w:rsidP="00A207B3">
            <w:pPr>
              <w:numPr>
                <w:ilvl w:val="6"/>
                <w:numId w:val="0"/>
              </w:numPr>
              <w:spacing w:after="240"/>
              <w:ind w:left="737"/>
              <w:jc w:val="center"/>
              <w:outlineLvl w:val="6"/>
            </w:pPr>
            <w:r>
              <w:rPr>
                <w:rFonts w:ascii="Aptos Narrow" w:hAnsi="Aptos Narrow"/>
                <w:color w:val="000000"/>
                <w:sz w:val="22"/>
                <w:szCs w:val="22"/>
              </w:rPr>
              <w:t>54.00</w:t>
            </w:r>
          </w:p>
        </w:tc>
        <w:tc>
          <w:tcPr>
            <w:tcW w:w="2371" w:type="dxa"/>
            <w:vAlign w:val="bottom"/>
          </w:tcPr>
          <w:p w14:paraId="48ED708A" w14:textId="77777777" w:rsidR="00816A7B" w:rsidRPr="00C877C1" w:rsidRDefault="00816A7B" w:rsidP="00A207B3">
            <w:pPr>
              <w:numPr>
                <w:ilvl w:val="6"/>
                <w:numId w:val="0"/>
              </w:numPr>
              <w:spacing w:after="240"/>
              <w:ind w:left="737"/>
              <w:jc w:val="center"/>
              <w:outlineLvl w:val="6"/>
            </w:pPr>
            <w:r>
              <w:rPr>
                <w:rFonts w:ascii="Aptos Narrow" w:hAnsi="Aptos Narrow"/>
                <w:color w:val="000000"/>
                <w:sz w:val="22"/>
                <w:szCs w:val="22"/>
              </w:rPr>
              <w:t>92.33</w:t>
            </w:r>
          </w:p>
        </w:tc>
      </w:tr>
      <w:tr w:rsidR="00816A7B" w:rsidRPr="00C877C1" w14:paraId="12BBB6D5" w14:textId="77777777" w:rsidTr="00BC5AC8">
        <w:tc>
          <w:tcPr>
            <w:tcW w:w="2477" w:type="dxa"/>
          </w:tcPr>
          <w:p w14:paraId="10AF044D" w14:textId="77777777" w:rsidR="00816A7B" w:rsidRPr="00C877C1" w:rsidRDefault="00816A7B" w:rsidP="00A207B3">
            <w:pPr>
              <w:numPr>
                <w:ilvl w:val="6"/>
                <w:numId w:val="0"/>
              </w:numPr>
              <w:spacing w:after="240"/>
              <w:ind w:left="737"/>
              <w:outlineLvl w:val="6"/>
              <w:rPr>
                <w:b/>
                <w:bCs/>
              </w:rPr>
            </w:pPr>
            <w:r w:rsidRPr="00C877C1">
              <w:rPr>
                <w:b/>
                <w:bCs/>
              </w:rPr>
              <w:t>2029</w:t>
            </w:r>
          </w:p>
        </w:tc>
        <w:tc>
          <w:tcPr>
            <w:tcW w:w="2343" w:type="dxa"/>
            <w:vAlign w:val="bottom"/>
          </w:tcPr>
          <w:p w14:paraId="2544BF63" w14:textId="77777777" w:rsidR="00816A7B" w:rsidRPr="00C877C1" w:rsidRDefault="00816A7B" w:rsidP="00A207B3">
            <w:pPr>
              <w:numPr>
                <w:ilvl w:val="6"/>
                <w:numId w:val="0"/>
              </w:numPr>
              <w:spacing w:after="240"/>
              <w:ind w:left="737"/>
              <w:jc w:val="center"/>
              <w:outlineLvl w:val="6"/>
            </w:pPr>
            <w:r>
              <w:rPr>
                <w:rFonts w:ascii="Aptos Narrow" w:hAnsi="Aptos Narrow"/>
                <w:color w:val="000000"/>
                <w:sz w:val="22"/>
                <w:szCs w:val="22"/>
              </w:rPr>
              <w:t>51.50</w:t>
            </w:r>
          </w:p>
        </w:tc>
        <w:tc>
          <w:tcPr>
            <w:tcW w:w="2371" w:type="dxa"/>
            <w:vAlign w:val="bottom"/>
          </w:tcPr>
          <w:p w14:paraId="596F0265" w14:textId="77777777" w:rsidR="00816A7B" w:rsidRPr="00C877C1" w:rsidRDefault="00816A7B" w:rsidP="00A207B3">
            <w:pPr>
              <w:numPr>
                <w:ilvl w:val="6"/>
                <w:numId w:val="0"/>
              </w:numPr>
              <w:spacing w:after="240"/>
              <w:ind w:left="737"/>
              <w:jc w:val="center"/>
              <w:outlineLvl w:val="6"/>
            </w:pPr>
            <w:r>
              <w:rPr>
                <w:rFonts w:ascii="Aptos Narrow" w:hAnsi="Aptos Narrow"/>
                <w:color w:val="000000"/>
                <w:sz w:val="22"/>
                <w:szCs w:val="22"/>
              </w:rPr>
              <w:t>88.92</w:t>
            </w:r>
          </w:p>
        </w:tc>
      </w:tr>
      <w:tr w:rsidR="00816A7B" w:rsidRPr="00C877C1" w14:paraId="61886934" w14:textId="77777777" w:rsidTr="00BC5AC8">
        <w:tc>
          <w:tcPr>
            <w:tcW w:w="2477" w:type="dxa"/>
          </w:tcPr>
          <w:p w14:paraId="4661D090" w14:textId="77777777" w:rsidR="00816A7B" w:rsidRPr="00C877C1" w:rsidRDefault="00816A7B" w:rsidP="00A207B3">
            <w:pPr>
              <w:numPr>
                <w:ilvl w:val="6"/>
                <w:numId w:val="0"/>
              </w:numPr>
              <w:spacing w:after="240"/>
              <w:ind w:left="737"/>
              <w:outlineLvl w:val="6"/>
              <w:rPr>
                <w:b/>
                <w:bCs/>
              </w:rPr>
            </w:pPr>
            <w:r w:rsidRPr="00C877C1">
              <w:rPr>
                <w:b/>
                <w:bCs/>
              </w:rPr>
              <w:t>2030</w:t>
            </w:r>
          </w:p>
        </w:tc>
        <w:tc>
          <w:tcPr>
            <w:tcW w:w="2343" w:type="dxa"/>
            <w:vAlign w:val="bottom"/>
          </w:tcPr>
          <w:p w14:paraId="318AED38" w14:textId="77777777" w:rsidR="00816A7B" w:rsidRPr="00C877C1" w:rsidRDefault="00816A7B" w:rsidP="00A207B3">
            <w:pPr>
              <w:numPr>
                <w:ilvl w:val="6"/>
                <w:numId w:val="0"/>
              </w:numPr>
              <w:spacing w:after="240"/>
              <w:ind w:left="737"/>
              <w:jc w:val="center"/>
              <w:outlineLvl w:val="6"/>
            </w:pPr>
            <w:r>
              <w:rPr>
                <w:rFonts w:ascii="Aptos Narrow" w:hAnsi="Aptos Narrow"/>
                <w:color w:val="000000"/>
                <w:sz w:val="22"/>
                <w:szCs w:val="22"/>
              </w:rPr>
              <w:t>49.00</w:t>
            </w:r>
          </w:p>
        </w:tc>
        <w:tc>
          <w:tcPr>
            <w:tcW w:w="2371" w:type="dxa"/>
            <w:vAlign w:val="bottom"/>
          </w:tcPr>
          <w:p w14:paraId="39BB4D11" w14:textId="77777777" w:rsidR="00816A7B" w:rsidRPr="00C877C1" w:rsidRDefault="00816A7B" w:rsidP="00A207B3">
            <w:pPr>
              <w:numPr>
                <w:ilvl w:val="6"/>
                <w:numId w:val="0"/>
              </w:numPr>
              <w:spacing w:after="240"/>
              <w:ind w:left="737"/>
              <w:jc w:val="center"/>
              <w:outlineLvl w:val="6"/>
            </w:pPr>
            <w:r>
              <w:rPr>
                <w:rFonts w:ascii="Aptos Narrow" w:hAnsi="Aptos Narrow"/>
                <w:color w:val="000000"/>
                <w:sz w:val="22"/>
                <w:szCs w:val="22"/>
              </w:rPr>
              <w:t>85.50</w:t>
            </w:r>
          </w:p>
        </w:tc>
      </w:tr>
    </w:tbl>
    <w:p w14:paraId="4938DC89" w14:textId="3A6C0859" w:rsidR="00816A7B" w:rsidRPr="00C877C1" w:rsidRDefault="00BC5AC8" w:rsidP="00816A7B">
      <w:pPr>
        <w:numPr>
          <w:ilvl w:val="6"/>
          <w:numId w:val="0"/>
        </w:numPr>
        <w:spacing w:after="240"/>
        <w:ind w:left="737"/>
        <w:outlineLvl w:val="6"/>
      </w:pPr>
      <w:r w:rsidRPr="00C877C1">
        <w:t>.]</w:t>
      </w:r>
    </w:p>
    <w:p w14:paraId="01A3A4B9" w14:textId="74B8999A" w:rsidR="00816A7B" w:rsidRDefault="00816A7B" w:rsidP="008F660B">
      <w:pPr>
        <w:numPr>
          <w:ilvl w:val="6"/>
          <w:numId w:val="0"/>
        </w:numPr>
        <w:spacing w:after="240"/>
        <w:ind w:left="737"/>
        <w:outlineLvl w:val="6"/>
      </w:pPr>
      <w:r w:rsidRPr="00C877C1">
        <w:t>[</w:t>
      </w:r>
      <w:r w:rsidRPr="00C877C1">
        <w:rPr>
          <w:b/>
          <w:bCs/>
          <w:i/>
          <w:iCs/>
          <w:highlight w:val="lightGray"/>
        </w:rPr>
        <w:t>Note: this definition and the accompanying example is to be included for all Hybrid Projects. For clarity, the 202</w:t>
      </w:r>
      <w:r>
        <w:rPr>
          <w:b/>
          <w:bCs/>
          <w:i/>
          <w:iCs/>
          <w:highlight w:val="lightGray"/>
        </w:rPr>
        <w:t>4</w:t>
      </w:r>
      <w:r w:rsidRPr="00C877C1">
        <w:rPr>
          <w:b/>
          <w:bCs/>
          <w:i/>
          <w:iCs/>
          <w:highlight w:val="lightGray"/>
        </w:rPr>
        <w:t>-202</w:t>
      </w:r>
      <w:r>
        <w:rPr>
          <w:b/>
          <w:bCs/>
          <w:i/>
          <w:iCs/>
          <w:highlight w:val="lightGray"/>
        </w:rPr>
        <w:t>5</w:t>
      </w:r>
      <w:r w:rsidRPr="00C877C1">
        <w:rPr>
          <w:b/>
          <w:bCs/>
          <w:i/>
          <w:iCs/>
          <w:highlight w:val="lightGray"/>
        </w:rPr>
        <w:t xml:space="preserve"> GenCost Report is expected to be the latest available version on the Tender Date.</w:t>
      </w:r>
      <w:r w:rsidRPr="00C877C1">
        <w:rPr>
          <w:highlight w:val="lightGray"/>
        </w:rPr>
        <w:t>]</w:t>
      </w:r>
      <w:r w:rsidRPr="00C877C1">
        <w:t xml:space="preserve"> </w:t>
      </w:r>
    </w:p>
    <w:p w14:paraId="68BF500F" w14:textId="49967864" w:rsidR="0080104F" w:rsidRDefault="2BC382E4" w:rsidP="00380AEA">
      <w:pPr>
        <w:pStyle w:val="Heading7"/>
        <w:spacing w:before="240"/>
      </w:pPr>
      <w:r w:rsidRPr="2BC382E4">
        <w:rPr>
          <w:b/>
          <w:bCs/>
        </w:rPr>
        <w:t>LGC</w:t>
      </w:r>
      <w:r>
        <w:t xml:space="preserve"> means a large-scale generation certificate created under Division 4 of </w:t>
      </w:r>
      <w:bookmarkStart w:id="128" w:name="_9kMHG5YVtCIA67AlBvIrBNlV09"/>
      <w:r>
        <w:t>Part 2</w:t>
      </w:r>
      <w:bookmarkEnd w:id="128"/>
      <w:r>
        <w:t xml:space="preserve"> of the RE Act, excluding wood-waste LGCs. </w:t>
      </w:r>
    </w:p>
    <w:p w14:paraId="4B1B9E1A" w14:textId="2EC87159" w:rsidR="009B09C2" w:rsidRDefault="2BC382E4" w:rsidP="0058045D">
      <w:pPr>
        <w:pStyle w:val="Heading7"/>
      </w:pPr>
      <w:r w:rsidRPr="2BC382E4">
        <w:rPr>
          <w:b/>
          <w:bCs/>
        </w:rPr>
        <w:t>Loss</w:t>
      </w:r>
      <w:r>
        <w:t xml:space="preserve"> means all </w:t>
      </w:r>
      <w:r w:rsidR="0078292A">
        <w:t xml:space="preserve">loss, </w:t>
      </w:r>
      <w:r>
        <w:t>damage,</w:t>
      </w:r>
      <w:r w:rsidR="009750E8">
        <w:t xml:space="preserve"> liability</w:t>
      </w:r>
      <w:r>
        <w:t>, cost or expense</w:t>
      </w:r>
      <w:r w:rsidR="009B09C2">
        <w:t xml:space="preserve">, and includes: </w:t>
      </w:r>
    </w:p>
    <w:p w14:paraId="2DEAC8E2" w14:textId="0847D381" w:rsidR="009B09C2" w:rsidRDefault="009B09C2" w:rsidP="008F660B">
      <w:pPr>
        <w:pStyle w:val="Heading8"/>
        <w:numPr>
          <w:ilvl w:val="7"/>
          <w:numId w:val="125"/>
        </w:numPr>
      </w:pPr>
      <w:bookmarkStart w:id="129" w:name="_Ref179812183"/>
      <w:r w:rsidRPr="00401917">
        <w:t xml:space="preserve">in relation to a </w:t>
      </w:r>
      <w:r w:rsidR="2BC382E4">
        <w:t>Claim</w:t>
      </w:r>
      <w:r>
        <w:t>, amounts payable in respect of the Claim (including amounts incurred or agreed to be paid by way of damages, settlement or compromise) and reasonable legal costs and expenses incurred in relation to the Claim, calculated on a full indemnity basis; and</w:t>
      </w:r>
      <w:bookmarkEnd w:id="129"/>
    </w:p>
    <w:p w14:paraId="23295A9F" w14:textId="088146AE" w:rsidR="009B09C2" w:rsidRDefault="009B09C2" w:rsidP="00380AEA">
      <w:pPr>
        <w:pStyle w:val="Heading8"/>
      </w:pPr>
      <w:r>
        <w:tab/>
        <w:t xml:space="preserve">amounts referred to in paragraph </w:t>
      </w:r>
      <w:r w:rsidR="00501391">
        <w:fldChar w:fldCharType="begin"/>
      </w:r>
      <w:r w:rsidR="00501391">
        <w:instrText xml:space="preserve"> REF _Ref179812183 \n \h </w:instrText>
      </w:r>
      <w:r w:rsidR="00501391">
        <w:fldChar w:fldCharType="separate"/>
      </w:r>
      <w:r w:rsidR="002E5C6A">
        <w:t>(a)</w:t>
      </w:r>
      <w:r w:rsidR="00501391">
        <w:fldChar w:fldCharType="end"/>
      </w:r>
      <w:r>
        <w:t xml:space="preserve"> resulting from </w:t>
      </w:r>
      <w:r w:rsidR="00637C48">
        <w:t>C</w:t>
      </w:r>
      <w:r>
        <w:t xml:space="preserve">laims by third parties against </w:t>
      </w:r>
      <w:r w:rsidR="009327F8">
        <w:t>T</w:t>
      </w:r>
      <w:r>
        <w:t xml:space="preserve">hose </w:t>
      </w:r>
      <w:r w:rsidR="009327F8">
        <w:t>I</w:t>
      </w:r>
      <w:r>
        <w:t>ndemnified.</w:t>
      </w:r>
    </w:p>
    <w:p w14:paraId="5EB74094" w14:textId="00A8EC8B" w:rsidR="0034729D" w:rsidRDefault="0034729D" w:rsidP="0034729D">
      <w:pPr>
        <w:pStyle w:val="Heading7"/>
      </w:pPr>
      <w:r w:rsidRPr="2BC382E4">
        <w:rPr>
          <w:b/>
          <w:bCs/>
        </w:rPr>
        <w:t>Loss Factor</w:t>
      </w:r>
      <w:r>
        <w:t xml:space="preserve"> means the “Loss Factor” (as defined in the </w:t>
      </w:r>
      <w:r w:rsidR="004A1236">
        <w:t>ESM Rules</w:t>
      </w:r>
      <w:r>
        <w:t>) for the Project.</w:t>
      </w:r>
    </w:p>
    <w:p w14:paraId="4C92E567" w14:textId="77777777" w:rsidR="00973CEA" w:rsidRDefault="2BC382E4" w:rsidP="0058045D">
      <w:pPr>
        <w:pStyle w:val="Heading7"/>
        <w:numPr>
          <w:ilvl w:val="6"/>
          <w:numId w:val="0"/>
        </w:numPr>
        <w:ind w:left="737"/>
      </w:pPr>
      <w:r w:rsidRPr="2BC382E4">
        <w:rPr>
          <w:b/>
          <w:bCs/>
        </w:rPr>
        <w:t xml:space="preserve">Major Casualty Event </w:t>
      </w:r>
      <w:r>
        <w:t>means an event or circumstance that results in the loss, destruction or material damage to at least</w:t>
      </w:r>
      <w:r w:rsidR="00973CEA">
        <w:t>:</w:t>
      </w:r>
    </w:p>
    <w:p w14:paraId="3A778FD6" w14:textId="77777777" w:rsidR="00973CEA" w:rsidRPr="008F660B" w:rsidRDefault="2BC382E4" w:rsidP="008F660B">
      <w:pPr>
        <w:pStyle w:val="Heading8"/>
        <w:numPr>
          <w:ilvl w:val="7"/>
          <w:numId w:val="126"/>
        </w:numPr>
        <w:tabs>
          <w:tab w:val="clear" w:pos="1474"/>
          <w:tab w:val="num" w:pos="968"/>
        </w:tabs>
        <w:rPr>
          <w:bCs/>
        </w:rPr>
      </w:pPr>
      <w:r>
        <w:t xml:space="preserve">50% of the </w:t>
      </w:r>
      <w:r w:rsidR="004A0277">
        <w:t xml:space="preserve">Export </w:t>
      </w:r>
      <w:r>
        <w:t>Capacity (in MW)</w:t>
      </w:r>
      <w:r w:rsidR="00973CEA">
        <w:t>; and/or</w:t>
      </w:r>
    </w:p>
    <w:p w14:paraId="17D5E268" w14:textId="0741D55A" w:rsidR="00117211" w:rsidRPr="00117211" w:rsidRDefault="00973CEA" w:rsidP="008E4A1B">
      <w:pPr>
        <w:pStyle w:val="Heading8"/>
        <w:tabs>
          <w:tab w:val="clear" w:pos="1474"/>
          <w:tab w:val="num" w:pos="968"/>
        </w:tabs>
        <w:rPr>
          <w:bCs/>
        </w:rPr>
      </w:pPr>
      <w:r>
        <w:t xml:space="preserve">50% of the Storage Capacity (in </w:t>
      </w:r>
      <w:r w:rsidRPr="001B706B">
        <w:t>MWh)</w:t>
      </w:r>
      <w:r w:rsidR="2BC382E4" w:rsidRPr="001B706B">
        <w:t>.</w:t>
      </w:r>
      <w:r w:rsidR="00B25B83" w:rsidRPr="001B706B">
        <w:t xml:space="preserve"> [</w:t>
      </w:r>
      <w:r w:rsidR="00B25B83" w:rsidRPr="00AD4EA6">
        <w:rPr>
          <w:b/>
          <w:bCs/>
          <w:i/>
          <w:iCs/>
          <w:highlight w:val="lightGray"/>
        </w:rPr>
        <w:t xml:space="preserve">Note: </w:t>
      </w:r>
      <w:r w:rsidR="00F97F98" w:rsidRPr="00AD4EA6">
        <w:rPr>
          <w:b/>
          <w:bCs/>
          <w:i/>
          <w:iCs/>
          <w:highlight w:val="lightGray"/>
        </w:rPr>
        <w:t>see agreement cover note regarding Non-Storage Projects</w:t>
      </w:r>
      <w:r w:rsidR="00B25B83" w:rsidRPr="00AD4EA6">
        <w:rPr>
          <w:b/>
          <w:bCs/>
          <w:i/>
          <w:iCs/>
          <w:highlight w:val="lightGray"/>
        </w:rPr>
        <w:t>.</w:t>
      </w:r>
      <w:r w:rsidR="00B25B83" w:rsidRPr="001B706B">
        <w:t>]</w:t>
      </w:r>
    </w:p>
    <w:p w14:paraId="291FDC6B" w14:textId="6B8746D1" w:rsidR="00957496" w:rsidRPr="00957496" w:rsidRDefault="00957496" w:rsidP="00131021">
      <w:pPr>
        <w:pStyle w:val="Heading8"/>
        <w:numPr>
          <w:ilvl w:val="0"/>
          <w:numId w:val="0"/>
        </w:numPr>
        <w:ind w:left="1474" w:hanging="737"/>
      </w:pPr>
      <w:r>
        <w:rPr>
          <w:b/>
          <w:bCs/>
        </w:rPr>
        <w:t>Market Participant</w:t>
      </w:r>
      <w:r>
        <w:t xml:space="preserve"> has the meaning given in the </w:t>
      </w:r>
      <w:r w:rsidR="004A1236">
        <w:t>ESM Rules</w:t>
      </w:r>
      <w:r>
        <w:t>.</w:t>
      </w:r>
    </w:p>
    <w:p w14:paraId="4657B17D" w14:textId="77777777" w:rsidR="00E047ED" w:rsidRPr="00E047ED" w:rsidRDefault="2BC382E4" w:rsidP="00BA1240">
      <w:pPr>
        <w:pStyle w:val="Heading7"/>
        <w:keepNext/>
      </w:pPr>
      <w:r w:rsidRPr="2BC382E4">
        <w:rPr>
          <w:b/>
          <w:bCs/>
        </w:rPr>
        <w:t>Material Alteration</w:t>
      </w:r>
      <w:r>
        <w:t xml:space="preserve"> means: </w:t>
      </w:r>
    </w:p>
    <w:p w14:paraId="2D40E03A" w14:textId="5018580D" w:rsidR="003752F9" w:rsidRDefault="2BC382E4" w:rsidP="008F660B">
      <w:pPr>
        <w:pStyle w:val="Heading8"/>
        <w:numPr>
          <w:ilvl w:val="7"/>
          <w:numId w:val="127"/>
        </w:numPr>
        <w:tabs>
          <w:tab w:val="clear" w:pos="1474"/>
          <w:tab w:val="num" w:pos="968"/>
        </w:tabs>
      </w:pPr>
      <w:r>
        <w:t xml:space="preserve">an alteration to the Project that affects </w:t>
      </w:r>
      <w:r w:rsidR="00007A0C">
        <w:t xml:space="preserve">one or more of </w:t>
      </w:r>
      <w:r>
        <w:t xml:space="preserve">the </w:t>
      </w:r>
      <w:r w:rsidR="004A0277">
        <w:t>Export</w:t>
      </w:r>
      <w:r w:rsidR="00007A0C">
        <w:t xml:space="preserve"> Capacity, Storage Capacity or Import Capacity</w:t>
      </w:r>
      <w:r>
        <w:t>, but not including a repair of the Project;</w:t>
      </w:r>
      <w:r w:rsidR="00B25B83">
        <w:t xml:space="preserve"> </w:t>
      </w:r>
      <w:r w:rsidR="00B25B83" w:rsidRPr="00AD4EA6">
        <w:t>[</w:t>
      </w:r>
      <w:r w:rsidR="00B25B83" w:rsidRPr="008F660B">
        <w:rPr>
          <w:b/>
          <w:bCs/>
          <w:i/>
          <w:iCs/>
          <w:highlight w:val="lightGray"/>
        </w:rPr>
        <w:t xml:space="preserve">Note: </w:t>
      </w:r>
      <w:r w:rsidR="00985D59" w:rsidRPr="008F660B">
        <w:rPr>
          <w:b/>
          <w:bCs/>
          <w:i/>
          <w:iCs/>
          <w:highlight w:val="lightGray"/>
        </w:rPr>
        <w:t>see agreement cover note regarding Non-Storage Projects</w:t>
      </w:r>
      <w:r w:rsidR="00B25B83" w:rsidRPr="008F660B">
        <w:rPr>
          <w:b/>
          <w:bCs/>
          <w:i/>
          <w:iCs/>
          <w:highlight w:val="lightGray"/>
        </w:rPr>
        <w:t>.</w:t>
      </w:r>
      <w:r w:rsidR="00B25B83" w:rsidRPr="00AD4EA6">
        <w:t>]</w:t>
      </w:r>
    </w:p>
    <w:p w14:paraId="04CF9517" w14:textId="77777777" w:rsidR="00637C48" w:rsidRDefault="00637C48" w:rsidP="008F660B">
      <w:pPr>
        <w:pStyle w:val="Heading8"/>
        <w:numPr>
          <w:ilvl w:val="7"/>
          <w:numId w:val="61"/>
        </w:numPr>
      </w:pPr>
      <w:r>
        <w:t>[an alteration to the Associated Project that affects one or more of the Associated Project’s AP Maximum Capacity, availability or generation profile but not including a repair of the Associated Project;] [</w:t>
      </w:r>
      <w:r>
        <w:rPr>
          <w:b/>
          <w:i/>
          <w:highlight w:val="lightGray"/>
        </w:rPr>
        <w:t>Note: words in square brackets to be included for all Hybrid Projects</w:t>
      </w:r>
      <w:r>
        <w:t>]</w:t>
      </w:r>
    </w:p>
    <w:p w14:paraId="7F1036F0" w14:textId="4E35AB40" w:rsidR="0078292A" w:rsidRDefault="0078292A" w:rsidP="0058045D">
      <w:pPr>
        <w:pStyle w:val="Heading8"/>
        <w:tabs>
          <w:tab w:val="clear" w:pos="1474"/>
          <w:tab w:val="num" w:pos="968"/>
        </w:tabs>
      </w:pPr>
      <w:r>
        <w:t>[an alteration to the Existing Project that affects one or more of the</w:t>
      </w:r>
      <w:r w:rsidR="00BC5AC8">
        <w:t xml:space="preserve"> EP Import Capacity,</w:t>
      </w:r>
      <w:r>
        <w:t xml:space="preserve"> </w:t>
      </w:r>
      <w:r w:rsidR="00C06220">
        <w:t xml:space="preserve">EP </w:t>
      </w:r>
      <w:r>
        <w:t>Export Capacity</w:t>
      </w:r>
      <w:r w:rsidR="00637C48">
        <w:t xml:space="preserve"> or</w:t>
      </w:r>
      <w:r>
        <w:t xml:space="preserve"> </w:t>
      </w:r>
      <w:r w:rsidR="00C06220">
        <w:t xml:space="preserve">EP </w:t>
      </w:r>
      <w:r>
        <w:t xml:space="preserve">Storage Capacity </w:t>
      </w:r>
      <w:r w:rsidR="00637C48">
        <w:t>bu</w:t>
      </w:r>
      <w:r>
        <w:t>t not including a repair of the Existing Project]; [</w:t>
      </w:r>
      <w:r w:rsidR="00D61425" w:rsidRPr="00D315FD">
        <w:rPr>
          <w:b/>
          <w:bCs/>
          <w:i/>
          <w:iCs/>
          <w:highlight w:val="lightGray"/>
        </w:rPr>
        <w:t>Note:</w:t>
      </w:r>
      <w:r w:rsidR="00D61425" w:rsidRPr="00D315FD">
        <w:rPr>
          <w:highlight w:val="lightGray"/>
        </w:rPr>
        <w:t xml:space="preserve"> </w:t>
      </w:r>
      <w:r w:rsidR="00637C48">
        <w:rPr>
          <w:b/>
          <w:bCs/>
          <w:i/>
          <w:iCs/>
          <w:highlight w:val="lightGray"/>
        </w:rPr>
        <w:t>w</w:t>
      </w:r>
      <w:r w:rsidRPr="00D61425">
        <w:rPr>
          <w:b/>
          <w:bCs/>
          <w:i/>
          <w:iCs/>
          <w:highlight w:val="lightGray"/>
        </w:rPr>
        <w:t xml:space="preserve">ords </w:t>
      </w:r>
      <w:r w:rsidRPr="0073272B">
        <w:rPr>
          <w:b/>
          <w:bCs/>
          <w:i/>
          <w:iCs/>
          <w:highlight w:val="lightGray"/>
        </w:rPr>
        <w:t>in square brackets to be included for all Staged Projects</w:t>
      </w:r>
      <w:r>
        <w:rPr>
          <w:b/>
          <w:bCs/>
          <w:i/>
          <w:iCs/>
          <w:highlight w:val="lightGray"/>
        </w:rPr>
        <w:t>.</w:t>
      </w:r>
      <w:r w:rsidRPr="003F2ECA">
        <w:t>]</w:t>
      </w:r>
    </w:p>
    <w:p w14:paraId="2CE6E66A" w14:textId="63E9AE41" w:rsidR="009570D9" w:rsidRDefault="2BC382E4" w:rsidP="0058045D">
      <w:pPr>
        <w:pStyle w:val="Heading8"/>
        <w:tabs>
          <w:tab w:val="clear" w:pos="1474"/>
          <w:tab w:val="num" w:pos="968"/>
        </w:tabs>
      </w:pPr>
      <w:bookmarkStart w:id="130" w:name="_Ref_ContractCompanion_9kb9Ur3AE"/>
      <w:r>
        <w:t xml:space="preserve">the installation of a new generating system, energy storage system or load </w:t>
      </w:r>
      <w:r w:rsidR="00637C48">
        <w:t>[</w:t>
      </w:r>
      <w:r w:rsidR="0078292A">
        <w:t>(other than the [Associated/Existing] Project</w:t>
      </w:r>
      <w:r w:rsidR="00637C48">
        <w:t>)</w:t>
      </w:r>
      <w:r w:rsidR="0078292A">
        <w:t xml:space="preserve">] </w:t>
      </w:r>
      <w:r>
        <w:t>behind the Connection Point</w:t>
      </w:r>
      <w:r w:rsidR="001246B3">
        <w:t xml:space="preserve"> </w:t>
      </w:r>
      <w:r w:rsidR="00637C48">
        <w:t xml:space="preserve">for the Project </w:t>
      </w:r>
      <w:r w:rsidR="001246B3">
        <w:t>(but excluding repairs or replacement of an existing system by an equivalent system)</w:t>
      </w:r>
      <w:r>
        <w:t>; or</w:t>
      </w:r>
      <w:bookmarkEnd w:id="130"/>
      <w:r w:rsidR="00B25B83">
        <w:t xml:space="preserve"> </w:t>
      </w:r>
    </w:p>
    <w:p w14:paraId="31224614" w14:textId="5948DBD3" w:rsidR="00E047ED" w:rsidRDefault="2BC382E4" w:rsidP="0058045D">
      <w:pPr>
        <w:pStyle w:val="Heading8"/>
        <w:tabs>
          <w:tab w:val="clear" w:pos="1474"/>
          <w:tab w:val="num" w:pos="968"/>
        </w:tabs>
      </w:pPr>
      <w:bookmarkStart w:id="131" w:name="_Ref_ContractCompanion_9kb9Ur3AG"/>
      <w:r>
        <w:t xml:space="preserve">[a change to the metering arrangements of the Project or the </w:t>
      </w:r>
      <w:r w:rsidR="0078292A">
        <w:t>[</w:t>
      </w:r>
      <w:r>
        <w:t>Hybrid</w:t>
      </w:r>
      <w:r w:rsidR="0078292A">
        <w:t>/Staged]</w:t>
      </w:r>
      <w:r>
        <w:t xml:space="preserve"> Project</w:t>
      </w:r>
      <w:r w:rsidR="00F65218">
        <w:t xml:space="preserve">, including </w:t>
      </w:r>
      <w:r w:rsidR="00F65218" w:rsidRPr="007F483A">
        <w:t>Facility S</w:t>
      </w:r>
      <w:r w:rsidR="00F65218" w:rsidRPr="004F5528">
        <w:t>ub-</w:t>
      </w:r>
      <w:r w:rsidR="00F65218" w:rsidRPr="007F483A">
        <w:t>M</w:t>
      </w:r>
      <w:r w:rsidR="00F65218" w:rsidRPr="004F5528">
        <w:t>eter</w:t>
      </w:r>
      <w:r w:rsidR="00F65218" w:rsidRPr="007F483A">
        <w:t xml:space="preserve">ing (as defined in the </w:t>
      </w:r>
      <w:r w:rsidR="004A1236">
        <w:t>ESM Rules</w:t>
      </w:r>
      <w:r w:rsidR="00F65218" w:rsidRPr="007F483A">
        <w:t>)</w:t>
      </w:r>
      <w:r>
        <w:t xml:space="preserve">]. </w:t>
      </w:r>
      <w:bookmarkEnd w:id="131"/>
    </w:p>
    <w:p w14:paraId="0AE73161" w14:textId="0FE49673" w:rsidR="008D3D03" w:rsidRDefault="2BC382E4" w:rsidP="0058045D">
      <w:pPr>
        <w:pStyle w:val="Heading8"/>
        <w:numPr>
          <w:ilvl w:val="7"/>
          <w:numId w:val="0"/>
        </w:numPr>
        <w:ind w:left="737"/>
      </w:pPr>
      <w:r>
        <w:t>[</w:t>
      </w:r>
      <w:r w:rsidRPr="2BC382E4">
        <w:rPr>
          <w:b/>
          <w:bCs/>
          <w:i/>
          <w:iCs/>
          <w:highlight w:val="lightGray"/>
        </w:rPr>
        <w:t xml:space="preserve">Note: bracketed wording in paragraphs </w:t>
      </w:r>
      <w:r w:rsidR="00EF6FF8">
        <w:rPr>
          <w:b/>
          <w:bCs/>
          <w:i/>
          <w:iCs/>
          <w:highlight w:val="lightGray"/>
        </w:rPr>
        <w:fldChar w:fldCharType="begin"/>
      </w:r>
      <w:r w:rsidR="00EF6FF8">
        <w:rPr>
          <w:b/>
          <w:bCs/>
          <w:i/>
          <w:iCs/>
          <w:highlight w:val="lightGray"/>
        </w:rPr>
        <w:instrText xml:space="preserve"> REF _Ref_ContractCompanion_9kb9Ur3AE \w \n \h \t \* MERGEFORMAT </w:instrText>
      </w:r>
      <w:r w:rsidR="00EF6FF8">
        <w:rPr>
          <w:b/>
          <w:bCs/>
          <w:i/>
          <w:iCs/>
          <w:highlight w:val="lightGray"/>
        </w:rPr>
      </w:r>
      <w:r w:rsidR="00EF6FF8">
        <w:rPr>
          <w:b/>
          <w:bCs/>
          <w:i/>
          <w:iCs/>
          <w:highlight w:val="lightGray"/>
        </w:rPr>
        <w:fldChar w:fldCharType="separate"/>
      </w:r>
      <w:r w:rsidR="002E5C6A">
        <w:rPr>
          <w:b/>
          <w:bCs/>
          <w:i/>
          <w:iCs/>
          <w:highlight w:val="lightGray"/>
        </w:rPr>
        <w:t>(d)</w:t>
      </w:r>
      <w:r w:rsidR="00EF6FF8">
        <w:rPr>
          <w:b/>
          <w:bCs/>
          <w:i/>
          <w:iCs/>
          <w:highlight w:val="lightGray"/>
        </w:rPr>
        <w:fldChar w:fldCharType="end"/>
      </w:r>
      <w:r w:rsidRPr="2BC382E4">
        <w:rPr>
          <w:b/>
          <w:bCs/>
          <w:i/>
          <w:iCs/>
          <w:highlight w:val="lightGray"/>
        </w:rPr>
        <w:t xml:space="preserve"> </w:t>
      </w:r>
      <w:r w:rsidR="00637C48">
        <w:rPr>
          <w:b/>
          <w:bCs/>
          <w:i/>
          <w:iCs/>
          <w:highlight w:val="lightGray"/>
        </w:rPr>
        <w:t>and</w:t>
      </w:r>
      <w:r w:rsidRPr="2BC382E4">
        <w:rPr>
          <w:b/>
          <w:bCs/>
          <w:i/>
          <w:iCs/>
          <w:highlight w:val="lightGray"/>
        </w:rPr>
        <w:t xml:space="preserve"> </w:t>
      </w:r>
      <w:r w:rsidR="00EF6FF8">
        <w:rPr>
          <w:b/>
          <w:bCs/>
          <w:i/>
          <w:iCs/>
          <w:highlight w:val="lightGray"/>
        </w:rPr>
        <w:fldChar w:fldCharType="begin"/>
      </w:r>
      <w:r w:rsidR="00EF6FF8">
        <w:rPr>
          <w:b/>
          <w:bCs/>
          <w:i/>
          <w:iCs/>
          <w:highlight w:val="lightGray"/>
        </w:rPr>
        <w:instrText xml:space="preserve"> REF _Ref_ContractCompanion_9kb9Ur3AG \w \n \h \t \* MERGEFORMAT </w:instrText>
      </w:r>
      <w:r w:rsidR="00EF6FF8">
        <w:rPr>
          <w:b/>
          <w:bCs/>
          <w:i/>
          <w:iCs/>
          <w:highlight w:val="lightGray"/>
        </w:rPr>
      </w:r>
      <w:r w:rsidR="00EF6FF8">
        <w:rPr>
          <w:b/>
          <w:bCs/>
          <w:i/>
          <w:iCs/>
          <w:highlight w:val="lightGray"/>
        </w:rPr>
        <w:fldChar w:fldCharType="separate"/>
      </w:r>
      <w:r w:rsidR="002E5C6A">
        <w:rPr>
          <w:b/>
          <w:bCs/>
          <w:i/>
          <w:iCs/>
          <w:highlight w:val="lightGray"/>
        </w:rPr>
        <w:t>(e)</w:t>
      </w:r>
      <w:r w:rsidR="00EF6FF8">
        <w:rPr>
          <w:b/>
          <w:bCs/>
          <w:i/>
          <w:iCs/>
          <w:highlight w:val="lightGray"/>
        </w:rPr>
        <w:fldChar w:fldCharType="end"/>
      </w:r>
      <w:r w:rsidRPr="2BC382E4">
        <w:rPr>
          <w:b/>
          <w:bCs/>
          <w:i/>
          <w:iCs/>
          <w:highlight w:val="lightGray"/>
        </w:rPr>
        <w:t xml:space="preserve"> is to be included for all Hybrid </w:t>
      </w:r>
      <w:r w:rsidR="0078292A">
        <w:rPr>
          <w:b/>
          <w:bCs/>
          <w:i/>
          <w:iCs/>
          <w:highlight w:val="lightGray"/>
        </w:rPr>
        <w:t xml:space="preserve">and Staged </w:t>
      </w:r>
      <w:r w:rsidRPr="2BC382E4">
        <w:rPr>
          <w:b/>
          <w:bCs/>
          <w:i/>
          <w:iCs/>
          <w:highlight w:val="lightGray"/>
        </w:rPr>
        <w:t>Projects</w:t>
      </w:r>
      <w:r w:rsidR="0078292A">
        <w:rPr>
          <w:b/>
          <w:bCs/>
          <w:i/>
          <w:iCs/>
          <w:highlight w:val="lightGray"/>
        </w:rPr>
        <w:t xml:space="preserve"> (as applicable)</w:t>
      </w:r>
      <w:r w:rsidRPr="2BC382E4">
        <w:rPr>
          <w:b/>
          <w:bCs/>
          <w:i/>
          <w:iCs/>
          <w:highlight w:val="lightGray"/>
        </w:rPr>
        <w:t>.</w:t>
      </w:r>
      <w:r>
        <w:t>]</w:t>
      </w:r>
    </w:p>
    <w:p w14:paraId="4C79FC68" w14:textId="4B169368" w:rsidR="00D8384E" w:rsidRDefault="00D8384E" w:rsidP="008F660B">
      <w:pPr>
        <w:pStyle w:val="Heading7"/>
        <w:numPr>
          <w:ilvl w:val="6"/>
          <w:numId w:val="61"/>
        </w:numPr>
        <w:rPr>
          <w:b/>
          <w:bCs/>
        </w:rPr>
      </w:pPr>
      <w:r>
        <w:rPr>
          <w:b/>
          <w:bCs/>
        </w:rPr>
        <w:t>Measurement Point</w:t>
      </w:r>
      <w:r>
        <w:t xml:space="preserve"> in respect of the Project, [or the Associated or Hybrid Project/Existing or Staged Project], has the meaning given in the ESM Rules.</w:t>
      </w:r>
      <w:r w:rsidR="00BC2BE9">
        <w:t xml:space="preserve"> </w:t>
      </w:r>
      <w:r>
        <w:t xml:space="preserve">If there is more than one Measurement Point for the Project, then a reference to ‘Measurement Point’ in this agreement in respect of the Project is a reference to all of the Measurement Points for the Project. </w:t>
      </w:r>
      <w:r>
        <w:rPr>
          <w:highlight w:val="lightGray"/>
        </w:rPr>
        <w:t>[</w:t>
      </w:r>
      <w:r>
        <w:rPr>
          <w:b/>
          <w:bCs/>
          <w:i/>
          <w:iCs/>
          <w:highlight w:val="lightGray"/>
        </w:rPr>
        <w:t>Note: bracketed wording to be included for all Hybrid Projects and Staged Projects (as applicable).</w:t>
      </w:r>
      <w:r>
        <w:rPr>
          <w:highlight w:val="lightGray"/>
        </w:rPr>
        <w:t>]</w:t>
      </w:r>
    </w:p>
    <w:p w14:paraId="22873EBF" w14:textId="35FDEFBB" w:rsidR="00E2718F" w:rsidRPr="00E2718F" w:rsidRDefault="00FE0427" w:rsidP="00E2718F">
      <w:pPr>
        <w:pStyle w:val="Heading8"/>
        <w:numPr>
          <w:ilvl w:val="7"/>
          <w:numId w:val="0"/>
        </w:numPr>
        <w:ind w:left="737"/>
      </w:pPr>
      <w:r>
        <w:t>[</w:t>
      </w:r>
      <w:r w:rsidR="00E2718F">
        <w:rPr>
          <w:b/>
          <w:bCs/>
        </w:rPr>
        <w:t xml:space="preserve">Metering Diagram </w:t>
      </w:r>
      <w:r w:rsidR="00E2718F">
        <w:t xml:space="preserve">means the metering diagram set out in </w:t>
      </w:r>
      <w:r w:rsidR="00E2718F">
        <w:fldChar w:fldCharType="begin"/>
      </w:r>
      <w:r w:rsidR="00E2718F">
        <w:instrText xml:space="preserve"> REF _Ref177060145 \r \h </w:instrText>
      </w:r>
      <w:r w:rsidR="00E2718F">
        <w:fldChar w:fldCharType="separate"/>
      </w:r>
      <w:r w:rsidR="002E5C6A">
        <w:t>Schedule 3</w:t>
      </w:r>
      <w:r w:rsidR="00E2718F">
        <w:fldChar w:fldCharType="end"/>
      </w:r>
      <w:r w:rsidR="00E2718F">
        <w:t xml:space="preserve"> (“</w:t>
      </w:r>
      <w:r w:rsidR="00E2718F">
        <w:fldChar w:fldCharType="begin"/>
      </w:r>
      <w:r w:rsidR="00E2718F">
        <w:instrText xml:space="preserve"> REF _Ref177060223 \h </w:instrText>
      </w:r>
      <w:r w:rsidR="00E2718F">
        <w:fldChar w:fldCharType="separate"/>
      </w:r>
      <w:r w:rsidR="002E5C6A">
        <w:t>Metering Diagram</w:t>
      </w:r>
      <w:r w:rsidR="00E2718F">
        <w:fldChar w:fldCharType="end"/>
      </w:r>
      <w:r w:rsidR="00E2718F">
        <w:t>”)</w:t>
      </w:r>
      <w:r w:rsidR="009473EC">
        <w:t>.</w:t>
      </w:r>
      <w:r>
        <w:t>]</w:t>
      </w:r>
      <w:r w:rsidR="00E2718F">
        <w:t xml:space="preserve"> </w:t>
      </w:r>
      <w:r>
        <w:br/>
      </w:r>
      <w:r>
        <w:br/>
      </w:r>
      <w:r w:rsidR="00E2718F">
        <w:rPr>
          <w:rFonts w:ascii="Arial,Bold" w:hAnsi="Arial,Bold" w:cs="Arial,Bold"/>
          <w:lang w:eastAsia="en-AU"/>
        </w:rPr>
        <w:t>[</w:t>
      </w:r>
      <w:r w:rsidR="00E2718F" w:rsidRPr="004D3942">
        <w:rPr>
          <w:rFonts w:ascii="Arial,Bold" w:hAnsi="Arial,Bold" w:cs="Arial,Bold"/>
          <w:b/>
          <w:bCs/>
          <w:i/>
          <w:iCs/>
          <w:highlight w:val="lightGray"/>
          <w:lang w:eastAsia="en-AU"/>
        </w:rPr>
        <w:t xml:space="preserve">Note: this definition is to be included for </w:t>
      </w:r>
      <w:r w:rsidR="00E2718F" w:rsidRPr="004D3942">
        <w:rPr>
          <w:b/>
          <w:bCs/>
          <w:i/>
          <w:iCs/>
          <w:highlight w:val="lightGray"/>
        </w:rPr>
        <w:t xml:space="preserve">all </w:t>
      </w:r>
      <w:r w:rsidR="00E2718F" w:rsidRPr="004D3942">
        <w:rPr>
          <w:rFonts w:ascii="Arial,Bold" w:hAnsi="Arial,Bold" w:cs="Arial,Bold"/>
          <w:b/>
          <w:bCs/>
          <w:i/>
          <w:iCs/>
          <w:highlight w:val="lightGray"/>
          <w:lang w:eastAsia="en-AU"/>
        </w:rPr>
        <w:t>Hybrid Projects</w:t>
      </w:r>
      <w:r w:rsidR="00EB59A9">
        <w:rPr>
          <w:rFonts w:ascii="Arial,Bold" w:hAnsi="Arial,Bold" w:cs="Arial,Bold"/>
          <w:b/>
          <w:bCs/>
          <w:i/>
          <w:iCs/>
          <w:highlight w:val="lightGray"/>
          <w:lang w:eastAsia="en-AU"/>
        </w:rPr>
        <w:t xml:space="preserve"> and Staged Projects (as applicable)</w:t>
      </w:r>
      <w:r w:rsidR="00E2718F" w:rsidRPr="004D3942">
        <w:rPr>
          <w:rFonts w:ascii="Arial,Bold" w:hAnsi="Arial,Bold" w:cs="Arial,Bold"/>
          <w:b/>
          <w:bCs/>
          <w:i/>
          <w:iCs/>
          <w:highlight w:val="lightGray"/>
          <w:lang w:eastAsia="en-AU"/>
        </w:rPr>
        <w:t>.</w:t>
      </w:r>
      <w:r w:rsidR="00E2718F">
        <w:rPr>
          <w:rFonts w:ascii="Arial,Bold" w:hAnsi="Arial,Bold" w:cs="Arial,Bold"/>
          <w:lang w:eastAsia="en-AU"/>
        </w:rPr>
        <w:t>]</w:t>
      </w:r>
    </w:p>
    <w:p w14:paraId="5F0CDC53" w14:textId="38A94AD6" w:rsidR="0004122B" w:rsidRDefault="2BC382E4" w:rsidP="0058045D">
      <w:pPr>
        <w:pStyle w:val="Heading7"/>
      </w:pPr>
      <w:r w:rsidRPr="2BC382E4">
        <w:rPr>
          <w:b/>
          <w:bCs/>
        </w:rPr>
        <w:t xml:space="preserve">Milestone </w:t>
      </w:r>
      <w:r>
        <w:t xml:space="preserve">means a milestone as described in item </w:t>
      </w:r>
      <w:r w:rsidR="0004122B">
        <w:fldChar w:fldCharType="begin"/>
      </w:r>
      <w:r w:rsidR="0004122B">
        <w:instrText xml:space="preserve"> REF _Ref159256658 \w \h </w:instrText>
      </w:r>
      <w:r w:rsidR="0004122B">
        <w:fldChar w:fldCharType="separate"/>
      </w:r>
      <w:r w:rsidR="002E5C6A">
        <w:t>21</w:t>
      </w:r>
      <w:r w:rsidR="0004122B">
        <w:fldChar w:fldCharType="end"/>
      </w:r>
      <w:r>
        <w:t xml:space="preserve"> of the Reference Details.</w:t>
      </w:r>
    </w:p>
    <w:p w14:paraId="7932D221" w14:textId="161C55A7" w:rsidR="0004122B" w:rsidRDefault="2BC382E4" w:rsidP="0058045D">
      <w:pPr>
        <w:pStyle w:val="Heading7"/>
        <w:numPr>
          <w:ilvl w:val="6"/>
          <w:numId w:val="0"/>
        </w:numPr>
        <w:ind w:left="737"/>
      </w:pPr>
      <w:r w:rsidRPr="2BC382E4">
        <w:rPr>
          <w:b/>
          <w:bCs/>
        </w:rPr>
        <w:t>Milestone Date</w:t>
      </w:r>
      <w:r>
        <w:t xml:space="preserve"> means, for a Milestone, the date specified for</w:t>
      </w:r>
      <w:r w:rsidR="00903158">
        <w:t xml:space="preserve"> achievement of</w:t>
      </w:r>
      <w:r>
        <w:t xml:space="preserve"> that Milestone in item </w:t>
      </w:r>
      <w:r w:rsidR="0004122B">
        <w:fldChar w:fldCharType="begin"/>
      </w:r>
      <w:r w:rsidR="0004122B">
        <w:instrText xml:space="preserve"> REF _Ref159256658 \w \h </w:instrText>
      </w:r>
      <w:r w:rsidR="0004122B">
        <w:fldChar w:fldCharType="separate"/>
      </w:r>
      <w:r w:rsidR="002E5C6A">
        <w:t>21</w:t>
      </w:r>
      <w:r w:rsidR="0004122B">
        <w:fldChar w:fldCharType="end"/>
      </w:r>
      <w:r w:rsidR="00903158">
        <w:t xml:space="preserve"> or </w:t>
      </w:r>
      <w:r w:rsidR="00B80A9E">
        <w:fldChar w:fldCharType="begin"/>
      </w:r>
      <w:r w:rsidR="00B80A9E">
        <w:instrText xml:space="preserve"> REF _Ref159415173 \r \h </w:instrText>
      </w:r>
      <w:r w:rsidR="00B80A9E">
        <w:fldChar w:fldCharType="separate"/>
      </w:r>
      <w:r w:rsidR="002E5C6A">
        <w:t>22</w:t>
      </w:r>
      <w:r w:rsidR="00B80A9E">
        <w:fldChar w:fldCharType="end"/>
      </w:r>
      <w:r>
        <w:t xml:space="preserve"> of the Reference Details.</w:t>
      </w:r>
    </w:p>
    <w:p w14:paraId="2F3BA085" w14:textId="432EEE71" w:rsidR="00D8384E" w:rsidRPr="00961F64" w:rsidRDefault="00D8384E" w:rsidP="00D8384E">
      <w:pPr>
        <w:pStyle w:val="Heading7"/>
        <w:rPr>
          <w:b/>
          <w:bCs/>
        </w:rPr>
      </w:pPr>
      <w:r w:rsidRPr="00961F64">
        <w:rPr>
          <w:b/>
          <w:bCs/>
        </w:rPr>
        <w:t xml:space="preserve">Minimum Hours </w:t>
      </w:r>
      <w:r w:rsidRPr="00961F64">
        <w:t xml:space="preserve">has the meaning given in item </w:t>
      </w:r>
      <w:r w:rsidRPr="00961F64">
        <w:fldChar w:fldCharType="begin"/>
      </w:r>
      <w:r w:rsidRPr="00961F64">
        <w:instrText xml:space="preserve"> REF _Ref172454775 \r \h  \* MERGEFORMAT </w:instrText>
      </w:r>
      <w:r w:rsidRPr="00961F64">
        <w:fldChar w:fldCharType="separate"/>
      </w:r>
      <w:r w:rsidR="002E5C6A">
        <w:t>6</w:t>
      </w:r>
      <w:r w:rsidRPr="00961F64">
        <w:fldChar w:fldCharType="end"/>
      </w:r>
      <w:r w:rsidRPr="00961F64">
        <w:t xml:space="preserve"> of the Reference Details. </w:t>
      </w:r>
    </w:p>
    <w:p w14:paraId="1D89D14E" w14:textId="57CC87AC" w:rsidR="00D8384E" w:rsidRPr="008F660B" w:rsidRDefault="00D8384E" w:rsidP="00D8384E">
      <w:pPr>
        <w:pStyle w:val="Heading7"/>
        <w:rPr>
          <w:b/>
          <w:bCs/>
        </w:rPr>
      </w:pPr>
      <w:r w:rsidRPr="00961F64">
        <w:rPr>
          <w:b/>
          <w:bCs/>
        </w:rPr>
        <w:t xml:space="preserve">Minimum State of Charge </w:t>
      </w:r>
      <w:r w:rsidRPr="00961F64">
        <w:t xml:space="preserve">has the meaning given in item </w:t>
      </w:r>
      <w:r w:rsidRPr="00961F64">
        <w:fldChar w:fldCharType="begin"/>
      </w:r>
      <w:r w:rsidRPr="00961F64">
        <w:instrText xml:space="preserve"> REF _Ref172454754 \r \h  \* MERGEFORMAT </w:instrText>
      </w:r>
      <w:r w:rsidRPr="00961F64">
        <w:fldChar w:fldCharType="separate"/>
      </w:r>
      <w:r w:rsidR="002E5C6A">
        <w:t>5</w:t>
      </w:r>
      <w:r w:rsidRPr="00961F64">
        <w:fldChar w:fldCharType="end"/>
      </w:r>
      <w:r w:rsidRPr="00961F64">
        <w:t xml:space="preserve"> of the Reference Details. </w:t>
      </w:r>
    </w:p>
    <w:p w14:paraId="60ED2588" w14:textId="48DC3397" w:rsidR="003658E6" w:rsidRDefault="003658E6" w:rsidP="003658E6">
      <w:pPr>
        <w:pStyle w:val="Heading7"/>
        <w:rPr>
          <w:b/>
          <w:bCs/>
        </w:rPr>
      </w:pPr>
      <w:r>
        <w:rPr>
          <w:b/>
          <w:bCs/>
        </w:rPr>
        <w:t xml:space="preserve">Misleading Report </w:t>
      </w:r>
      <w:r>
        <w:t xml:space="preserve">has the meaning given in clause </w:t>
      </w:r>
      <w:r>
        <w:fldChar w:fldCharType="begin"/>
      </w:r>
      <w:r>
        <w:instrText xml:space="preserve"> REF _Ref161847081 \r \h </w:instrText>
      </w:r>
      <w:r>
        <w:fldChar w:fldCharType="separate"/>
      </w:r>
      <w:r w:rsidR="002E5C6A">
        <w:t>22.3(d)</w:t>
      </w:r>
      <w:r>
        <w:fldChar w:fldCharType="end"/>
      </w:r>
      <w:r>
        <w:t>.</w:t>
      </w:r>
    </w:p>
    <w:p w14:paraId="236BA8EE" w14:textId="275ADAA8" w:rsidR="00700902" w:rsidRDefault="00700902" w:rsidP="0058045D">
      <w:pPr>
        <w:pStyle w:val="Heading7"/>
        <w:numPr>
          <w:ilvl w:val="6"/>
          <w:numId w:val="0"/>
        </w:numPr>
        <w:ind w:left="737"/>
      </w:pPr>
      <w:r w:rsidRPr="00700902">
        <w:rPr>
          <w:b/>
          <w:bCs/>
        </w:rPr>
        <w:t>Moral Rights</w:t>
      </w:r>
      <w:r>
        <w:t xml:space="preserve"> has the meaning given in the </w:t>
      </w:r>
      <w:r>
        <w:rPr>
          <w:i/>
        </w:rPr>
        <w:t>Copyright Act 1968</w:t>
      </w:r>
      <w:r>
        <w:t xml:space="preserve"> (Cth).</w:t>
      </w:r>
    </w:p>
    <w:p w14:paraId="2DB43D17" w14:textId="1C180431" w:rsidR="00965C3A" w:rsidRPr="00CC07B9" w:rsidRDefault="2BC382E4" w:rsidP="0058045D">
      <w:pPr>
        <w:pStyle w:val="Heading7"/>
      </w:pPr>
      <w:r w:rsidRPr="2BC382E4">
        <w:rPr>
          <w:b/>
          <w:bCs/>
        </w:rPr>
        <w:t>MW</w:t>
      </w:r>
      <w:r>
        <w:t xml:space="preserve"> means megawatt, a measure of electrical power.</w:t>
      </w:r>
    </w:p>
    <w:p w14:paraId="769873FE" w14:textId="77777777" w:rsidR="000D6D2B" w:rsidRDefault="2BC382E4" w:rsidP="0058045D">
      <w:pPr>
        <w:pStyle w:val="Heading7"/>
      </w:pPr>
      <w:r w:rsidRPr="2BC382E4">
        <w:rPr>
          <w:b/>
          <w:bCs/>
        </w:rPr>
        <w:t xml:space="preserve">MWh </w:t>
      </w:r>
      <w:r>
        <w:t>means megawatt hour, a measure of electrical energy.</w:t>
      </w:r>
    </w:p>
    <w:p w14:paraId="51A6D2E8" w14:textId="05929225" w:rsidR="00F90EAF" w:rsidRDefault="00F90EAF" w:rsidP="0058045D">
      <w:pPr>
        <w:pStyle w:val="Heading7"/>
      </w:pPr>
      <w:r>
        <w:rPr>
          <w:b/>
          <w:bCs/>
        </w:rPr>
        <w:t xml:space="preserve">NCESS </w:t>
      </w:r>
      <w:r w:rsidR="009B1A7F" w:rsidRPr="00131021">
        <w:t>means Non-Co-opti</w:t>
      </w:r>
      <w:r w:rsidR="00770177">
        <w:t xml:space="preserve">mised Essential System Services </w:t>
      </w:r>
      <w:r w:rsidR="00BA1240">
        <w:t>which has</w:t>
      </w:r>
      <w:r w:rsidR="00770177">
        <w:t xml:space="preserve"> </w:t>
      </w:r>
      <w:r>
        <w:t xml:space="preserve">the meaning given in the </w:t>
      </w:r>
      <w:r w:rsidR="004A1236">
        <w:t>ESM Rules</w:t>
      </w:r>
      <w:r>
        <w:t>.</w:t>
      </w:r>
    </w:p>
    <w:p w14:paraId="07F5DD09" w14:textId="62FD4851" w:rsidR="00E77834" w:rsidRDefault="00E77834" w:rsidP="0058045D">
      <w:pPr>
        <w:pStyle w:val="Heading7"/>
      </w:pPr>
      <w:r>
        <w:rPr>
          <w:b/>
          <w:bCs/>
        </w:rPr>
        <w:t>NCESS Contract</w:t>
      </w:r>
      <w:r>
        <w:t xml:space="preserve"> has the meaning given in the </w:t>
      </w:r>
      <w:r w:rsidR="004A1236">
        <w:t>ESM Rules</w:t>
      </w:r>
      <w:r>
        <w:t>.</w:t>
      </w:r>
    </w:p>
    <w:p w14:paraId="7E2D5212" w14:textId="19A9FD43" w:rsidR="00B224B6" w:rsidRDefault="00B224B6" w:rsidP="0058045D">
      <w:pPr>
        <w:pStyle w:val="Heading7"/>
      </w:pPr>
      <w:r>
        <w:rPr>
          <w:b/>
          <w:bCs/>
        </w:rPr>
        <w:t>Negative Pricing Event</w:t>
      </w:r>
      <w:r>
        <w:t xml:space="preserve"> means a </w:t>
      </w:r>
      <w:r w:rsidR="00D8384E">
        <w:t xml:space="preserve">Trading </w:t>
      </w:r>
      <w:r>
        <w:t>Interval in respect of which the</w:t>
      </w:r>
      <w:r w:rsidR="00D8384E">
        <w:t xml:space="preserve"> Final Reference Trading</w:t>
      </w:r>
      <w:r>
        <w:t xml:space="preserve"> Price is less than $0/MWh.</w:t>
      </w:r>
    </w:p>
    <w:p w14:paraId="2BB27866" w14:textId="543165B4" w:rsidR="00D77B1D" w:rsidRDefault="00D77B1D" w:rsidP="00D77B1D">
      <w:pPr>
        <w:pStyle w:val="Heading7"/>
        <w:rPr>
          <w:bCs/>
        </w:rPr>
      </w:pPr>
      <w:r w:rsidRPr="007F483A">
        <w:rPr>
          <w:b/>
        </w:rPr>
        <w:t>Net Annual Payment</w:t>
      </w:r>
      <w:r w:rsidRPr="00D77B1D">
        <w:rPr>
          <w:bCs/>
        </w:rPr>
        <w:t xml:space="preserve"> has the meaning </w:t>
      </w:r>
      <w:r w:rsidRPr="00595F41">
        <w:rPr>
          <w:bCs/>
        </w:rPr>
        <w:t xml:space="preserve">given in </w:t>
      </w:r>
      <w:r w:rsidR="00D8384E">
        <w:rPr>
          <w:bCs/>
        </w:rPr>
        <w:t>item</w:t>
      </w:r>
      <w:r w:rsidR="00D8384E" w:rsidRPr="008E4A1B">
        <w:rPr>
          <w:bCs/>
        </w:rPr>
        <w:t xml:space="preserve"> </w:t>
      </w:r>
      <w:r w:rsidR="002722CB">
        <w:rPr>
          <w:bCs/>
        </w:rPr>
        <w:fldChar w:fldCharType="begin"/>
      </w:r>
      <w:r w:rsidR="002722CB">
        <w:rPr>
          <w:bCs/>
        </w:rPr>
        <w:instrText xml:space="preserve"> REF _Ref206083367 \n \h </w:instrText>
      </w:r>
      <w:r w:rsidR="002722CB">
        <w:rPr>
          <w:bCs/>
        </w:rPr>
      </w:r>
      <w:r w:rsidR="002722CB">
        <w:rPr>
          <w:bCs/>
        </w:rPr>
        <w:fldChar w:fldCharType="separate"/>
      </w:r>
      <w:r w:rsidR="002E5C6A">
        <w:rPr>
          <w:bCs/>
        </w:rPr>
        <w:t>7</w:t>
      </w:r>
      <w:r w:rsidR="002722CB">
        <w:rPr>
          <w:bCs/>
        </w:rPr>
        <w:fldChar w:fldCharType="end"/>
      </w:r>
      <w:r w:rsidRPr="008E4A1B">
        <w:t xml:space="preserve"> of </w:t>
      </w:r>
      <w:r w:rsidR="00A813EB">
        <w:fldChar w:fldCharType="begin"/>
      </w:r>
      <w:r w:rsidR="00A813EB">
        <w:instrText xml:space="preserve"> REF _Ref103257737 \w \h </w:instrText>
      </w:r>
      <w:r w:rsidR="00A813EB">
        <w:fldChar w:fldCharType="separate"/>
      </w:r>
      <w:r w:rsidR="002E5C6A">
        <w:t>Schedule 1</w:t>
      </w:r>
      <w:r w:rsidR="00A813EB">
        <w:fldChar w:fldCharType="end"/>
      </w:r>
      <w:r w:rsidR="00A813EB">
        <w:t xml:space="preserve"> (“</w:t>
      </w:r>
      <w:r w:rsidR="00A813EB">
        <w:fldChar w:fldCharType="begin"/>
      </w:r>
      <w:r w:rsidR="00A813EB">
        <w:instrText xml:space="preserve">  REF _Ref103257737 \h </w:instrText>
      </w:r>
      <w:r w:rsidR="00A813EB">
        <w:fldChar w:fldCharType="separate"/>
      </w:r>
      <w:r w:rsidR="002E5C6A">
        <w:t>Support terms</w:t>
      </w:r>
      <w:r w:rsidR="00A813EB">
        <w:fldChar w:fldCharType="end"/>
      </w:r>
      <w:r w:rsidR="00A813EB">
        <w:t>”)</w:t>
      </w:r>
      <w:r w:rsidRPr="00595F41">
        <w:t xml:space="preserve">. </w:t>
      </w:r>
    </w:p>
    <w:p w14:paraId="78C19E45" w14:textId="77777777" w:rsidR="00E632E0" w:rsidRPr="00D77B1D" w:rsidRDefault="00E632E0" w:rsidP="00D77B1D">
      <w:pPr>
        <w:pStyle w:val="Heading7"/>
        <w:rPr>
          <w:bCs/>
        </w:rPr>
      </w:pPr>
      <w:r>
        <w:rPr>
          <w:b/>
        </w:rPr>
        <w:t>Net Operational Revenue</w:t>
      </w:r>
      <w:r w:rsidR="00AE62EB">
        <w:rPr>
          <w:bCs/>
        </w:rPr>
        <w:t xml:space="preserve"> means, for a period, the Operational Revenue for that period less the Permitted Costs for that period.</w:t>
      </w:r>
    </w:p>
    <w:p w14:paraId="36E1A644" w14:textId="7AECF34F" w:rsidR="000D6D2B" w:rsidRDefault="2BC382E4" w:rsidP="0058045D">
      <w:pPr>
        <w:pStyle w:val="Heading7"/>
        <w:numPr>
          <w:ilvl w:val="6"/>
          <w:numId w:val="0"/>
        </w:numPr>
        <w:ind w:left="737"/>
      </w:pPr>
      <w:r w:rsidRPr="2BC382E4" w:rsidDel="000C6B38">
        <w:rPr>
          <w:b/>
          <w:bCs/>
        </w:rPr>
        <w:t xml:space="preserve">Network </w:t>
      </w:r>
      <w:r w:rsidDel="000C6B38">
        <w:t xml:space="preserve">means </w:t>
      </w:r>
      <w:r w:rsidR="008E132E">
        <w:t xml:space="preserve">that part of the SWIS </w:t>
      </w:r>
      <w:r w:rsidDel="000C6B38">
        <w:t xml:space="preserve">to which the </w:t>
      </w:r>
      <w:r w:rsidRPr="00B61725" w:rsidDel="000C6B38">
        <w:t>Project</w:t>
      </w:r>
      <w:r w:rsidR="00D8384E">
        <w:t xml:space="preserve"> [and the </w:t>
      </w:r>
      <w:r w:rsidR="003658E6">
        <w:t>[Associated/</w:t>
      </w:r>
      <w:r w:rsidR="00D8384E">
        <w:t>Existing</w:t>
      </w:r>
      <w:r w:rsidR="003658E6">
        <w:t>]</w:t>
      </w:r>
      <w:r w:rsidR="00D8384E">
        <w:t xml:space="preserve"> Project]</w:t>
      </w:r>
      <w:r w:rsidRPr="00B61725" w:rsidDel="000C6B38">
        <w:t xml:space="preserve"> is </w:t>
      </w:r>
      <w:r w:rsidR="008E132E">
        <w:t xml:space="preserve">or will be </w:t>
      </w:r>
      <w:r w:rsidRPr="00B61725" w:rsidDel="000C6B38">
        <w:t xml:space="preserve">connected at </w:t>
      </w:r>
      <w:r w:rsidR="00D8384E">
        <w:t>the</w:t>
      </w:r>
      <w:r w:rsidR="00D8384E" w:rsidRPr="00B61725" w:rsidDel="000C6B38">
        <w:t xml:space="preserve"> </w:t>
      </w:r>
      <w:r w:rsidRPr="00B61725" w:rsidDel="000C6B38">
        <w:t>Connection Point.</w:t>
      </w:r>
      <w:r w:rsidR="00D8384E" w:rsidRPr="00D8384E">
        <w:t xml:space="preserve"> </w:t>
      </w:r>
      <w:r w:rsidR="00D8384E">
        <w:rPr>
          <w:highlight w:val="lightGray"/>
        </w:rPr>
        <w:t>[</w:t>
      </w:r>
      <w:r w:rsidR="00D8384E">
        <w:rPr>
          <w:b/>
          <w:bCs/>
          <w:i/>
          <w:iCs/>
          <w:highlight w:val="lightGray"/>
        </w:rPr>
        <w:t>Note: words in square brackets to be included for all Staged Projects.</w:t>
      </w:r>
      <w:r w:rsidR="00D8384E">
        <w:rPr>
          <w:highlight w:val="lightGray"/>
        </w:rPr>
        <w:t>]</w:t>
      </w:r>
    </w:p>
    <w:p w14:paraId="7474A7E0" w14:textId="77777777" w:rsidR="00D8384E" w:rsidRDefault="00D8384E" w:rsidP="008F660B">
      <w:pPr>
        <w:pStyle w:val="Heading7"/>
        <w:numPr>
          <w:ilvl w:val="6"/>
          <w:numId w:val="61"/>
        </w:numPr>
      </w:pPr>
      <w:r>
        <w:rPr>
          <w:b/>
          <w:bCs/>
        </w:rPr>
        <w:t>Network Operator</w:t>
      </w:r>
      <w:r>
        <w:t xml:space="preserve"> has the meaning given in the ESM Rules.</w:t>
      </w:r>
    </w:p>
    <w:p w14:paraId="09B45972" w14:textId="4DC5CDCA" w:rsidR="00E12809" w:rsidRDefault="00E12809" w:rsidP="0058045D">
      <w:pPr>
        <w:pStyle w:val="Heading7"/>
        <w:numPr>
          <w:ilvl w:val="6"/>
          <w:numId w:val="0"/>
        </w:numPr>
        <w:ind w:left="737"/>
      </w:pPr>
      <w:r>
        <w:rPr>
          <w:b/>
          <w:bCs/>
        </w:rPr>
        <w:t xml:space="preserve">New Infrastructure </w:t>
      </w:r>
      <w:r>
        <w:t xml:space="preserve">has the meaning given in clause </w:t>
      </w:r>
      <w:r>
        <w:fldChar w:fldCharType="begin"/>
      </w:r>
      <w:r>
        <w:instrText xml:space="preserve"> REF _Ref170379662 \w \h </w:instrText>
      </w:r>
      <w:r>
        <w:fldChar w:fldCharType="separate"/>
      </w:r>
      <w:r w:rsidR="002E5C6A">
        <w:t>10.2(c)</w:t>
      </w:r>
      <w:r>
        <w:fldChar w:fldCharType="end"/>
      </w:r>
      <w:r>
        <w:t>.</w:t>
      </w:r>
    </w:p>
    <w:p w14:paraId="66D81C9D" w14:textId="25CEFCD9" w:rsidR="00491E27" w:rsidRPr="00E12809" w:rsidRDefault="00491E27" w:rsidP="0058045D">
      <w:pPr>
        <w:pStyle w:val="Heading7"/>
        <w:numPr>
          <w:ilvl w:val="6"/>
          <w:numId w:val="0"/>
        </w:numPr>
        <w:ind w:left="737"/>
      </w:pPr>
      <w:r>
        <w:rPr>
          <w:b/>
          <w:bCs/>
        </w:rPr>
        <w:t xml:space="preserve">Notional Quantity </w:t>
      </w:r>
      <w:r w:rsidRPr="00DF002E">
        <w:t xml:space="preserve">has the meaning </w:t>
      </w:r>
      <w:r w:rsidRPr="0079527D">
        <w:t xml:space="preserve">given in section </w:t>
      </w:r>
      <w:r w:rsidR="00532FFE">
        <w:fldChar w:fldCharType="begin"/>
      </w:r>
      <w:r w:rsidR="00532FFE">
        <w:instrText xml:space="preserve"> REF _Ref204243867 \n \h </w:instrText>
      </w:r>
      <w:r w:rsidR="00532FFE">
        <w:fldChar w:fldCharType="separate"/>
      </w:r>
      <w:r w:rsidR="002E5C6A">
        <w:t>3.8</w:t>
      </w:r>
      <w:r w:rsidR="00532FFE">
        <w:fldChar w:fldCharType="end"/>
      </w:r>
      <w:r w:rsidRPr="0079527D">
        <w:t xml:space="preserve"> of </w:t>
      </w:r>
      <w:r>
        <w:rPr>
          <w:bCs/>
        </w:rPr>
        <w:fldChar w:fldCharType="begin"/>
      </w:r>
      <w:r>
        <w:rPr>
          <w:bCs/>
        </w:rPr>
        <w:instrText xml:space="preserve"> REF _Ref103257737 \w \h </w:instrText>
      </w:r>
      <w:r>
        <w:rPr>
          <w:bCs/>
        </w:rPr>
      </w:r>
      <w:r>
        <w:rPr>
          <w:bCs/>
        </w:rPr>
        <w:fldChar w:fldCharType="separate"/>
      </w:r>
      <w:r w:rsidR="002E5C6A">
        <w:rPr>
          <w:bCs/>
        </w:rPr>
        <w:t>Schedule 1</w:t>
      </w:r>
      <w:r>
        <w:rPr>
          <w:bCs/>
        </w:rPr>
        <w:fldChar w:fldCharType="end"/>
      </w:r>
      <w:r>
        <w:rPr>
          <w:bCs/>
        </w:rPr>
        <w:t>.</w:t>
      </w:r>
    </w:p>
    <w:p w14:paraId="120450C0" w14:textId="70AA99C7" w:rsidR="00590F59" w:rsidRDefault="004B2724" w:rsidP="00B5506F">
      <w:pPr>
        <w:pStyle w:val="Heading7"/>
        <w:keepNext/>
        <w:numPr>
          <w:ilvl w:val="0"/>
          <w:numId w:val="0"/>
        </w:numPr>
        <w:ind w:left="737"/>
      </w:pPr>
      <w:r>
        <w:rPr>
          <w:b/>
          <w:bCs/>
        </w:rPr>
        <w:t>Operational Revenue</w:t>
      </w:r>
      <w:r w:rsidR="00590F59">
        <w:rPr>
          <w:b/>
          <w:bCs/>
        </w:rPr>
        <w:t xml:space="preserve"> </w:t>
      </w:r>
      <w:r w:rsidR="00590F59">
        <w:t>means, in respect of a period, the revenue of Project Operator determined on a cashflow basis in that period (without double counting)</w:t>
      </w:r>
      <w:r w:rsidR="00F65218">
        <w:t xml:space="preserve"> in respect of the Project</w:t>
      </w:r>
      <w:r w:rsidR="00D8384E">
        <w:t xml:space="preserve"> [and apportioned to the Project in accordance with the Apportionment Principles], including any: [</w:t>
      </w:r>
      <w:r w:rsidR="00D8384E">
        <w:rPr>
          <w:b/>
          <w:i/>
          <w:highlight w:val="lightGray"/>
        </w:rPr>
        <w:t>Note: bracketed wording to be included for all Hybrid Projects and Staged Projects.</w:t>
      </w:r>
      <w:r w:rsidR="00D8384E">
        <w:t>]</w:t>
      </w:r>
      <w:r w:rsidR="00590F59">
        <w:t xml:space="preserve">: </w:t>
      </w:r>
    </w:p>
    <w:p w14:paraId="4A9A9D9B" w14:textId="7C102672" w:rsidR="00B45609" w:rsidRDefault="00C0139C" w:rsidP="00763C07">
      <w:pPr>
        <w:pStyle w:val="Heading8"/>
      </w:pPr>
      <w:bookmarkStart w:id="132" w:name="_Ref179402971"/>
      <w:r>
        <w:t xml:space="preserve">amounts </w:t>
      </w:r>
      <w:r w:rsidR="00B45609">
        <w:t xml:space="preserve">under an </w:t>
      </w:r>
      <w:r w:rsidR="007928BF">
        <w:t>Eligible</w:t>
      </w:r>
      <w:r w:rsidR="00B45609">
        <w:t xml:space="preserve"> Bilateral Contract;</w:t>
      </w:r>
      <w:bookmarkEnd w:id="132"/>
    </w:p>
    <w:p w14:paraId="289D2491" w14:textId="2EE70525" w:rsidR="006D698A" w:rsidRDefault="006D698A" w:rsidP="00763C07">
      <w:pPr>
        <w:pStyle w:val="Heading8"/>
      </w:pPr>
      <w:bookmarkStart w:id="133" w:name="_Ref179402980"/>
      <w:r>
        <w:tab/>
      </w:r>
      <w:r w:rsidR="00C0139C">
        <w:t>D</w:t>
      </w:r>
      <w:r>
        <w:t xml:space="preserve">eemed </w:t>
      </w:r>
      <w:r w:rsidR="00C0139C">
        <w:t>Bilateral Contract Revenue</w:t>
      </w:r>
      <w:r w:rsidR="007928BF">
        <w:t>;</w:t>
      </w:r>
      <w:bookmarkEnd w:id="133"/>
      <w:r w:rsidR="007928BF">
        <w:t xml:space="preserve"> </w:t>
      </w:r>
    </w:p>
    <w:p w14:paraId="2F909FAD" w14:textId="322B4C40" w:rsidR="002455E0" w:rsidRDefault="007928BF" w:rsidP="00763C07">
      <w:pPr>
        <w:pStyle w:val="Heading8"/>
      </w:pPr>
      <w:bookmarkStart w:id="134" w:name="_Ref179403019"/>
      <w:r>
        <w:tab/>
      </w:r>
      <w:r w:rsidR="002455E0">
        <w:t xml:space="preserve">to the extent not captured under paragraphs </w:t>
      </w:r>
      <w:r w:rsidR="007F54F6">
        <w:fldChar w:fldCharType="begin"/>
      </w:r>
      <w:r w:rsidR="007F54F6">
        <w:instrText xml:space="preserve"> REF _Ref179402971 \n \h </w:instrText>
      </w:r>
      <w:r w:rsidR="007F54F6">
        <w:fldChar w:fldCharType="separate"/>
      </w:r>
      <w:r w:rsidR="004F0175">
        <w:t>(a)</w:t>
      </w:r>
      <w:r w:rsidR="007F54F6">
        <w:fldChar w:fldCharType="end"/>
      </w:r>
      <w:r w:rsidR="002455E0">
        <w:t xml:space="preserve"> or </w:t>
      </w:r>
      <w:r w:rsidR="007F54F6">
        <w:fldChar w:fldCharType="begin"/>
      </w:r>
      <w:r w:rsidR="007F54F6">
        <w:instrText xml:space="preserve"> REF _Ref179402980 \n \h </w:instrText>
      </w:r>
      <w:r w:rsidR="007F54F6">
        <w:fldChar w:fldCharType="separate"/>
      </w:r>
      <w:r w:rsidR="004F0175">
        <w:t>(b)</w:t>
      </w:r>
      <w:r w:rsidR="007F54F6">
        <w:fldChar w:fldCharType="end"/>
      </w:r>
      <w:r w:rsidR="002455E0">
        <w:t>, Permitted Intermediary Revenue;</w:t>
      </w:r>
      <w:bookmarkEnd w:id="134"/>
    </w:p>
    <w:p w14:paraId="64659523" w14:textId="4EA05495" w:rsidR="008F5E17" w:rsidRDefault="002455E0" w:rsidP="00EA78E0">
      <w:pPr>
        <w:pStyle w:val="Heading8"/>
        <w:keepNext/>
      </w:pPr>
      <w:r>
        <w:tab/>
      </w:r>
      <w:r w:rsidR="007928BF">
        <w:t>t</w:t>
      </w:r>
      <w:r w:rsidR="00B45609">
        <w:t xml:space="preserve">o the extent not </w:t>
      </w:r>
      <w:r w:rsidR="006D698A">
        <w:t xml:space="preserve">captured under paragraphs </w:t>
      </w:r>
      <w:r w:rsidR="007F54F6">
        <w:fldChar w:fldCharType="begin"/>
      </w:r>
      <w:r w:rsidR="007F54F6">
        <w:instrText xml:space="preserve"> REF _Ref179402971 \n \h </w:instrText>
      </w:r>
      <w:r w:rsidR="007F54F6">
        <w:fldChar w:fldCharType="separate"/>
      </w:r>
      <w:r w:rsidR="004F0175">
        <w:t>(a)</w:t>
      </w:r>
      <w:r w:rsidR="007F54F6">
        <w:fldChar w:fldCharType="end"/>
      </w:r>
      <w:r>
        <w:t>,</w:t>
      </w:r>
      <w:r w:rsidR="007928BF">
        <w:t xml:space="preserve"> </w:t>
      </w:r>
      <w:r w:rsidR="007F54F6">
        <w:fldChar w:fldCharType="begin"/>
      </w:r>
      <w:r w:rsidR="007F54F6">
        <w:instrText xml:space="preserve"> REF _Ref179402980 \n \h </w:instrText>
      </w:r>
      <w:r w:rsidR="007F54F6">
        <w:fldChar w:fldCharType="separate"/>
      </w:r>
      <w:r w:rsidR="004F0175">
        <w:t>(b)</w:t>
      </w:r>
      <w:r w:rsidR="007F54F6">
        <w:fldChar w:fldCharType="end"/>
      </w:r>
      <w:r>
        <w:t xml:space="preserve"> or </w:t>
      </w:r>
      <w:r w:rsidR="007F54F6">
        <w:fldChar w:fldCharType="begin"/>
      </w:r>
      <w:r w:rsidR="007F54F6">
        <w:instrText xml:space="preserve"> REF _Ref179403019 \n \h </w:instrText>
      </w:r>
      <w:r w:rsidR="007F54F6">
        <w:fldChar w:fldCharType="separate"/>
      </w:r>
      <w:r w:rsidR="004F0175">
        <w:t>(c)</w:t>
      </w:r>
      <w:r w:rsidR="007F54F6">
        <w:fldChar w:fldCharType="end"/>
      </w:r>
      <w:r w:rsidR="007928BF">
        <w:t>,</w:t>
      </w:r>
      <w:r w:rsidR="00C0139C">
        <w:t xml:space="preserve"> amounts</w:t>
      </w:r>
      <w:r w:rsidR="007928BF">
        <w:t xml:space="preserve"> </w:t>
      </w:r>
      <w:r w:rsidR="00590F59">
        <w:t xml:space="preserve">from the </w:t>
      </w:r>
      <w:r w:rsidR="00D34858">
        <w:t xml:space="preserve">import of </w:t>
      </w:r>
      <w:r w:rsidR="00590F59">
        <w:t>electricity</w:t>
      </w:r>
      <w:r w:rsidR="008F5E17">
        <w:t>,</w:t>
      </w:r>
      <w:r w:rsidR="00150836">
        <w:t xml:space="preserve"> including amounts </w:t>
      </w:r>
      <w:r w:rsidR="008F5E17">
        <w:t>from:</w:t>
      </w:r>
    </w:p>
    <w:p w14:paraId="2C2D1EDA" w14:textId="633D3644" w:rsidR="00763C07" w:rsidRDefault="008F5E17" w:rsidP="008F5E17">
      <w:pPr>
        <w:pStyle w:val="Heading9"/>
      </w:pPr>
      <w:r>
        <w:t xml:space="preserve">the Network at the </w:t>
      </w:r>
      <w:r w:rsidR="00DF21B3">
        <w:t>Measurement</w:t>
      </w:r>
      <w:r>
        <w:t xml:space="preserve"> Point, but </w:t>
      </w:r>
      <w:r w:rsidR="00D8384E">
        <w:t xml:space="preserve">during </w:t>
      </w:r>
      <w:r>
        <w:t xml:space="preserve">a Trading Interval in respect of which </w:t>
      </w:r>
      <w:r w:rsidR="00F809C0">
        <w:t>the</w:t>
      </w:r>
      <w:r w:rsidR="00D8384E">
        <w:t xml:space="preserve"> Final Reference Trading</w:t>
      </w:r>
      <w:r w:rsidR="00F809C0">
        <w:t xml:space="preserve"> Price is less than $0/MWh;</w:t>
      </w:r>
    </w:p>
    <w:p w14:paraId="101FF6BD" w14:textId="79899F8D" w:rsidR="008F5E17" w:rsidRDefault="00A15244" w:rsidP="008F5E17">
      <w:pPr>
        <w:pStyle w:val="Heading9"/>
      </w:pPr>
      <w:r>
        <w:t>[</w:t>
      </w:r>
      <w:r w:rsidR="008F5E17">
        <w:t>the Associated</w:t>
      </w:r>
      <w:r w:rsidR="00D8384E">
        <w:t>/Existing</w:t>
      </w:r>
      <w:r w:rsidR="008F5E17">
        <w:t xml:space="preserve"> Project,</w:t>
      </w:r>
      <w:r w:rsidR="00D8384E">
        <w:t xml:space="preserve"> provided</w:t>
      </w:r>
      <w:r w:rsidR="008F5E17">
        <w:t xml:space="preserve"> that </w:t>
      </w:r>
      <w:r w:rsidR="00D8384E">
        <w:t xml:space="preserve">such </w:t>
      </w:r>
      <w:r w:rsidR="008F5E17">
        <w:t xml:space="preserve">revenue will be calculated </w:t>
      </w:r>
      <w:r w:rsidR="00D8384E">
        <w:t xml:space="preserve">on </w:t>
      </w:r>
      <w:r w:rsidR="008F5E17">
        <w:t xml:space="preserve">the </w:t>
      </w:r>
      <w:r w:rsidR="00D8384E">
        <w:t>basis of the Final Reference Trading</w:t>
      </w:r>
      <w:r w:rsidR="00BC2BE9">
        <w:t xml:space="preserve"> </w:t>
      </w:r>
      <w:r w:rsidR="008F5E17">
        <w:t xml:space="preserve">Price but only for a Trading Interval in respect of which </w:t>
      </w:r>
      <w:r w:rsidR="00D8384E">
        <w:t xml:space="preserve">the Final Reference Trading </w:t>
      </w:r>
      <w:r w:rsidR="00F809C0">
        <w:t>Price is less than $0/MWh</w:t>
      </w:r>
      <w:r>
        <w:t>]</w:t>
      </w:r>
      <w:r w:rsidR="008F5E17">
        <w:t>;</w:t>
      </w:r>
      <w:r>
        <w:br/>
      </w:r>
      <w:r>
        <w:br/>
        <w:t>[</w:t>
      </w:r>
      <w:r w:rsidRPr="0076796C">
        <w:rPr>
          <w:b/>
          <w:bCs/>
          <w:i/>
          <w:iCs/>
          <w:highlight w:val="lightGray"/>
        </w:rPr>
        <w:t xml:space="preserve">Note: bracketed wording to be included for all Hybrid </w:t>
      </w:r>
      <w:r w:rsidR="000C5E8D">
        <w:rPr>
          <w:b/>
          <w:bCs/>
          <w:i/>
          <w:iCs/>
          <w:highlight w:val="lightGray"/>
        </w:rPr>
        <w:t xml:space="preserve">and Staged </w:t>
      </w:r>
      <w:r w:rsidRPr="0076796C">
        <w:rPr>
          <w:b/>
          <w:bCs/>
          <w:i/>
          <w:iCs/>
          <w:highlight w:val="lightGray"/>
        </w:rPr>
        <w:t>Projec</w:t>
      </w:r>
      <w:r>
        <w:rPr>
          <w:b/>
          <w:bCs/>
          <w:i/>
          <w:iCs/>
          <w:highlight w:val="lightGray"/>
        </w:rPr>
        <w:t>ts</w:t>
      </w:r>
      <w:r w:rsidR="000C5E8D">
        <w:rPr>
          <w:b/>
          <w:bCs/>
          <w:i/>
          <w:iCs/>
          <w:highlight w:val="lightGray"/>
        </w:rPr>
        <w:t xml:space="preserve"> (as applicable)</w:t>
      </w:r>
      <w:r>
        <w:rPr>
          <w:b/>
          <w:bCs/>
          <w:i/>
          <w:iCs/>
          <w:highlight w:val="lightGray"/>
        </w:rPr>
        <w:t>.</w:t>
      </w:r>
      <w:r>
        <w:t>]</w:t>
      </w:r>
    </w:p>
    <w:p w14:paraId="13F3ABDF" w14:textId="1E8C0544" w:rsidR="005F087F" w:rsidRDefault="005F087F" w:rsidP="005F087F">
      <w:pPr>
        <w:pStyle w:val="Heading8"/>
      </w:pPr>
      <w:r>
        <w:tab/>
        <w:t xml:space="preserve">to the extent not captured under paragraphs </w:t>
      </w:r>
      <w:r>
        <w:fldChar w:fldCharType="begin"/>
      </w:r>
      <w:r>
        <w:instrText xml:space="preserve"> REF _Ref179402971 \n \h </w:instrText>
      </w:r>
      <w:r>
        <w:fldChar w:fldCharType="separate"/>
      </w:r>
      <w:r w:rsidR="004F0175">
        <w:t>(a)</w:t>
      </w:r>
      <w:r>
        <w:fldChar w:fldCharType="end"/>
      </w:r>
      <w:r>
        <w:t xml:space="preserve">, </w:t>
      </w:r>
      <w:r>
        <w:fldChar w:fldCharType="begin"/>
      </w:r>
      <w:r>
        <w:instrText xml:space="preserve"> REF _Ref179402980 \n \h </w:instrText>
      </w:r>
      <w:r>
        <w:fldChar w:fldCharType="separate"/>
      </w:r>
      <w:r w:rsidR="004F0175">
        <w:t>(b)</w:t>
      </w:r>
      <w:r>
        <w:fldChar w:fldCharType="end"/>
      </w:r>
      <w:r>
        <w:t xml:space="preserve"> or </w:t>
      </w:r>
      <w:r>
        <w:fldChar w:fldCharType="begin"/>
      </w:r>
      <w:r>
        <w:instrText xml:space="preserve"> REF _Ref179403019 \n \h </w:instrText>
      </w:r>
      <w:r>
        <w:fldChar w:fldCharType="separate"/>
      </w:r>
      <w:r w:rsidR="004F0175">
        <w:t>(c)</w:t>
      </w:r>
      <w:r>
        <w:fldChar w:fldCharType="end"/>
      </w:r>
      <w:r>
        <w:t xml:space="preserve">, amounts from the </w:t>
      </w:r>
      <w:r w:rsidR="00B13C71">
        <w:t>Sent Out Generation</w:t>
      </w:r>
      <w:r>
        <w:t xml:space="preserve">, but only when the </w:t>
      </w:r>
      <w:r w:rsidR="00B13C71">
        <w:t xml:space="preserve">Final Reference Trading </w:t>
      </w:r>
      <w:r>
        <w:t xml:space="preserve">Price is </w:t>
      </w:r>
      <w:r w:rsidR="00DF753E">
        <w:t>equal to or in excess of</w:t>
      </w:r>
      <w:r>
        <w:t xml:space="preserve"> $0/MWh; </w:t>
      </w:r>
    </w:p>
    <w:p w14:paraId="3884A3CC" w14:textId="472CAA65" w:rsidR="008F5E17" w:rsidRDefault="008F5E17" w:rsidP="008F5E17">
      <w:pPr>
        <w:pStyle w:val="Heading8"/>
      </w:pPr>
      <w:r>
        <w:tab/>
        <w:t xml:space="preserve">to the extent not captured under paragraphs </w:t>
      </w:r>
      <w:r w:rsidR="007F54F6">
        <w:fldChar w:fldCharType="begin"/>
      </w:r>
      <w:r w:rsidR="007F54F6">
        <w:instrText xml:space="preserve"> REF _Ref179402971 \n \h </w:instrText>
      </w:r>
      <w:r w:rsidR="007F54F6">
        <w:fldChar w:fldCharType="separate"/>
      </w:r>
      <w:r w:rsidR="004F0175">
        <w:t>(a)</w:t>
      </w:r>
      <w:r w:rsidR="007F54F6">
        <w:fldChar w:fldCharType="end"/>
      </w:r>
      <w:r>
        <w:t xml:space="preserve">, </w:t>
      </w:r>
      <w:r w:rsidR="007F54F6">
        <w:fldChar w:fldCharType="begin"/>
      </w:r>
      <w:r w:rsidR="007F54F6">
        <w:instrText xml:space="preserve"> REF _Ref179402980 \n \h </w:instrText>
      </w:r>
      <w:r w:rsidR="007F54F6">
        <w:fldChar w:fldCharType="separate"/>
      </w:r>
      <w:r w:rsidR="004F0175">
        <w:t>(b)</w:t>
      </w:r>
      <w:r w:rsidR="007F54F6">
        <w:fldChar w:fldCharType="end"/>
      </w:r>
      <w:r>
        <w:t xml:space="preserve"> or </w:t>
      </w:r>
      <w:r w:rsidR="007F54F6">
        <w:fldChar w:fldCharType="begin"/>
      </w:r>
      <w:r w:rsidR="007F54F6">
        <w:instrText xml:space="preserve"> REF _Ref179403019 \n \h </w:instrText>
      </w:r>
      <w:r w:rsidR="007F54F6">
        <w:fldChar w:fldCharType="separate"/>
      </w:r>
      <w:r w:rsidR="004F0175">
        <w:t>(c)</w:t>
      </w:r>
      <w:r w:rsidR="007F54F6">
        <w:fldChar w:fldCharType="end"/>
      </w:r>
      <w:r>
        <w:t xml:space="preserve">: </w:t>
      </w:r>
    </w:p>
    <w:p w14:paraId="64FFF2B8" w14:textId="4A5FC7A0" w:rsidR="00763C07" w:rsidRDefault="00B13C71" w:rsidP="00763C07">
      <w:pPr>
        <w:pStyle w:val="Heading9"/>
      </w:pPr>
      <w:r>
        <w:t xml:space="preserve">revenue or amounts from </w:t>
      </w:r>
      <w:r w:rsidR="00590F59">
        <w:t>hedges arising from or in connection with the Project (excluding interest rate and foreign currency hedges)</w:t>
      </w:r>
      <w:r w:rsidR="00763C07">
        <w:t>;</w:t>
      </w:r>
      <w:r w:rsidR="00293EC3">
        <w:t xml:space="preserve"> and </w:t>
      </w:r>
    </w:p>
    <w:p w14:paraId="74237F73" w14:textId="4A06AB34" w:rsidR="00763C07" w:rsidRDefault="00B13C71" w:rsidP="003E6FEA">
      <w:pPr>
        <w:pStyle w:val="Heading9"/>
      </w:pPr>
      <w:r>
        <w:t xml:space="preserve">any </w:t>
      </w:r>
      <w:r w:rsidR="00293EC3">
        <w:t xml:space="preserve">amounts in respect of, or other economic value associated with, </w:t>
      </w:r>
      <w:r w:rsidR="007A2529">
        <w:t xml:space="preserve">the Project, the availability, capacity or use of the energy storage capacity of the Project or </w:t>
      </w:r>
      <w:r w:rsidR="00293EC3">
        <w:t>any</w:t>
      </w:r>
      <w:r w:rsidR="00590F59">
        <w:t xml:space="preserve"> Capacity </w:t>
      </w:r>
      <w:r w:rsidR="002E6195">
        <w:t>Credits</w:t>
      </w:r>
      <w:r w:rsidR="00590F59">
        <w:t xml:space="preserve"> or Green Products</w:t>
      </w:r>
      <w:r w:rsidR="00293EC3">
        <w:t xml:space="preserve"> created by reference to the Project</w:t>
      </w:r>
      <w:r>
        <w:t xml:space="preserve"> (including amounts from AEMO)</w:t>
      </w:r>
      <w:r w:rsidR="00590F59">
        <w:t xml:space="preserve">; </w:t>
      </w:r>
      <w:r w:rsidR="002727E1">
        <w:t>and</w:t>
      </w:r>
    </w:p>
    <w:p w14:paraId="3C5E9F60" w14:textId="60FC63E0" w:rsidR="00BA1240" w:rsidRDefault="00B124DE" w:rsidP="004674FF">
      <w:pPr>
        <w:pStyle w:val="Heading8"/>
      </w:pPr>
      <w:r>
        <w:tab/>
      </w:r>
      <w:r w:rsidR="00590F59">
        <w:t>to the extent not referred to above,</w:t>
      </w:r>
      <w:r w:rsidR="00C0139C">
        <w:t xml:space="preserve"> amounts</w:t>
      </w:r>
      <w:r w:rsidR="00590F59">
        <w:t xml:space="preserve"> from AEMO (in its capacity as a market body) in accordance with the </w:t>
      </w:r>
      <w:r w:rsidR="004A1236">
        <w:t>ESM Rules</w:t>
      </w:r>
      <w:r w:rsidR="00B13C71">
        <w:t xml:space="preserve"> or </w:t>
      </w:r>
      <w:r w:rsidR="007A2529">
        <w:t xml:space="preserve">any other entity (or </w:t>
      </w:r>
      <w:r w:rsidR="00B13C71">
        <w:t xml:space="preserve">in respect of paragraph </w:t>
      </w:r>
      <w:r w:rsidR="00977985">
        <w:fldChar w:fldCharType="begin"/>
      </w:r>
      <w:r w:rsidR="00977985">
        <w:instrText xml:space="preserve"> REF _Ref206707204 \r \h </w:instrText>
      </w:r>
      <w:r w:rsidR="00977985">
        <w:fldChar w:fldCharType="separate"/>
      </w:r>
      <w:r w:rsidR="002E5C6A">
        <w:t>(i)</w:t>
      </w:r>
      <w:r w:rsidR="00977985">
        <w:fldChar w:fldCharType="end"/>
      </w:r>
      <w:r w:rsidR="00B13C71">
        <w:t xml:space="preserve"> below, amounts from Network Operator in respect of NCESS)</w:t>
      </w:r>
      <w:r w:rsidR="003C53F2">
        <w:t>, including</w:t>
      </w:r>
      <w:r w:rsidR="00BA1240">
        <w:t>:</w:t>
      </w:r>
      <w:r w:rsidR="00461CD2">
        <w:t xml:space="preserve"> </w:t>
      </w:r>
    </w:p>
    <w:p w14:paraId="05FEA11E" w14:textId="12E7791D" w:rsidR="00BA1240" w:rsidRDefault="00B153AA" w:rsidP="00763C07">
      <w:pPr>
        <w:pStyle w:val="Heading9"/>
      </w:pPr>
      <w:bookmarkStart w:id="135" w:name="_Ref206707204"/>
      <w:r>
        <w:t>amounts from the supply of Essential System Services</w:t>
      </w:r>
      <w:r w:rsidR="00B13C71">
        <w:t xml:space="preserve"> (including amounts pursuant to contractual arrangements between AEMO or Network Operator (as applicable) and Project Operator</w:t>
      </w:r>
      <w:r>
        <w:t xml:space="preserve"> </w:t>
      </w:r>
      <w:r w:rsidR="00EE5220">
        <w:t xml:space="preserve">in respect of </w:t>
      </w:r>
      <w:r w:rsidR="00B13C71">
        <w:t xml:space="preserve">NCESS) in respect of the [Hybrid] </w:t>
      </w:r>
      <w:r w:rsidR="00EE5220">
        <w:t>Project</w:t>
      </w:r>
      <w:r w:rsidR="00461CD2">
        <w:t>]</w:t>
      </w:r>
      <w:r w:rsidR="007A1341">
        <w:t xml:space="preserve"> </w:t>
      </w:r>
      <w:r w:rsidR="007A1341" w:rsidRPr="00131021">
        <w:rPr>
          <w:highlight w:val="lightGray"/>
        </w:rPr>
        <w:t>[</w:t>
      </w:r>
      <w:r w:rsidR="007A1341" w:rsidRPr="0076796C">
        <w:rPr>
          <w:b/>
          <w:bCs/>
          <w:i/>
          <w:iCs/>
          <w:highlight w:val="lightGray"/>
        </w:rPr>
        <w:t>Note: for a Hybrid Project, reference to Project to be replaced with Hybrid Project, such that 100% of the revenues for in respect of either (or both) the Project and Associated Project are deemed to be revenues of the Project.</w:t>
      </w:r>
      <w:r w:rsidR="007A1341" w:rsidRPr="00131021">
        <w:rPr>
          <w:highlight w:val="lightGray"/>
        </w:rPr>
        <w:t>]</w:t>
      </w:r>
      <w:r w:rsidR="00BA1240">
        <w:t>;</w:t>
      </w:r>
      <w:r w:rsidR="00EE5220">
        <w:t xml:space="preserve"> </w:t>
      </w:r>
      <w:r>
        <w:t>and</w:t>
      </w:r>
      <w:bookmarkEnd w:id="135"/>
      <w:r>
        <w:t xml:space="preserve"> </w:t>
      </w:r>
    </w:p>
    <w:p w14:paraId="74D9816A" w14:textId="3AE69802" w:rsidR="00590F59" w:rsidRDefault="003C53F2" w:rsidP="00763C07">
      <w:pPr>
        <w:pStyle w:val="Heading9"/>
      </w:pPr>
      <w:r>
        <w:t>any</w:t>
      </w:r>
      <w:r w:rsidR="00B153AA">
        <w:t xml:space="preserve"> </w:t>
      </w:r>
      <w:r w:rsidR="00B153AA" w:rsidRPr="00961F64">
        <w:t>compensation (including</w:t>
      </w:r>
      <w:r>
        <w:t xml:space="preserve"> </w:t>
      </w:r>
      <w:r w:rsidR="008B4E4F">
        <w:t>Outage C</w:t>
      </w:r>
      <w:r>
        <w:t>ompensation</w:t>
      </w:r>
      <w:r w:rsidR="00B13C71">
        <w:t>, Energy Uplift Payment</w:t>
      </w:r>
      <w:r w:rsidR="00D253EF">
        <w:t xml:space="preserve"> or Market Suspension Compensation, each as defined in the </w:t>
      </w:r>
      <w:r w:rsidR="004A1236">
        <w:t>ESM Rules</w:t>
      </w:r>
      <w:r w:rsidR="00D253EF">
        <w:t>) [and, if the Project is part of a Hybrid Project</w:t>
      </w:r>
      <w:r w:rsidR="00DC0A1A" w:rsidRPr="00961F64">
        <w:t xml:space="preserve">, </w:t>
      </w:r>
      <w:r w:rsidR="0073115B">
        <w:t xml:space="preserve">apportioned in accordance with </w:t>
      </w:r>
      <w:r w:rsidR="00DC0A1A" w:rsidRPr="00961F64">
        <w:t>the Apportionment Principles</w:t>
      </w:r>
      <w:r w:rsidR="00D253EF">
        <w:t>]</w:t>
      </w:r>
      <w:r w:rsidR="00590F59">
        <w:t xml:space="preserve">, </w:t>
      </w:r>
      <w:r w:rsidR="00D253EF">
        <w:t>[</w:t>
      </w:r>
      <w:r w:rsidR="00D253EF" w:rsidRPr="004D3942">
        <w:rPr>
          <w:b/>
          <w:bCs/>
          <w:i/>
          <w:iCs/>
          <w:highlight w:val="lightGray"/>
        </w:rPr>
        <w:t xml:space="preserve">Note: </w:t>
      </w:r>
      <w:r w:rsidR="00D253EF">
        <w:rPr>
          <w:b/>
          <w:bCs/>
          <w:i/>
          <w:iCs/>
          <w:highlight w:val="lightGray"/>
        </w:rPr>
        <w:t xml:space="preserve">words in square brackets to be included </w:t>
      </w:r>
      <w:r w:rsidR="00D253EF" w:rsidRPr="004D3942">
        <w:rPr>
          <w:b/>
          <w:bCs/>
          <w:i/>
          <w:iCs/>
          <w:highlight w:val="lightGray"/>
        </w:rPr>
        <w:t>for all Hybrid Projects.</w:t>
      </w:r>
      <w:r w:rsidR="00D253EF">
        <w:t>]</w:t>
      </w:r>
    </w:p>
    <w:p w14:paraId="5746AE40" w14:textId="3E273A5F" w:rsidR="00590F59" w:rsidRDefault="00F7634E" w:rsidP="00B5506F">
      <w:pPr>
        <w:pStyle w:val="Heading7"/>
        <w:keepNext/>
      </w:pPr>
      <w:r w:rsidRPr="00F7634E">
        <w:t>and if Project Operator enters into a Bilateral Contract that is not an Eligible Bilateral Contract, including any ESS revenue from the portion of the [Staged] Project subject to that Bilateral Contract that is not received by Project Operator</w:t>
      </w:r>
      <w:r>
        <w:t xml:space="preserve"> </w:t>
      </w:r>
      <w:r w:rsidR="00590F59">
        <w:t>but excluding</w:t>
      </w:r>
      <w:r w:rsidR="00BA1240">
        <w:t xml:space="preserve"> any</w:t>
      </w:r>
      <w:r w:rsidR="00590F59">
        <w:t>:</w:t>
      </w:r>
    </w:p>
    <w:p w14:paraId="4D97B912" w14:textId="50EFAE05" w:rsidR="00590F59" w:rsidRDefault="00590F59" w:rsidP="008F660B">
      <w:pPr>
        <w:pStyle w:val="Heading8"/>
        <w:numPr>
          <w:ilvl w:val="7"/>
          <w:numId w:val="86"/>
        </w:numPr>
      </w:pPr>
      <w:r>
        <w:t xml:space="preserve">amounts </w:t>
      </w:r>
      <w:r w:rsidR="00BA1240">
        <w:t xml:space="preserve">that </w:t>
      </w:r>
      <w:r>
        <w:t xml:space="preserve">the Commonwealth is obliged to pay to </w:t>
      </w:r>
      <w:r w:rsidR="00DC1D20">
        <w:t>Project</w:t>
      </w:r>
      <w:r>
        <w:t xml:space="preserve"> Operator under this </w:t>
      </w:r>
      <w:r w:rsidR="002A7C3E">
        <w:t>a</w:t>
      </w:r>
      <w:r>
        <w:t xml:space="preserve">greement; </w:t>
      </w:r>
    </w:p>
    <w:p w14:paraId="50A3CFFD" w14:textId="0763F063" w:rsidR="00590F59" w:rsidRDefault="00590F59" w:rsidP="00763C07">
      <w:pPr>
        <w:pStyle w:val="Heading8"/>
      </w:pPr>
      <w:r>
        <w:tab/>
        <w:t xml:space="preserve">damages to which </w:t>
      </w:r>
      <w:r w:rsidR="00B124DE">
        <w:t>Project</w:t>
      </w:r>
      <w:r>
        <w:t xml:space="preserve"> Operator is entitled under a </w:t>
      </w:r>
      <w:r w:rsidR="00934893">
        <w:t>c</w:t>
      </w:r>
      <w:r>
        <w:t xml:space="preserve">onstruction </w:t>
      </w:r>
      <w:r w:rsidR="00934893">
        <w:t>c</w:t>
      </w:r>
      <w:r>
        <w:t xml:space="preserve">ontract or a contract for the operation and/or maintenance of the </w:t>
      </w:r>
      <w:r w:rsidR="006832D4">
        <w:t xml:space="preserve">[Staged/Hybrid] </w:t>
      </w:r>
      <w:r w:rsidR="00B124DE">
        <w:t>Project</w:t>
      </w:r>
      <w:r>
        <w:t xml:space="preserve"> </w:t>
      </w:r>
      <w:r w:rsidR="0027263D">
        <w:t xml:space="preserve">(including the ETAC) </w:t>
      </w:r>
      <w:r>
        <w:t xml:space="preserve">(except to the extent </w:t>
      </w:r>
      <w:r w:rsidR="00BA1240">
        <w:t xml:space="preserve">that </w:t>
      </w:r>
      <w:r>
        <w:t xml:space="preserve">those damages compensate for loss of revenue and/or profit); and </w:t>
      </w:r>
    </w:p>
    <w:p w14:paraId="40DAD228" w14:textId="560EB335" w:rsidR="006832D4" w:rsidRDefault="006832D4" w:rsidP="008F660B">
      <w:pPr>
        <w:pStyle w:val="Heading8"/>
        <w:numPr>
          <w:ilvl w:val="0"/>
          <w:numId w:val="0"/>
        </w:numPr>
        <w:ind w:left="737"/>
      </w:pPr>
      <w:r>
        <w:t>[</w:t>
      </w:r>
      <w:r>
        <w:rPr>
          <w:b/>
          <w:i/>
          <w:highlight w:val="lightGray"/>
        </w:rPr>
        <w:t>Note: wording in square brackets above is to be included for all Staged Projects and all Hybrid Projects (as applicable).</w:t>
      </w:r>
      <w:r>
        <w:rPr>
          <w:i/>
          <w:iCs/>
          <w:highlight w:val="lightGray"/>
        </w:rPr>
        <w:t>]</w:t>
      </w:r>
    </w:p>
    <w:p w14:paraId="622A7134" w14:textId="77777777" w:rsidR="006832D4" w:rsidRDefault="00590F59" w:rsidP="00763C07">
      <w:pPr>
        <w:pStyle w:val="Heading8"/>
      </w:pPr>
      <w:r>
        <w:tab/>
      </w:r>
      <w:bookmarkStart w:id="136" w:name="_Ref206707438"/>
      <w:r w:rsidR="006832D4">
        <w:t xml:space="preserve">In respect of any </w:t>
      </w:r>
      <w:r>
        <w:t xml:space="preserve">amounts to which </w:t>
      </w:r>
      <w:r w:rsidR="00B124DE">
        <w:t>Project</w:t>
      </w:r>
      <w:r>
        <w:t xml:space="preserve"> Operator is entitled under or in connection with an insurance policy</w:t>
      </w:r>
      <w:r w:rsidR="00F65218">
        <w:t xml:space="preserve"> in respect of the Project</w:t>
      </w:r>
      <w:r w:rsidR="006832D4">
        <w:t>:</w:t>
      </w:r>
      <w:bookmarkEnd w:id="136"/>
    </w:p>
    <w:p w14:paraId="16A417F6" w14:textId="77777777" w:rsidR="006832D4" w:rsidRDefault="006832D4" w:rsidP="008F660B">
      <w:pPr>
        <w:pStyle w:val="Heading9"/>
        <w:numPr>
          <w:ilvl w:val="8"/>
          <w:numId w:val="61"/>
        </w:numPr>
      </w:pPr>
      <w:r>
        <w:t>amounts that do not compensate for loss of revenue and/or profit are not included in Operational Revenue;</w:t>
      </w:r>
    </w:p>
    <w:p w14:paraId="3038052C" w14:textId="77777777" w:rsidR="006832D4" w:rsidRDefault="006832D4" w:rsidP="008F660B">
      <w:pPr>
        <w:pStyle w:val="Heading9"/>
        <w:numPr>
          <w:ilvl w:val="8"/>
          <w:numId w:val="61"/>
        </w:numPr>
      </w:pPr>
      <w:bookmarkStart w:id="137" w:name="_Ref194505073"/>
      <w:r>
        <w:t>amounts that compensate for loss of revenue and/or profit caused by a Force Majeure Event are not included in Operational Revenue; and</w:t>
      </w:r>
      <w:bookmarkEnd w:id="137"/>
    </w:p>
    <w:p w14:paraId="376EFEB1" w14:textId="42EE370B" w:rsidR="00590F59" w:rsidRDefault="006832D4" w:rsidP="008F660B">
      <w:pPr>
        <w:pStyle w:val="Heading9"/>
        <w:numPr>
          <w:ilvl w:val="8"/>
          <w:numId w:val="61"/>
        </w:numPr>
      </w:pPr>
      <w:r>
        <w:t xml:space="preserve">amounts that compensate for loss of revenue and/or profit that do not fall within paragraph </w:t>
      </w:r>
      <w:r w:rsidR="00977985">
        <w:fldChar w:fldCharType="begin"/>
      </w:r>
      <w:r w:rsidR="00977985">
        <w:instrText xml:space="preserve"> REF _Ref206707438 \n \h </w:instrText>
      </w:r>
      <w:r w:rsidR="00977985">
        <w:fldChar w:fldCharType="separate"/>
      </w:r>
      <w:r w:rsidR="002E5C6A">
        <w:t>(j)</w:t>
      </w:r>
      <w:r w:rsidR="00977985">
        <w:fldChar w:fldCharType="end"/>
      </w:r>
      <w:r>
        <w:fldChar w:fldCharType="begin"/>
      </w:r>
      <w:r>
        <w:instrText xml:space="preserve"> REF _Ref194505073 \r \h </w:instrText>
      </w:r>
      <w:r>
        <w:fldChar w:fldCharType="separate"/>
      </w:r>
      <w:r w:rsidR="002E5C6A">
        <w:t>(ii)</w:t>
      </w:r>
      <w:r>
        <w:fldChar w:fldCharType="end"/>
      </w:r>
      <w:r>
        <w:t xml:space="preserve"> are included in Operational Revenue.</w:t>
      </w:r>
      <w:r w:rsidR="00590F59">
        <w:t xml:space="preserve"> </w:t>
      </w:r>
    </w:p>
    <w:p w14:paraId="795815DA" w14:textId="77777777" w:rsidR="00010C7D" w:rsidRDefault="00010C7D" w:rsidP="00010C7D">
      <w:pPr>
        <w:pStyle w:val="Heading7"/>
        <w:numPr>
          <w:ilvl w:val="0"/>
          <w:numId w:val="0"/>
        </w:numPr>
        <w:ind w:left="737"/>
      </w:pPr>
      <w:r>
        <w:rPr>
          <w:b/>
          <w:bCs/>
        </w:rPr>
        <w:t xml:space="preserve">Operations Period </w:t>
      </w:r>
      <w:r>
        <w:t xml:space="preserve">means the period commencing on the day after the Commercial Operations Date and ending on the last day of the Term. </w:t>
      </w:r>
    </w:p>
    <w:p w14:paraId="382DA7B7" w14:textId="77777777" w:rsidR="005C7749" w:rsidRPr="00716FCD" w:rsidRDefault="005C7749" w:rsidP="00B5506F">
      <w:pPr>
        <w:pStyle w:val="Heading7"/>
        <w:keepNext/>
        <w:numPr>
          <w:ilvl w:val="0"/>
          <w:numId w:val="0"/>
        </w:numPr>
        <w:ind w:left="737"/>
      </w:pPr>
      <w:r w:rsidRPr="005C7749">
        <w:rPr>
          <w:b/>
          <w:bCs/>
        </w:rPr>
        <w:t>Operations</w:t>
      </w:r>
      <w:r w:rsidRPr="008E4A1B">
        <w:t xml:space="preserve"> </w:t>
      </w:r>
      <w:r w:rsidRPr="005C7749">
        <w:rPr>
          <w:b/>
          <w:bCs/>
        </w:rPr>
        <w:t>Year</w:t>
      </w:r>
      <w:r w:rsidRPr="00716FCD">
        <w:t xml:space="preserve"> means</w:t>
      </w:r>
      <w:r>
        <w:t>:</w:t>
      </w:r>
    </w:p>
    <w:p w14:paraId="4A87E209" w14:textId="4C099C12" w:rsidR="005C7749" w:rsidRPr="00716FCD" w:rsidRDefault="005C7749" w:rsidP="008F660B">
      <w:pPr>
        <w:pStyle w:val="Heading8"/>
        <w:numPr>
          <w:ilvl w:val="7"/>
          <w:numId w:val="87"/>
        </w:numPr>
      </w:pPr>
      <w:r w:rsidRPr="00716FCD">
        <w:t xml:space="preserve">for the first Operations Year, the period commencing </w:t>
      </w:r>
      <w:r w:rsidR="00BA5030">
        <w:t xml:space="preserve">at the start of the Trading Day </w:t>
      </w:r>
      <w:r w:rsidR="00BA1240">
        <w:t>that starts</w:t>
      </w:r>
      <w:r w:rsidR="00BF046C">
        <w:t xml:space="preserve"> on the </w:t>
      </w:r>
      <w:r w:rsidRPr="00716FCD">
        <w:t>C</w:t>
      </w:r>
      <w:r w:rsidR="00010C60">
        <w:t xml:space="preserve">ommercial </w:t>
      </w:r>
      <w:r w:rsidRPr="00716FCD">
        <w:t>O</w:t>
      </w:r>
      <w:r w:rsidR="00010C60">
        <w:t xml:space="preserve">perations </w:t>
      </w:r>
      <w:r w:rsidRPr="00716FCD">
        <w:t>D</w:t>
      </w:r>
      <w:r w:rsidR="00010C60">
        <w:t>ate</w:t>
      </w:r>
      <w:r w:rsidRPr="00716FCD">
        <w:t xml:space="preserve"> </w:t>
      </w:r>
      <w:r w:rsidR="00BF046C">
        <w:t xml:space="preserve">and ending </w:t>
      </w:r>
      <w:r w:rsidR="00BA1240">
        <w:t xml:space="preserve">at </w:t>
      </w:r>
      <w:r w:rsidR="00BF046C">
        <w:t>the end of the Trading Day ending on the next 1</w:t>
      </w:r>
      <w:r w:rsidR="00BA1240">
        <w:t> </w:t>
      </w:r>
      <w:r w:rsidR="00BF046C">
        <w:t>October</w:t>
      </w:r>
      <w:r w:rsidRPr="00716FCD">
        <w:t>;</w:t>
      </w:r>
    </w:p>
    <w:p w14:paraId="59F742D8" w14:textId="0B9BADA8" w:rsidR="005C7749" w:rsidRPr="00716FCD" w:rsidRDefault="005C7749" w:rsidP="00467340">
      <w:pPr>
        <w:pStyle w:val="Heading3"/>
        <w:numPr>
          <w:ilvl w:val="2"/>
          <w:numId w:val="57"/>
        </w:numPr>
      </w:pPr>
      <w:bookmarkStart w:id="138" w:name="_Ref_ContractCompanion_9kb9Ur3BD"/>
      <w:r w:rsidRPr="00716FCD">
        <w:t xml:space="preserve">subject to paragraph </w:t>
      </w:r>
      <w:r w:rsidR="00676544">
        <w:fldChar w:fldCharType="begin"/>
      </w:r>
      <w:r w:rsidR="00676544">
        <w:instrText xml:space="preserve"> REF _Ref171517942 \n \h </w:instrText>
      </w:r>
      <w:r w:rsidR="00676544">
        <w:fldChar w:fldCharType="separate"/>
      </w:r>
      <w:r w:rsidR="002E5C6A">
        <w:t>(c)</w:t>
      </w:r>
      <w:r w:rsidR="00676544">
        <w:fldChar w:fldCharType="end"/>
      </w:r>
      <w:r w:rsidR="00010C7D">
        <w:t xml:space="preserve"> </w:t>
      </w:r>
      <w:r w:rsidRPr="00716FCD">
        <w:t xml:space="preserve">of this definition, each subsequent 12 Month period during the Operations Period </w:t>
      </w:r>
      <w:r w:rsidR="00A17F6C">
        <w:t xml:space="preserve">commencing at the start of the Trading Day which commences on 1 October and ending </w:t>
      </w:r>
      <w:r w:rsidR="00BA1240">
        <w:t xml:space="preserve">at </w:t>
      </w:r>
      <w:r w:rsidR="00A17F6C">
        <w:t>the end of the Trading Day ending on 1 October of the following calendar year</w:t>
      </w:r>
      <w:r w:rsidRPr="00716FCD">
        <w:t>; and</w:t>
      </w:r>
      <w:bookmarkEnd w:id="138"/>
    </w:p>
    <w:p w14:paraId="7DCC2E8F" w14:textId="39359DF2" w:rsidR="00BA5030" w:rsidRDefault="005C7749" w:rsidP="00467340">
      <w:pPr>
        <w:pStyle w:val="Heading3"/>
        <w:numPr>
          <w:ilvl w:val="2"/>
          <w:numId w:val="57"/>
        </w:numPr>
      </w:pPr>
      <w:bookmarkStart w:id="139" w:name="_Ref171517942"/>
      <w:r w:rsidRPr="00716FCD">
        <w:t xml:space="preserve">for the final Operations Year, </w:t>
      </w:r>
      <w:r w:rsidR="00A17F6C">
        <w:t xml:space="preserve">the period commencing at the end of the last </w:t>
      </w:r>
      <w:r w:rsidR="00BA1240">
        <w:t xml:space="preserve">full </w:t>
      </w:r>
      <w:r w:rsidR="00A17F6C">
        <w:t xml:space="preserve">Operations Year (as identified in paragraph </w:t>
      </w:r>
      <w:r w:rsidR="00977985">
        <w:fldChar w:fldCharType="begin"/>
      </w:r>
      <w:r w:rsidR="00977985">
        <w:instrText xml:space="preserve"> REF _Ref_ContractCompanion_9kb9Ur3BD \n \h </w:instrText>
      </w:r>
      <w:r w:rsidR="00977985">
        <w:fldChar w:fldCharType="separate"/>
      </w:r>
      <w:r w:rsidR="002E5C6A">
        <w:t>(b)</w:t>
      </w:r>
      <w:r w:rsidR="00977985">
        <w:fldChar w:fldCharType="end"/>
      </w:r>
      <w:r w:rsidR="00A17F6C">
        <w:t xml:space="preserve"> of this definition) and ending on the end of the last Trading Day of the Term.</w:t>
      </w:r>
      <w:bookmarkEnd w:id="139"/>
    </w:p>
    <w:p w14:paraId="222BD524" w14:textId="6A088382" w:rsidR="006832D4" w:rsidRDefault="006832D4" w:rsidP="006832D4">
      <w:pPr>
        <w:pStyle w:val="Heading7"/>
      </w:pPr>
      <w:r>
        <w:rPr>
          <w:b/>
          <w:bCs/>
        </w:rPr>
        <w:t>Opt-Out Date</w:t>
      </w:r>
      <w:r>
        <w:t xml:space="preserve"> has the meaning given in clause </w:t>
      </w:r>
      <w:r w:rsidR="00903158">
        <w:fldChar w:fldCharType="begin"/>
      </w:r>
      <w:r w:rsidR="00903158">
        <w:instrText xml:space="preserve"> REF _Ref205751059 \r \h </w:instrText>
      </w:r>
      <w:r w:rsidR="00903158">
        <w:fldChar w:fldCharType="separate"/>
      </w:r>
      <w:r w:rsidR="002E5C6A">
        <w:t>14.1(c)</w:t>
      </w:r>
      <w:r w:rsidR="00903158">
        <w:fldChar w:fldCharType="end"/>
      </w:r>
      <w:r>
        <w:t>.</w:t>
      </w:r>
    </w:p>
    <w:p w14:paraId="069C7AC2" w14:textId="16C6E510" w:rsidR="006832D4" w:rsidRDefault="006832D4" w:rsidP="006832D4">
      <w:pPr>
        <w:pStyle w:val="Heading7"/>
      </w:pPr>
      <w:r>
        <w:rPr>
          <w:b/>
          <w:bCs/>
        </w:rPr>
        <w:t>Opt-Out Period</w:t>
      </w:r>
      <w:r>
        <w:t xml:space="preserve"> has the meaning given in clause</w:t>
      </w:r>
      <w:r w:rsidR="00903158">
        <w:t xml:space="preserve"> </w:t>
      </w:r>
      <w:r w:rsidR="00903158">
        <w:fldChar w:fldCharType="begin"/>
      </w:r>
      <w:r w:rsidR="00903158">
        <w:instrText xml:space="preserve"> REF _Ref181186542 \r \h </w:instrText>
      </w:r>
      <w:r w:rsidR="00903158">
        <w:fldChar w:fldCharType="separate"/>
      </w:r>
      <w:r w:rsidR="002E5C6A">
        <w:t>14.1(d)</w:t>
      </w:r>
      <w:r w:rsidR="00903158">
        <w:fldChar w:fldCharType="end"/>
      </w:r>
      <w:r>
        <w:t>.</w:t>
      </w:r>
    </w:p>
    <w:p w14:paraId="3C1E0C30" w14:textId="77777777" w:rsidR="006832D4" w:rsidRDefault="006832D4" w:rsidP="006832D4">
      <w:pPr>
        <w:pStyle w:val="Heading7"/>
      </w:pPr>
      <w:r>
        <w:rPr>
          <w:b/>
          <w:bCs/>
        </w:rPr>
        <w:t xml:space="preserve">Opt-Out Year </w:t>
      </w:r>
      <w:r>
        <w:t>means each:</w:t>
      </w:r>
    </w:p>
    <w:p w14:paraId="67C6719D" w14:textId="6DED2AC4" w:rsidR="006832D4" w:rsidRDefault="006832D4" w:rsidP="008F660B">
      <w:pPr>
        <w:pStyle w:val="Heading8"/>
        <w:numPr>
          <w:ilvl w:val="7"/>
          <w:numId w:val="103"/>
        </w:numPr>
        <w:tabs>
          <w:tab w:val="clear" w:pos="1447"/>
          <w:tab w:val="num" w:pos="1474"/>
        </w:tabs>
        <w:ind w:left="1474"/>
      </w:pPr>
      <w:r>
        <w:t>Support Year (if any) for which an Annual Floor, Annual Ceiling and Annual Payment Cap of “Nil” or “zero” is specified in</w:t>
      </w:r>
      <w:r w:rsidR="004E7A77">
        <w:t xml:space="preserve"> </w:t>
      </w:r>
      <w:r w:rsidR="004E7A77" w:rsidRPr="000B5694">
        <w:t>items</w:t>
      </w:r>
      <w:r w:rsidRPr="000B5694">
        <w:t xml:space="preserve"> </w:t>
      </w:r>
      <w:r w:rsidR="008C6650">
        <w:fldChar w:fldCharType="begin"/>
      </w:r>
      <w:r w:rsidR="008C6650">
        <w:instrText xml:space="preserve"> REF _Ref172455381 \r \h </w:instrText>
      </w:r>
      <w:r w:rsidR="008C6650">
        <w:fldChar w:fldCharType="separate"/>
      </w:r>
      <w:r w:rsidR="002E5C6A">
        <w:t>25</w:t>
      </w:r>
      <w:r w:rsidR="008C6650">
        <w:fldChar w:fldCharType="end"/>
      </w:r>
      <w:r>
        <w:t xml:space="preserve"> to </w:t>
      </w:r>
      <w:r w:rsidRPr="000B5694">
        <w:fldChar w:fldCharType="begin"/>
      </w:r>
      <w:r w:rsidRPr="000B5694">
        <w:instrText xml:space="preserve"> REF _Ref172455431 \n \h </w:instrText>
      </w:r>
      <w:r w:rsidR="000B5694">
        <w:instrText xml:space="preserve"> \* MERGEFORMAT </w:instrText>
      </w:r>
      <w:r w:rsidRPr="000B5694">
        <w:fldChar w:fldCharType="separate"/>
      </w:r>
      <w:r w:rsidR="002E5C6A">
        <w:t>27</w:t>
      </w:r>
      <w:r w:rsidRPr="000B5694">
        <w:fldChar w:fldCharType="end"/>
      </w:r>
      <w:r>
        <w:t xml:space="preserve"> of the Reference Details respectively; and</w:t>
      </w:r>
    </w:p>
    <w:p w14:paraId="43018E9E" w14:textId="5F74566B" w:rsidR="006832D4" w:rsidRDefault="006832D4" w:rsidP="008F660B">
      <w:pPr>
        <w:pStyle w:val="Heading8"/>
        <w:numPr>
          <w:ilvl w:val="7"/>
          <w:numId w:val="103"/>
        </w:numPr>
        <w:tabs>
          <w:tab w:val="clear" w:pos="1447"/>
          <w:tab w:val="num" w:pos="1474"/>
        </w:tabs>
        <w:ind w:left="1474"/>
      </w:pPr>
      <w:r>
        <w:t xml:space="preserve">Operations Year of each Opt-Out Period the subject of an Option exercised under clause </w:t>
      </w:r>
      <w:r w:rsidR="003D66D5" w:rsidRPr="000B5694">
        <w:fldChar w:fldCharType="begin"/>
      </w:r>
      <w:r w:rsidR="003D66D5" w:rsidRPr="000B5694">
        <w:instrText xml:space="preserve"> REF _Ref205809480 \r \h </w:instrText>
      </w:r>
      <w:r w:rsidR="003D66D5" w:rsidRPr="008F660B">
        <w:instrText xml:space="preserve"> \* MERGEFORMAT </w:instrText>
      </w:r>
      <w:r w:rsidR="003D66D5" w:rsidRPr="000B5694">
        <w:fldChar w:fldCharType="separate"/>
      </w:r>
      <w:r w:rsidR="002E5C6A">
        <w:t>14.2</w:t>
      </w:r>
      <w:r w:rsidR="003D66D5" w:rsidRPr="000B5694">
        <w:fldChar w:fldCharType="end"/>
      </w:r>
      <w:r w:rsidR="003D66D5" w:rsidRPr="000B5694">
        <w:t xml:space="preserve"> (“</w:t>
      </w:r>
      <w:r w:rsidR="003D66D5" w:rsidRPr="000B5694">
        <w:fldChar w:fldCharType="begin"/>
      </w:r>
      <w:r w:rsidR="003D66D5" w:rsidRPr="000B5694">
        <w:instrText xml:space="preserve"> REF _Ref205809493 \h </w:instrText>
      </w:r>
      <w:r w:rsidR="003D66D5" w:rsidRPr="008F660B">
        <w:instrText xml:space="preserve"> \* MERGEFORMAT </w:instrText>
      </w:r>
      <w:r w:rsidR="003D66D5" w:rsidRPr="000B5694">
        <w:fldChar w:fldCharType="separate"/>
      </w:r>
      <w:r w:rsidR="002E5C6A" w:rsidRPr="00AD5990">
        <w:t>Terms of Support</w:t>
      </w:r>
      <w:r w:rsidR="003D66D5" w:rsidRPr="000B5694">
        <w:fldChar w:fldCharType="end"/>
      </w:r>
      <w:r w:rsidR="003D66D5" w:rsidRPr="000B5694">
        <w:t>”)</w:t>
      </w:r>
      <w:r w:rsidRPr="000B5694">
        <w:t>.</w:t>
      </w:r>
      <w:r>
        <w:t xml:space="preserve"> </w:t>
      </w:r>
    </w:p>
    <w:p w14:paraId="3170DD57" w14:textId="3DE81936" w:rsidR="003E6114" w:rsidRDefault="00903158" w:rsidP="0058045D">
      <w:pPr>
        <w:pStyle w:val="Heading7"/>
        <w:numPr>
          <w:ilvl w:val="6"/>
          <w:numId w:val="0"/>
        </w:numPr>
        <w:ind w:left="737"/>
        <w:rPr>
          <w:bCs/>
        </w:rPr>
      </w:pPr>
      <w:r w:rsidRPr="008F660B">
        <w:rPr>
          <w:b/>
          <w:bCs/>
        </w:rPr>
        <w:t>Option</w:t>
      </w:r>
      <w:r w:rsidRPr="002879C5">
        <w:rPr>
          <w:bCs/>
        </w:rPr>
        <w:t xml:space="preserve"> has the meaning given in clause </w:t>
      </w:r>
      <w:r>
        <w:rPr>
          <w:b/>
          <w:sz w:val="22"/>
        </w:rPr>
        <w:fldChar w:fldCharType="begin"/>
      </w:r>
      <w:r>
        <w:rPr>
          <w:bCs/>
        </w:rPr>
        <w:instrText xml:space="preserve"> REF _Ref205751210 \w \h </w:instrText>
      </w:r>
      <w:r>
        <w:rPr>
          <w:b/>
          <w:sz w:val="22"/>
        </w:rPr>
      </w:r>
      <w:r>
        <w:rPr>
          <w:b/>
          <w:sz w:val="22"/>
        </w:rPr>
        <w:fldChar w:fldCharType="separate"/>
      </w:r>
      <w:r w:rsidR="002E5C6A">
        <w:rPr>
          <w:bCs/>
        </w:rPr>
        <w:t>14.3(a)</w:t>
      </w:r>
      <w:r>
        <w:rPr>
          <w:b/>
          <w:sz w:val="22"/>
        </w:rPr>
        <w:fldChar w:fldCharType="end"/>
      </w:r>
      <w:r w:rsidRPr="002879C5">
        <w:rPr>
          <w:bCs/>
        </w:rPr>
        <w:t>.</w:t>
      </w:r>
      <w:r w:rsidR="003E6114">
        <w:rPr>
          <w:bCs/>
        </w:rPr>
        <w:t xml:space="preserve"> </w:t>
      </w:r>
    </w:p>
    <w:p w14:paraId="58AD4501" w14:textId="6043F331" w:rsidR="00042AD5" w:rsidRDefault="2BC382E4" w:rsidP="0058045D">
      <w:pPr>
        <w:pStyle w:val="Heading7"/>
        <w:numPr>
          <w:ilvl w:val="6"/>
          <w:numId w:val="0"/>
        </w:numPr>
        <w:ind w:left="737"/>
      </w:pPr>
      <w:r w:rsidRPr="00B61725">
        <w:rPr>
          <w:b/>
          <w:bCs/>
        </w:rPr>
        <w:t xml:space="preserve">Other CISA </w:t>
      </w:r>
      <w:r w:rsidRPr="00B61725">
        <w:t xml:space="preserve">means a </w:t>
      </w:r>
      <w:r w:rsidR="00D61425">
        <w:t xml:space="preserve">capacity investment scheme agreement </w:t>
      </w:r>
      <w:r w:rsidRPr="00B61725">
        <w:t>other than this agreement.</w:t>
      </w:r>
    </w:p>
    <w:p w14:paraId="0A3D19BF" w14:textId="77777777" w:rsidR="00042AD5" w:rsidRDefault="2BC382E4" w:rsidP="0058045D">
      <w:pPr>
        <w:pStyle w:val="Heading7"/>
        <w:numPr>
          <w:ilvl w:val="6"/>
          <w:numId w:val="0"/>
        </w:numPr>
        <w:ind w:left="737"/>
      </w:pPr>
      <w:r w:rsidRPr="2BC382E4">
        <w:rPr>
          <w:b/>
          <w:bCs/>
        </w:rPr>
        <w:t xml:space="preserve">Other CISA Counterparty </w:t>
      </w:r>
      <w:r>
        <w:t xml:space="preserve">means, in respect of an Other CISA, the Commonwealth’s counterparty under that Other CISA. </w:t>
      </w:r>
    </w:p>
    <w:p w14:paraId="65117AD1" w14:textId="41E2634E" w:rsidR="00B10277" w:rsidRDefault="2BC382E4" w:rsidP="0058045D">
      <w:pPr>
        <w:pStyle w:val="Heading7"/>
        <w:numPr>
          <w:ilvl w:val="6"/>
          <w:numId w:val="0"/>
        </w:numPr>
        <w:ind w:left="737"/>
      </w:pPr>
      <w:r w:rsidRPr="2BC382E4">
        <w:rPr>
          <w:b/>
          <w:bCs/>
        </w:rPr>
        <w:t xml:space="preserve">Other Dispute </w:t>
      </w:r>
      <w:r>
        <w:t>means a Dispute between the Commonwealth and an Other CISA Counterparty under</w:t>
      </w:r>
      <w:r w:rsidR="00BA1240">
        <w:t xml:space="preserve"> or in respect of</w:t>
      </w:r>
      <w:r>
        <w:t xml:space="preserve"> an Other CISA. </w:t>
      </w:r>
    </w:p>
    <w:p w14:paraId="1AF1504E" w14:textId="5B52982E" w:rsidR="003104BA" w:rsidRDefault="003104BA" w:rsidP="0058045D">
      <w:pPr>
        <w:pStyle w:val="Heading7"/>
        <w:numPr>
          <w:ilvl w:val="6"/>
          <w:numId w:val="0"/>
        </w:numPr>
        <w:ind w:left="737"/>
      </w:pPr>
      <w:r>
        <w:rPr>
          <w:b/>
          <w:bCs/>
        </w:rPr>
        <w:t xml:space="preserve">Over-Contracted Arrangement </w:t>
      </w:r>
      <w:r>
        <w:t xml:space="preserve">has the meaning given in clause </w:t>
      </w:r>
      <w:r>
        <w:fldChar w:fldCharType="begin"/>
      </w:r>
      <w:r>
        <w:instrText xml:space="preserve"> REF _Ref168498875 \w \h </w:instrText>
      </w:r>
      <w:r>
        <w:fldChar w:fldCharType="separate"/>
      </w:r>
      <w:r w:rsidR="002E5C6A">
        <w:t>15.6(c)</w:t>
      </w:r>
      <w:r>
        <w:fldChar w:fldCharType="end"/>
      </w:r>
      <w:r>
        <w:t>.</w:t>
      </w:r>
    </w:p>
    <w:p w14:paraId="3E43B19A" w14:textId="56D7E0B7" w:rsidR="003104BA" w:rsidRDefault="003104BA" w:rsidP="0058045D">
      <w:pPr>
        <w:pStyle w:val="Heading7"/>
        <w:numPr>
          <w:ilvl w:val="6"/>
          <w:numId w:val="0"/>
        </w:numPr>
        <w:ind w:left="737"/>
      </w:pPr>
      <w:r>
        <w:rPr>
          <w:b/>
          <w:bCs/>
        </w:rPr>
        <w:t xml:space="preserve">Over-Contracted </w:t>
      </w:r>
      <w:r w:rsidR="006832D4">
        <w:rPr>
          <w:b/>
          <w:bCs/>
        </w:rPr>
        <w:t xml:space="preserve">Trading </w:t>
      </w:r>
      <w:r>
        <w:rPr>
          <w:b/>
          <w:bCs/>
        </w:rPr>
        <w:t xml:space="preserve">Intervals </w:t>
      </w:r>
      <w:r>
        <w:t xml:space="preserve">has the meaning given in clause </w:t>
      </w:r>
      <w:r>
        <w:fldChar w:fldCharType="begin"/>
      </w:r>
      <w:r>
        <w:instrText xml:space="preserve"> REF _Ref168503475 \w \h </w:instrText>
      </w:r>
      <w:r>
        <w:fldChar w:fldCharType="separate"/>
      </w:r>
      <w:r w:rsidR="002E5C6A">
        <w:t>15.6(d)</w:t>
      </w:r>
      <w:r>
        <w:fldChar w:fldCharType="end"/>
      </w:r>
      <w:r>
        <w:t>.</w:t>
      </w:r>
    </w:p>
    <w:p w14:paraId="6AA19A3C" w14:textId="01956E4F" w:rsidR="00C74E7A" w:rsidRDefault="00C74E7A" w:rsidP="0058045D">
      <w:pPr>
        <w:pStyle w:val="Heading7"/>
        <w:numPr>
          <w:ilvl w:val="6"/>
          <w:numId w:val="0"/>
        </w:numPr>
        <w:ind w:left="737"/>
        <w:rPr>
          <w:bCs/>
        </w:rPr>
      </w:pPr>
      <w:r w:rsidRPr="004209A6">
        <w:rPr>
          <w:b/>
          <w:bCs/>
        </w:rPr>
        <w:t>Peak</w:t>
      </w:r>
      <w:r>
        <w:rPr>
          <w:b/>
          <w:bCs/>
        </w:rPr>
        <w:t xml:space="preserve"> Capacity Credit</w:t>
      </w:r>
      <w:r>
        <w:t xml:space="preserve"> has the meaning given in the </w:t>
      </w:r>
      <w:r w:rsidR="004A1236">
        <w:t>ESM Rules</w:t>
      </w:r>
      <w:r>
        <w:t>.</w:t>
      </w:r>
    </w:p>
    <w:p w14:paraId="54A6E8BB" w14:textId="3403F806" w:rsidR="000D559F" w:rsidRPr="00BE4E79" w:rsidRDefault="000D559F" w:rsidP="0058045D">
      <w:pPr>
        <w:pStyle w:val="Heading7"/>
        <w:numPr>
          <w:ilvl w:val="0"/>
          <w:numId w:val="0"/>
        </w:numPr>
        <w:ind w:left="737"/>
      </w:pPr>
      <w:r>
        <w:rPr>
          <w:b/>
        </w:rPr>
        <w:t xml:space="preserve">Peak Period </w:t>
      </w:r>
      <w:r>
        <w:rPr>
          <w:bCs/>
        </w:rPr>
        <w:t xml:space="preserve">means </w:t>
      </w:r>
      <w:r>
        <w:t>the period from 1 December to 3</w:t>
      </w:r>
      <w:r w:rsidR="00042278">
        <w:t>1</w:t>
      </w:r>
      <w:r>
        <w:t xml:space="preserve"> March, as may be </w:t>
      </w:r>
      <w:r w:rsidRPr="00BE4E79">
        <w:t xml:space="preserve">adjusted in accordance with clause </w:t>
      </w:r>
      <w:r w:rsidR="00DD6B8B" w:rsidRPr="00BE4E79">
        <w:fldChar w:fldCharType="begin"/>
      </w:r>
      <w:r w:rsidR="00DD6B8B" w:rsidRPr="00BE4E79">
        <w:instrText xml:space="preserve"> REF _Ref103871650 \n \h </w:instrText>
      </w:r>
      <w:r w:rsidR="00BE4E79">
        <w:instrText xml:space="preserve"> \* MERGEFORMAT </w:instrText>
      </w:r>
      <w:r w:rsidR="00DD6B8B" w:rsidRPr="00BE4E79">
        <w:fldChar w:fldCharType="separate"/>
      </w:r>
      <w:r w:rsidR="002E5C6A">
        <w:t>8.10</w:t>
      </w:r>
      <w:r w:rsidR="00DD6B8B" w:rsidRPr="00BE4E79">
        <w:fldChar w:fldCharType="end"/>
      </w:r>
      <w:r w:rsidR="00DD6B8B" w:rsidRPr="00BE4E79">
        <w:t xml:space="preserve"> </w:t>
      </w:r>
      <w:r w:rsidRPr="00BE4E79">
        <w:t>(“</w:t>
      </w:r>
      <w:r w:rsidR="00DD6B8B" w:rsidRPr="00BE4E79">
        <w:fldChar w:fldCharType="begin"/>
      </w:r>
      <w:r w:rsidR="00DD6B8B" w:rsidRPr="00BE4E79">
        <w:instrText xml:space="preserve"> REF _Ref103871662 \h </w:instrText>
      </w:r>
      <w:r w:rsidR="00BE4E79">
        <w:instrText xml:space="preserve"> \* MERGEFORMAT </w:instrText>
      </w:r>
      <w:r w:rsidR="00DD6B8B" w:rsidRPr="00BE4E79">
        <w:fldChar w:fldCharType="separate"/>
      </w:r>
      <w:r w:rsidR="002E5C6A" w:rsidRPr="00847C21">
        <w:t>Adjustment to Peak Periods</w:t>
      </w:r>
      <w:r w:rsidR="00DD6B8B" w:rsidRPr="00BE4E79">
        <w:fldChar w:fldCharType="end"/>
      </w:r>
      <w:r w:rsidRPr="00BE4E79">
        <w:t>”).</w:t>
      </w:r>
    </w:p>
    <w:p w14:paraId="223B2E38" w14:textId="7523A906" w:rsidR="008D34AE" w:rsidRPr="00BE4E79" w:rsidRDefault="008D34AE" w:rsidP="0058045D">
      <w:pPr>
        <w:pStyle w:val="Heading7"/>
        <w:numPr>
          <w:ilvl w:val="0"/>
          <w:numId w:val="0"/>
        </w:numPr>
        <w:ind w:left="737"/>
        <w:rPr>
          <w:bCs/>
        </w:rPr>
      </w:pPr>
      <w:r w:rsidRPr="00BE4E79">
        <w:rPr>
          <w:b/>
        </w:rPr>
        <w:t xml:space="preserve">Performance Requirement </w:t>
      </w:r>
      <w:r w:rsidRPr="00BE4E79">
        <w:rPr>
          <w:bCs/>
        </w:rPr>
        <w:t xml:space="preserve">has the meaning given in </w:t>
      </w:r>
      <w:r w:rsidR="00BE4E79" w:rsidRPr="008E4A1B">
        <w:rPr>
          <w:bCs/>
        </w:rPr>
        <w:t xml:space="preserve">clause </w:t>
      </w:r>
      <w:r w:rsidR="00BE4E79" w:rsidRPr="008E4A1B">
        <w:rPr>
          <w:bCs/>
        </w:rPr>
        <w:fldChar w:fldCharType="begin"/>
      </w:r>
      <w:r w:rsidR="00BE4E79" w:rsidRPr="008E4A1B">
        <w:rPr>
          <w:bCs/>
        </w:rPr>
        <w:instrText xml:space="preserve"> REF _Ref170208222 \w \h </w:instrText>
      </w:r>
      <w:r w:rsidR="00BE4E79">
        <w:rPr>
          <w:bCs/>
        </w:rPr>
        <w:instrText xml:space="preserve"> \* MERGEFORMAT </w:instrText>
      </w:r>
      <w:r w:rsidR="00BE4E79" w:rsidRPr="008E4A1B">
        <w:rPr>
          <w:bCs/>
        </w:rPr>
      </w:r>
      <w:r w:rsidR="00BE4E79" w:rsidRPr="008E4A1B">
        <w:rPr>
          <w:bCs/>
        </w:rPr>
        <w:fldChar w:fldCharType="separate"/>
      </w:r>
      <w:r w:rsidR="002E5C6A">
        <w:rPr>
          <w:bCs/>
        </w:rPr>
        <w:t>8.2</w:t>
      </w:r>
      <w:r w:rsidR="00BE4E79" w:rsidRPr="008E4A1B">
        <w:rPr>
          <w:bCs/>
        </w:rPr>
        <w:fldChar w:fldCharType="end"/>
      </w:r>
      <w:r w:rsidR="00770177">
        <w:rPr>
          <w:bCs/>
        </w:rPr>
        <w:t xml:space="preserve"> (“</w:t>
      </w:r>
      <w:r w:rsidR="00770177">
        <w:rPr>
          <w:bCs/>
        </w:rPr>
        <w:fldChar w:fldCharType="begin"/>
      </w:r>
      <w:r w:rsidR="00770177">
        <w:rPr>
          <w:bCs/>
        </w:rPr>
        <w:instrText xml:space="preserve"> REF _Ref170208222 \h </w:instrText>
      </w:r>
      <w:r w:rsidR="00770177">
        <w:rPr>
          <w:bCs/>
        </w:rPr>
      </w:r>
      <w:r w:rsidR="00770177">
        <w:rPr>
          <w:bCs/>
        </w:rPr>
        <w:fldChar w:fldCharType="separate"/>
      </w:r>
      <w:r w:rsidR="002E5C6A" w:rsidRPr="00847C21">
        <w:t>Performance Requirement obligations</w:t>
      </w:r>
      <w:r w:rsidR="00770177">
        <w:rPr>
          <w:bCs/>
        </w:rPr>
        <w:fldChar w:fldCharType="end"/>
      </w:r>
      <w:r w:rsidR="00770177">
        <w:rPr>
          <w:bCs/>
        </w:rPr>
        <w:t>”)</w:t>
      </w:r>
      <w:r w:rsidR="009F407F">
        <w:rPr>
          <w:bCs/>
        </w:rPr>
        <w:t>.</w:t>
      </w:r>
    </w:p>
    <w:p w14:paraId="5368DD7B" w14:textId="656F7BD5" w:rsidR="00B67195" w:rsidRPr="00BE4E79" w:rsidRDefault="00B67195" w:rsidP="0058045D">
      <w:pPr>
        <w:pStyle w:val="Heading7"/>
        <w:numPr>
          <w:ilvl w:val="0"/>
          <w:numId w:val="0"/>
        </w:numPr>
        <w:ind w:left="737"/>
        <w:rPr>
          <w:bCs/>
        </w:rPr>
      </w:pPr>
      <w:r w:rsidRPr="00BE4E79">
        <w:rPr>
          <w:b/>
        </w:rPr>
        <w:t>Performance Requirements (Minimum)</w:t>
      </w:r>
      <w:r w:rsidR="00BE4E79" w:rsidRPr="00BE4E79">
        <w:rPr>
          <w:bCs/>
        </w:rPr>
        <w:t xml:space="preserve"> has the meaning given in clause</w:t>
      </w:r>
      <w:r w:rsidR="00E12809">
        <w:rPr>
          <w:bCs/>
        </w:rPr>
        <w:t xml:space="preserve"> </w:t>
      </w:r>
      <w:r w:rsidR="00E12809">
        <w:rPr>
          <w:bCs/>
        </w:rPr>
        <w:fldChar w:fldCharType="begin"/>
      </w:r>
      <w:r w:rsidR="00E12809">
        <w:rPr>
          <w:bCs/>
        </w:rPr>
        <w:instrText xml:space="preserve"> REF _Ref170125550 \w \h </w:instrText>
      </w:r>
      <w:r w:rsidR="00E12809">
        <w:rPr>
          <w:bCs/>
        </w:rPr>
      </w:r>
      <w:r w:rsidR="00E12809">
        <w:rPr>
          <w:bCs/>
        </w:rPr>
        <w:fldChar w:fldCharType="separate"/>
      </w:r>
      <w:r w:rsidR="002E5C6A">
        <w:rPr>
          <w:bCs/>
        </w:rPr>
        <w:t>8.4</w:t>
      </w:r>
      <w:r w:rsidR="00E12809">
        <w:rPr>
          <w:bCs/>
        </w:rPr>
        <w:fldChar w:fldCharType="end"/>
      </w:r>
      <w:r w:rsidR="00E12809">
        <w:rPr>
          <w:bCs/>
        </w:rPr>
        <w:t xml:space="preserve"> (“</w:t>
      </w:r>
      <w:r w:rsidR="00E12809">
        <w:rPr>
          <w:bCs/>
        </w:rPr>
        <w:fldChar w:fldCharType="begin"/>
      </w:r>
      <w:r w:rsidR="00E12809">
        <w:rPr>
          <w:bCs/>
        </w:rPr>
        <w:instrText xml:space="preserve"> REF _Ref170125550 \h </w:instrText>
      </w:r>
      <w:r w:rsidR="00E12809">
        <w:rPr>
          <w:bCs/>
        </w:rPr>
      </w:r>
      <w:r w:rsidR="00E12809">
        <w:rPr>
          <w:bCs/>
        </w:rPr>
        <w:fldChar w:fldCharType="separate"/>
      </w:r>
      <w:r w:rsidR="002E5C6A">
        <w:t>Performance Requirement failures</w:t>
      </w:r>
      <w:r w:rsidR="00E12809">
        <w:rPr>
          <w:bCs/>
        </w:rPr>
        <w:fldChar w:fldCharType="end"/>
      </w:r>
      <w:r w:rsidR="00E12809">
        <w:rPr>
          <w:bCs/>
        </w:rPr>
        <w:t>”)</w:t>
      </w:r>
      <w:r w:rsidR="00BE4E79" w:rsidRPr="00BE4E79">
        <w:rPr>
          <w:bCs/>
        </w:rPr>
        <w:t>.</w:t>
      </w:r>
    </w:p>
    <w:p w14:paraId="790587EE" w14:textId="77777777" w:rsidR="00BE77D6" w:rsidRPr="00BE77D6" w:rsidRDefault="00BE77D6" w:rsidP="00B5506F">
      <w:pPr>
        <w:keepNext/>
        <w:spacing w:after="240"/>
        <w:ind w:left="737"/>
        <w:outlineLvl w:val="7"/>
        <w:rPr>
          <w:szCs w:val="18"/>
        </w:rPr>
      </w:pPr>
      <w:r w:rsidRPr="00BE4E79">
        <w:rPr>
          <w:b/>
          <w:bCs/>
        </w:rPr>
        <w:t>Performance</w:t>
      </w:r>
      <w:r w:rsidRPr="00BE77D6">
        <w:rPr>
          <w:b/>
          <w:bCs/>
        </w:rPr>
        <w:t xml:space="preserve"> Security </w:t>
      </w:r>
      <w:r w:rsidRPr="00BE77D6">
        <w:t>means a</w:t>
      </w:r>
      <w:r w:rsidRPr="00BE77D6">
        <w:rPr>
          <w:b/>
          <w:bCs/>
        </w:rPr>
        <w:t xml:space="preserve"> </w:t>
      </w:r>
      <w:r w:rsidRPr="00BE77D6">
        <w:rPr>
          <w:szCs w:val="18"/>
        </w:rPr>
        <w:t>letter of credit or bank guarantee</w:t>
      </w:r>
      <w:r w:rsidR="00B555CD">
        <w:rPr>
          <w:szCs w:val="18"/>
        </w:rPr>
        <w:t xml:space="preserve"> that</w:t>
      </w:r>
      <w:r w:rsidRPr="00BE77D6">
        <w:rPr>
          <w:szCs w:val="18"/>
        </w:rPr>
        <w:t xml:space="preserve">: </w:t>
      </w:r>
    </w:p>
    <w:p w14:paraId="643CA3E7" w14:textId="77777777" w:rsidR="00BE77D6" w:rsidRPr="00BE77D6" w:rsidRDefault="00B555CD" w:rsidP="008F660B">
      <w:pPr>
        <w:pStyle w:val="Heading8"/>
        <w:numPr>
          <w:ilvl w:val="7"/>
          <w:numId w:val="70"/>
        </w:numPr>
        <w:tabs>
          <w:tab w:val="clear" w:pos="1474"/>
          <w:tab w:val="num" w:pos="968"/>
        </w:tabs>
      </w:pPr>
      <w:r>
        <w:t>has</w:t>
      </w:r>
      <w:r w:rsidR="00BE77D6" w:rsidRPr="00BE77D6">
        <w:t xml:space="preserve"> a face value of not less than the </w:t>
      </w:r>
      <w:r w:rsidR="00BE77D6">
        <w:t>Performance</w:t>
      </w:r>
      <w:r w:rsidR="00BE77D6" w:rsidRPr="00BE77D6">
        <w:t xml:space="preserve"> Security Amount;</w:t>
      </w:r>
    </w:p>
    <w:p w14:paraId="0568CB3C" w14:textId="77777777" w:rsidR="00BE77D6" w:rsidRPr="00BE77D6" w:rsidRDefault="00B555CD" w:rsidP="008F660B">
      <w:pPr>
        <w:numPr>
          <w:ilvl w:val="7"/>
          <w:numId w:val="62"/>
        </w:numPr>
        <w:tabs>
          <w:tab w:val="clear" w:pos="1474"/>
          <w:tab w:val="num" w:pos="968"/>
        </w:tabs>
        <w:spacing w:after="240"/>
        <w:outlineLvl w:val="7"/>
      </w:pPr>
      <w:r>
        <w:rPr>
          <w:szCs w:val="18"/>
        </w:rPr>
        <w:t xml:space="preserve">is </w:t>
      </w:r>
      <w:r w:rsidR="00BE77D6" w:rsidRPr="00BE77D6">
        <w:rPr>
          <w:szCs w:val="18"/>
        </w:rPr>
        <w:t xml:space="preserve">issued by </w:t>
      </w:r>
      <w:r w:rsidR="00BE77D6" w:rsidRPr="00BE77D6">
        <w:t>an</w:t>
      </w:r>
      <w:r w:rsidR="00BE77D6" w:rsidRPr="00BE77D6">
        <w:rPr>
          <w:szCs w:val="18"/>
        </w:rPr>
        <w:t xml:space="preserve"> Australian branch of an authorised deposit taking institution with an Acceptable Credit Rating; </w:t>
      </w:r>
    </w:p>
    <w:p w14:paraId="20496902" w14:textId="77777777" w:rsidR="0015619D" w:rsidRPr="00FC08A4" w:rsidRDefault="00BE77D6" w:rsidP="008F660B">
      <w:pPr>
        <w:numPr>
          <w:ilvl w:val="7"/>
          <w:numId w:val="62"/>
        </w:numPr>
        <w:tabs>
          <w:tab w:val="clear" w:pos="1474"/>
          <w:tab w:val="num" w:pos="968"/>
        </w:tabs>
        <w:spacing w:after="240"/>
        <w:outlineLvl w:val="7"/>
      </w:pPr>
      <w:r w:rsidRPr="00BE77D6">
        <w:rPr>
          <w:szCs w:val="18"/>
        </w:rPr>
        <w:t xml:space="preserve">can be drawn in Sydney; </w:t>
      </w:r>
    </w:p>
    <w:p w14:paraId="3B4E2BA6" w14:textId="4915F30A" w:rsidR="00BE77D6" w:rsidRPr="00D61425" w:rsidRDefault="0015619D" w:rsidP="008F660B">
      <w:pPr>
        <w:numPr>
          <w:ilvl w:val="7"/>
          <w:numId w:val="62"/>
        </w:numPr>
        <w:tabs>
          <w:tab w:val="clear" w:pos="1474"/>
          <w:tab w:val="num" w:pos="968"/>
        </w:tabs>
        <w:spacing w:after="240"/>
        <w:outlineLvl w:val="7"/>
      </w:pPr>
      <w:r>
        <w:t>names the Commonwealth as the beneficiary</w:t>
      </w:r>
      <w:r>
        <w:rPr>
          <w:szCs w:val="18"/>
        </w:rPr>
        <w:t xml:space="preserve">; </w:t>
      </w:r>
      <w:r w:rsidR="00BE77D6" w:rsidRPr="00BE77D6">
        <w:rPr>
          <w:szCs w:val="18"/>
        </w:rPr>
        <w:t>and</w:t>
      </w:r>
      <w:r w:rsidR="00D61425">
        <w:rPr>
          <w:szCs w:val="18"/>
        </w:rPr>
        <w:t xml:space="preserve"> </w:t>
      </w:r>
    </w:p>
    <w:p w14:paraId="313922AD" w14:textId="2E810ADD" w:rsidR="00D61425" w:rsidRDefault="00D61425" w:rsidP="008F660B">
      <w:pPr>
        <w:pStyle w:val="Heading8"/>
        <w:numPr>
          <w:ilvl w:val="7"/>
          <w:numId w:val="62"/>
        </w:numPr>
      </w:pPr>
      <w:r w:rsidRPr="00D61425">
        <w:t xml:space="preserve">is substantially in the form in </w:t>
      </w:r>
      <w:r>
        <w:fldChar w:fldCharType="begin"/>
      </w:r>
      <w:r>
        <w:instrText xml:space="preserve"> REF _Ref193817462 \r \h </w:instrText>
      </w:r>
      <w:r>
        <w:fldChar w:fldCharType="separate"/>
      </w:r>
      <w:r w:rsidR="002E5C6A">
        <w:t>Annexure B</w:t>
      </w:r>
      <w:r>
        <w:fldChar w:fldCharType="end"/>
      </w:r>
      <w:r>
        <w:t xml:space="preserve"> ("</w:t>
      </w:r>
      <w:r>
        <w:fldChar w:fldCharType="begin"/>
      </w:r>
      <w:r>
        <w:instrText xml:space="preserve"> REF _Ref193817462 \h </w:instrText>
      </w:r>
      <w:r>
        <w:fldChar w:fldCharType="separate"/>
      </w:r>
      <w:r w:rsidR="002E5C6A" w:rsidRPr="008129EB">
        <w:t xml:space="preserve">Form of </w:t>
      </w:r>
      <w:r w:rsidR="002E5C6A">
        <w:t>Performance Security</w:t>
      </w:r>
      <w:r>
        <w:fldChar w:fldCharType="end"/>
      </w:r>
      <w:r>
        <w:t xml:space="preserve">”) </w:t>
      </w:r>
      <w:r w:rsidRPr="00D61425">
        <w:t>or in such other form as may be agreed by the Commonwealth</w:t>
      </w:r>
      <w:r w:rsidR="00BC2BE9">
        <w:t xml:space="preserve"> </w:t>
      </w:r>
      <w:r w:rsidRPr="00D61425">
        <w:t>in writing.</w:t>
      </w:r>
    </w:p>
    <w:p w14:paraId="6BB68814" w14:textId="7E28DE26" w:rsidR="006832D4" w:rsidRDefault="006832D4" w:rsidP="008F660B">
      <w:pPr>
        <w:pStyle w:val="Heading7"/>
        <w:numPr>
          <w:ilvl w:val="6"/>
          <w:numId w:val="61"/>
        </w:numPr>
      </w:pPr>
      <w:r>
        <w:rPr>
          <w:b/>
          <w:bCs/>
        </w:rPr>
        <w:t xml:space="preserve">Performance Security Amount </w:t>
      </w:r>
      <w:r>
        <w:t xml:space="preserve">has the meaning given in item </w:t>
      </w:r>
      <w:r w:rsidR="000B5694">
        <w:fldChar w:fldCharType="begin"/>
      </w:r>
      <w:r w:rsidR="000B5694">
        <w:instrText xml:space="preserve"> REF _Ref172455455 \r \h </w:instrText>
      </w:r>
      <w:r w:rsidR="000B5694">
        <w:fldChar w:fldCharType="separate"/>
      </w:r>
      <w:r w:rsidR="002E5C6A">
        <w:t>28</w:t>
      </w:r>
      <w:r w:rsidR="000B5694">
        <w:fldChar w:fldCharType="end"/>
      </w:r>
      <w:r>
        <w:t xml:space="preserve"> of the Reference Details. </w:t>
      </w:r>
    </w:p>
    <w:p w14:paraId="56A0F3E2" w14:textId="3CAD52F6" w:rsidR="00B73B12" w:rsidRDefault="00707A6C" w:rsidP="00B5506F">
      <w:pPr>
        <w:pStyle w:val="Heading7"/>
        <w:keepNext/>
        <w:numPr>
          <w:ilvl w:val="0"/>
          <w:numId w:val="0"/>
        </w:numPr>
        <w:ind w:left="737"/>
      </w:pPr>
      <w:r>
        <w:rPr>
          <w:b/>
        </w:rPr>
        <w:t xml:space="preserve">Permitted Costs </w:t>
      </w:r>
      <w:r w:rsidR="00B73B12">
        <w:t xml:space="preserve">means, in respect of a period, the following direct costs and expenses reasonably and properly incurred by </w:t>
      </w:r>
      <w:r w:rsidR="00121873">
        <w:t xml:space="preserve">Project </w:t>
      </w:r>
      <w:r w:rsidR="00B73B12">
        <w:t>Operator on a cash flow basis in respect of the Project</w:t>
      </w:r>
      <w:r w:rsidR="006832D4">
        <w:t xml:space="preserve"> [and apportioned to the Project in accordance with the Apportionment Principles] </w:t>
      </w:r>
      <w:r w:rsidR="00B73B12">
        <w:t xml:space="preserve">in that period (without double counting): </w:t>
      </w:r>
      <w:r w:rsidR="006832D4">
        <w:t>[</w:t>
      </w:r>
      <w:r w:rsidR="006832D4">
        <w:rPr>
          <w:b/>
          <w:i/>
          <w:highlight w:val="lightGray"/>
        </w:rPr>
        <w:t>Note: bracketed wording to be included for all Hybrid Projects.</w:t>
      </w:r>
      <w:r w:rsidR="006832D4">
        <w:t>]</w:t>
      </w:r>
    </w:p>
    <w:p w14:paraId="5E8742C8" w14:textId="14BE70BD" w:rsidR="006832D4" w:rsidRDefault="00150836" w:rsidP="008F660B">
      <w:pPr>
        <w:pStyle w:val="Heading8"/>
        <w:numPr>
          <w:ilvl w:val="7"/>
          <w:numId w:val="85"/>
        </w:numPr>
      </w:pPr>
      <w:bookmarkStart w:id="140" w:name="_Ref206758372"/>
      <w:r>
        <w:t xml:space="preserve">subject to paragraph </w:t>
      </w:r>
      <w:r w:rsidR="00ED0D94">
        <w:fldChar w:fldCharType="begin"/>
      </w:r>
      <w:r w:rsidR="00ED0D94">
        <w:instrText xml:space="preserve"> REF _Ref206758425 \n \h </w:instrText>
      </w:r>
      <w:r w:rsidR="00ED0D94">
        <w:fldChar w:fldCharType="separate"/>
      </w:r>
      <w:r w:rsidR="002E5C6A">
        <w:t>(h)</w:t>
      </w:r>
      <w:r w:rsidR="00ED0D94">
        <w:fldChar w:fldCharType="end"/>
      </w:r>
      <w:r>
        <w:t xml:space="preserve">, </w:t>
      </w:r>
      <w:r w:rsidR="00B73B12">
        <w:t xml:space="preserve">the costs in relation to the import of electricity from the Network </w:t>
      </w:r>
      <w:r w:rsidR="00A3420F">
        <w:t xml:space="preserve">at the </w:t>
      </w:r>
      <w:r w:rsidR="006832D4">
        <w:t xml:space="preserve">Measurement </w:t>
      </w:r>
      <w:r w:rsidR="00A3420F">
        <w:t xml:space="preserve">Point </w:t>
      </w:r>
      <w:r w:rsidR="00BB3F9B">
        <w:t xml:space="preserve">for </w:t>
      </w:r>
      <w:r w:rsidR="00A3420F">
        <w:t xml:space="preserve">the Project at the prevailing </w:t>
      </w:r>
      <w:r w:rsidR="006832D4">
        <w:t xml:space="preserve">Final Reference Trading </w:t>
      </w:r>
      <w:r w:rsidR="00A3420F">
        <w:t>Price at the time of import</w:t>
      </w:r>
      <w:r w:rsidR="00C81802">
        <w:t xml:space="preserve"> (but only for a Trading Interval in respect of which the Final Reference Trading Price is equal to or in excess of $0/MWh)</w:t>
      </w:r>
      <w:r w:rsidR="000A21AF">
        <w:t>;</w:t>
      </w:r>
      <w:bookmarkEnd w:id="140"/>
    </w:p>
    <w:p w14:paraId="77B91019" w14:textId="72F60DCF" w:rsidR="00A3420F" w:rsidRDefault="006832D4" w:rsidP="008F660B">
      <w:pPr>
        <w:pStyle w:val="Heading7"/>
        <w:numPr>
          <w:ilvl w:val="0"/>
          <w:numId w:val="0"/>
        </w:numPr>
        <w:ind w:left="737"/>
      </w:pPr>
      <w:r>
        <w:t>[</w:t>
      </w:r>
      <w:r>
        <w:rPr>
          <w:b/>
          <w:bCs/>
          <w:i/>
          <w:iCs/>
          <w:highlight w:val="lightGray"/>
        </w:rPr>
        <w:t>Note: paragraph (a) above to be replaced with the version of paragraph (a) in square brackets below for a Hybrid Project.</w:t>
      </w:r>
      <w:r>
        <w:t>]</w:t>
      </w:r>
    </w:p>
    <w:p w14:paraId="11AB779C" w14:textId="05F2ED46" w:rsidR="001E79B6" w:rsidRDefault="001E79B6" w:rsidP="008E4A1B">
      <w:pPr>
        <w:pStyle w:val="Heading7"/>
        <w:ind w:left="1474" w:hanging="737"/>
      </w:pPr>
      <w:r>
        <w:t>[(a)</w:t>
      </w:r>
      <w:r>
        <w:tab/>
      </w:r>
      <w:r w:rsidR="00150836">
        <w:t xml:space="preserve">subject to paragraph </w:t>
      </w:r>
      <w:r w:rsidR="00ED0D94">
        <w:fldChar w:fldCharType="begin"/>
      </w:r>
      <w:r w:rsidR="00ED0D94">
        <w:instrText xml:space="preserve"> REF _Ref206758552 \n \h </w:instrText>
      </w:r>
      <w:r w:rsidR="00ED0D94">
        <w:fldChar w:fldCharType="separate"/>
      </w:r>
      <w:r w:rsidR="002E5C6A">
        <w:t>(h)</w:t>
      </w:r>
      <w:r w:rsidR="00ED0D94">
        <w:fldChar w:fldCharType="end"/>
      </w:r>
      <w:r w:rsidR="00150836">
        <w:t xml:space="preserve">, </w:t>
      </w:r>
      <w:r>
        <w:t>the costs in relation to the import of electricity:</w:t>
      </w:r>
    </w:p>
    <w:p w14:paraId="7A185E21" w14:textId="1B21F5A0" w:rsidR="001E79B6" w:rsidRDefault="000A21AF" w:rsidP="001E79B6">
      <w:pPr>
        <w:pStyle w:val="Heading9"/>
      </w:pPr>
      <w:r>
        <w:t xml:space="preserve">from the Network at the </w:t>
      </w:r>
      <w:r w:rsidR="006832D4">
        <w:t xml:space="preserve">Measurement </w:t>
      </w:r>
      <w:r>
        <w:t xml:space="preserve">Point </w:t>
      </w:r>
      <w:r w:rsidR="006832D4">
        <w:t xml:space="preserve">for the </w:t>
      </w:r>
      <w:r>
        <w:t xml:space="preserve">Project at the prevailing </w:t>
      </w:r>
      <w:r w:rsidR="006832D4">
        <w:t xml:space="preserve">Final Reference Trading </w:t>
      </w:r>
      <w:r>
        <w:t>Price at the time of import</w:t>
      </w:r>
      <w:r w:rsidR="003C1EFD">
        <w:t xml:space="preserve"> (but only for a Trading Interval in respect of which the </w:t>
      </w:r>
      <w:r w:rsidR="006832D4">
        <w:t>Final Reference Trading</w:t>
      </w:r>
      <w:r w:rsidR="006832D4" w:rsidDel="006832D4">
        <w:t xml:space="preserve"> </w:t>
      </w:r>
      <w:r w:rsidR="003C1EFD">
        <w:t xml:space="preserve">Price is </w:t>
      </w:r>
      <w:r w:rsidR="00DF753E">
        <w:t xml:space="preserve">equal to or in excess of </w:t>
      </w:r>
      <w:r w:rsidR="003C1EFD">
        <w:t>$0/MWh)</w:t>
      </w:r>
      <w:r>
        <w:t>;</w:t>
      </w:r>
    </w:p>
    <w:p w14:paraId="316877D9" w14:textId="1B8B05C5" w:rsidR="00BA1240" w:rsidRDefault="000A21AF" w:rsidP="00131021">
      <w:pPr>
        <w:pStyle w:val="Heading9"/>
      </w:pPr>
      <w:r>
        <w:t>directly from the Associated Project</w:t>
      </w:r>
      <w:r w:rsidR="00745E63">
        <w:t>, that cost will be deemed to be equal to</w:t>
      </w:r>
      <w:r>
        <w:t xml:space="preserve"> the </w:t>
      </w:r>
      <w:r w:rsidR="006832D4">
        <w:t>Final Reference Trading</w:t>
      </w:r>
      <w:r>
        <w:t xml:space="preserve"> Price </w:t>
      </w:r>
      <w:r w:rsidR="00AC5981">
        <w:t>(capped at LCOE)</w:t>
      </w:r>
      <w:r w:rsidR="00FB44E8">
        <w:t xml:space="preserve">, but only for a Trading Interval where the </w:t>
      </w:r>
      <w:r w:rsidR="006832D4">
        <w:t>Final Reference Trading</w:t>
      </w:r>
      <w:r w:rsidR="006832D4" w:rsidDel="006832D4">
        <w:t xml:space="preserve"> </w:t>
      </w:r>
      <w:r w:rsidR="00FB44E8">
        <w:t xml:space="preserve">Price is </w:t>
      </w:r>
      <w:r w:rsidR="005F087F">
        <w:t>equal to or in excess of</w:t>
      </w:r>
      <w:r w:rsidR="00FB44E8">
        <w:t xml:space="preserve"> $0/MWh,</w:t>
      </w:r>
      <w:r>
        <w:t xml:space="preserve"> multiplied by</w:t>
      </w:r>
      <w:r w:rsidR="00BA1240">
        <w:t>:</w:t>
      </w:r>
      <w:r>
        <w:t xml:space="preserve"> </w:t>
      </w:r>
    </w:p>
    <w:p w14:paraId="2B95F646" w14:textId="13DBF1F6" w:rsidR="00BA1240" w:rsidRDefault="00BA1240" w:rsidP="00BA1240">
      <w:pPr>
        <w:pStyle w:val="Heading9"/>
        <w:numPr>
          <w:ilvl w:val="0"/>
          <w:numId w:val="0"/>
        </w:numPr>
        <w:ind w:left="3176" w:hanging="737"/>
      </w:pPr>
      <w:r>
        <w:t>A.</w:t>
      </w:r>
      <w:r>
        <w:tab/>
      </w:r>
      <w:r w:rsidR="000A21AF">
        <w:t xml:space="preserve">1 </w:t>
      </w:r>
      <w:r>
        <w:t>– if</w:t>
      </w:r>
      <w:r w:rsidR="000A21AF">
        <w:t xml:space="preserve"> the Project is part of a DC coupled Hybrid Project</w:t>
      </w:r>
      <w:r>
        <w:t>;</w:t>
      </w:r>
      <w:r w:rsidR="000A21AF">
        <w:t xml:space="preserve"> or </w:t>
      </w:r>
    </w:p>
    <w:p w14:paraId="13E01C9D" w14:textId="2AA3B7D8" w:rsidR="000A21AF" w:rsidRDefault="00BA1240" w:rsidP="00BA1240">
      <w:pPr>
        <w:pStyle w:val="Heading9"/>
        <w:numPr>
          <w:ilvl w:val="0"/>
          <w:numId w:val="0"/>
        </w:numPr>
        <w:ind w:left="3176" w:hanging="737"/>
      </w:pPr>
      <w:r>
        <w:t>B.</w:t>
      </w:r>
      <w:r>
        <w:tab/>
      </w:r>
      <w:r w:rsidR="000A21AF">
        <w:t xml:space="preserve">0.98 </w:t>
      </w:r>
      <w:r>
        <w:t>– if</w:t>
      </w:r>
      <w:r w:rsidR="000A21AF">
        <w:t xml:space="preserve"> the Project is part of an AC coupled Hybrid Project;]</w:t>
      </w:r>
      <w:r w:rsidR="003C1EFD">
        <w:t>;</w:t>
      </w:r>
      <w:r w:rsidR="00D83D11">
        <w:t xml:space="preserve"> </w:t>
      </w:r>
    </w:p>
    <w:p w14:paraId="15F91753" w14:textId="72C379CA" w:rsidR="003C1EFD" w:rsidRDefault="00214AD1" w:rsidP="00214AD1">
      <w:pPr>
        <w:pStyle w:val="Heading9"/>
      </w:pPr>
      <w:r w:rsidRPr="00214AD1">
        <w:t>directly</w:t>
      </w:r>
      <w:r>
        <w:t xml:space="preserve"> from the Associated Project that </w:t>
      </w:r>
      <w:r w:rsidR="00745E63">
        <w:t>is</w:t>
      </w:r>
      <w:r>
        <w:t xml:space="preserve"> </w:t>
      </w:r>
      <w:r w:rsidR="00745E63">
        <w:t xml:space="preserve">Connection Constrained </w:t>
      </w:r>
      <w:r>
        <w:t>Energ</w:t>
      </w:r>
      <w:r w:rsidR="003C1EFD">
        <w:t>y</w:t>
      </w:r>
      <w:r>
        <w:t xml:space="preserve">, which </w:t>
      </w:r>
      <w:r w:rsidR="003C1EFD">
        <w:t>will</w:t>
      </w:r>
      <w:r>
        <w:t xml:space="preserve"> be valued at $0/MWh</w:t>
      </w:r>
      <w:r w:rsidR="003C1EFD">
        <w:t>; and</w:t>
      </w:r>
      <w:r w:rsidR="00C81802">
        <w:t>]</w:t>
      </w:r>
    </w:p>
    <w:p w14:paraId="17B679FF" w14:textId="77777777" w:rsidR="001E79B6" w:rsidRPr="001E79B6" w:rsidRDefault="001E79B6" w:rsidP="00131021">
      <w:pPr>
        <w:pStyle w:val="Heading7"/>
        <w:numPr>
          <w:ilvl w:val="0"/>
          <w:numId w:val="0"/>
        </w:numPr>
        <w:ind w:left="737"/>
      </w:pPr>
      <w:r w:rsidRPr="00FB7EB2">
        <w:t>[</w:t>
      </w:r>
      <w:r w:rsidRPr="00AD4EA6">
        <w:rPr>
          <w:b/>
          <w:bCs/>
          <w:i/>
          <w:iCs/>
          <w:highlight w:val="lightGray"/>
        </w:rPr>
        <w:t>Note: paragraph (a) to be replaced with the version of paragraph (a) in square brackets for a Hybrid Project.</w:t>
      </w:r>
      <w:r w:rsidRPr="00FB7EB2">
        <w:t>]</w:t>
      </w:r>
    </w:p>
    <w:p w14:paraId="4E72DFA3" w14:textId="3D3A2664" w:rsidR="00B73B12" w:rsidRDefault="00B73B12" w:rsidP="00560FD4">
      <w:pPr>
        <w:pStyle w:val="Heading8"/>
        <w:numPr>
          <w:ilvl w:val="7"/>
          <w:numId w:val="135"/>
        </w:numPr>
      </w:pPr>
      <w:bookmarkStart w:id="141" w:name="_Ref206758382"/>
      <w:r>
        <w:t>any costs incurred on arm’s length terms on account of Green Products required by Law (or required to avoid a shortfall charge imposed by Law) to be acquired or surrendered in respect of electricity</w:t>
      </w:r>
      <w:r w:rsidR="000A21AF">
        <w:t xml:space="preserve"> referred to in paragraph </w:t>
      </w:r>
      <w:r w:rsidR="00E54F27">
        <w:fldChar w:fldCharType="begin"/>
      </w:r>
      <w:r w:rsidR="00E54F27">
        <w:instrText xml:space="preserve"> REF _Ref206758372 \n \h </w:instrText>
      </w:r>
      <w:r w:rsidR="00E54F27">
        <w:fldChar w:fldCharType="separate"/>
      </w:r>
      <w:r w:rsidR="002E5C6A">
        <w:t>(a)</w:t>
      </w:r>
      <w:r w:rsidR="00E54F27">
        <w:fldChar w:fldCharType="end"/>
      </w:r>
      <w:r w:rsidR="000A21AF">
        <w:t xml:space="preserve"> above</w:t>
      </w:r>
      <w:r>
        <w:t>;</w:t>
      </w:r>
      <w:bookmarkEnd w:id="141"/>
    </w:p>
    <w:p w14:paraId="27FA4C4E" w14:textId="1163F98B" w:rsidR="00B73B12" w:rsidRDefault="006752FC" w:rsidP="00FB44E8">
      <w:pPr>
        <w:pStyle w:val="Heading8"/>
      </w:pPr>
      <w:r>
        <w:t xml:space="preserve">100% of </w:t>
      </w:r>
      <w:r w:rsidR="00B73B12">
        <w:t xml:space="preserve">the costs incurred by the </w:t>
      </w:r>
      <w:r w:rsidR="00461CD2">
        <w:t>[</w:t>
      </w:r>
      <w:r w:rsidR="006832D4">
        <w:t>Hybrid</w:t>
      </w:r>
      <w:r w:rsidR="00461CD2">
        <w:t>]</w:t>
      </w:r>
      <w:r w:rsidR="006832D4">
        <w:t xml:space="preserve"> Project</w:t>
      </w:r>
      <w:r w:rsidR="00EE5220">
        <w:t xml:space="preserve"> </w:t>
      </w:r>
      <w:r w:rsidR="00B73B12">
        <w:t xml:space="preserve">in respect of any </w:t>
      </w:r>
      <w:r w:rsidR="00043A15">
        <w:t>Essential System Services</w:t>
      </w:r>
      <w:r w:rsidR="00B73B12">
        <w:t xml:space="preserve">; </w:t>
      </w:r>
      <w:r w:rsidR="00461CD2" w:rsidRPr="00FB7EB2">
        <w:t>[</w:t>
      </w:r>
      <w:r w:rsidR="00461CD2" w:rsidRPr="004209A6">
        <w:rPr>
          <w:b/>
          <w:bCs/>
          <w:i/>
          <w:iCs/>
          <w:highlight w:val="lightGray"/>
        </w:rPr>
        <w:t xml:space="preserve">Note: for a Hybrid Project, reference to Project to be replaced with Hybrid Project, such that 100% of the revenues in respect of either (or both) the Project and </w:t>
      </w:r>
      <w:r w:rsidR="00BA1240">
        <w:rPr>
          <w:b/>
          <w:bCs/>
          <w:i/>
          <w:iCs/>
          <w:highlight w:val="lightGray"/>
        </w:rPr>
        <w:t xml:space="preserve">the </w:t>
      </w:r>
      <w:r w:rsidR="00461CD2" w:rsidRPr="004209A6">
        <w:rPr>
          <w:b/>
          <w:bCs/>
          <w:i/>
          <w:iCs/>
          <w:highlight w:val="lightGray"/>
        </w:rPr>
        <w:t>Associated Project are deemed to be revenues of the Project.</w:t>
      </w:r>
      <w:r w:rsidR="00461CD2" w:rsidRPr="00FB7EB2">
        <w:t>]</w:t>
      </w:r>
    </w:p>
    <w:p w14:paraId="484E08E1" w14:textId="1645361F" w:rsidR="00B73B12" w:rsidRDefault="00B73B12" w:rsidP="00FB44E8">
      <w:pPr>
        <w:pStyle w:val="Heading8"/>
      </w:pPr>
      <w:r>
        <w:t xml:space="preserve">any other amounts incurred by </w:t>
      </w:r>
      <w:r w:rsidR="00043A15">
        <w:t>Project</w:t>
      </w:r>
      <w:r>
        <w:t xml:space="preserve"> Operator under the </w:t>
      </w:r>
      <w:r w:rsidR="004A1236">
        <w:t>ESM Rules</w:t>
      </w:r>
      <w:r>
        <w:t xml:space="preserve"> in relation to the Project</w:t>
      </w:r>
      <w:r w:rsidR="00DA509D">
        <w:t>]</w:t>
      </w:r>
      <w:r w:rsidR="00D50CF5">
        <w:t>, apportioned in accordance with the Apportionment Principles</w:t>
      </w:r>
      <w:r w:rsidR="00863976">
        <w:t>)</w:t>
      </w:r>
      <w:r>
        <w:t>;</w:t>
      </w:r>
    </w:p>
    <w:p w14:paraId="74B77095" w14:textId="2BA5F062" w:rsidR="00B73B12" w:rsidRDefault="00B73B12" w:rsidP="00FB44E8">
      <w:pPr>
        <w:pStyle w:val="Heading8"/>
      </w:pPr>
      <w:r>
        <w:t>any payments under any</w:t>
      </w:r>
      <w:r w:rsidR="006832D4">
        <w:t xml:space="preserve"> Eligible</w:t>
      </w:r>
      <w:r>
        <w:t xml:space="preserve"> </w:t>
      </w:r>
      <w:r w:rsidR="008D32C7">
        <w:t>Bilateral Contract</w:t>
      </w:r>
      <w:r w:rsidR="006752FC">
        <w:t xml:space="preserve"> , apportioned in accordance with the Apportionment Principles)</w:t>
      </w:r>
      <w:r>
        <w:t>; and</w:t>
      </w:r>
    </w:p>
    <w:p w14:paraId="3C6703F5" w14:textId="0D5D97B4" w:rsidR="00B73B12" w:rsidRDefault="00B73B12" w:rsidP="00AF145F">
      <w:pPr>
        <w:pStyle w:val="Heading8"/>
        <w:keepNext/>
      </w:pPr>
      <w:r>
        <w:t xml:space="preserve">any other costs and expenses </w:t>
      </w:r>
      <w:r w:rsidR="00863976">
        <w:t xml:space="preserve">that </w:t>
      </w:r>
      <w:r w:rsidR="001A6A32">
        <w:t xml:space="preserve">Project </w:t>
      </w:r>
      <w:r>
        <w:t>Operator and the Commonwealth agree are Permitted Costs,</w:t>
      </w:r>
    </w:p>
    <w:p w14:paraId="0DFA62E7" w14:textId="77777777" w:rsidR="00B73B12" w:rsidRDefault="00B73B12" w:rsidP="00B5506F">
      <w:pPr>
        <w:pStyle w:val="Heading7"/>
        <w:keepNext/>
      </w:pPr>
      <w:r>
        <w:t>but excluding:</w:t>
      </w:r>
    </w:p>
    <w:p w14:paraId="59B0FC07" w14:textId="2C836D94" w:rsidR="00B73B12" w:rsidRDefault="00B73B12" w:rsidP="008F660B">
      <w:pPr>
        <w:pStyle w:val="Heading8"/>
        <w:numPr>
          <w:ilvl w:val="7"/>
          <w:numId w:val="118"/>
        </w:numPr>
      </w:pPr>
      <w:r>
        <w:t xml:space="preserve">operating costs (other than those listed in paragraph </w:t>
      </w:r>
      <w:r w:rsidR="00E54F27">
        <w:fldChar w:fldCharType="begin"/>
      </w:r>
      <w:r w:rsidR="00E54F27">
        <w:instrText xml:space="preserve"> REF _Ref206758372 \n \h </w:instrText>
      </w:r>
      <w:r w:rsidR="00ED0D94">
        <w:instrText xml:space="preserve"> \* MERGEFORMAT </w:instrText>
      </w:r>
      <w:r w:rsidR="00E54F27">
        <w:fldChar w:fldCharType="separate"/>
      </w:r>
      <w:r w:rsidR="004F0175">
        <w:t>(a)</w:t>
      </w:r>
      <w:r w:rsidR="00E54F27">
        <w:fldChar w:fldCharType="end"/>
      </w:r>
      <w:r>
        <w:t xml:space="preserve"> and </w:t>
      </w:r>
      <w:r w:rsidR="00E54F27">
        <w:fldChar w:fldCharType="begin"/>
      </w:r>
      <w:r w:rsidR="00E54F27">
        <w:instrText xml:space="preserve"> REF _Ref206758382 \n \h </w:instrText>
      </w:r>
      <w:r w:rsidR="00ED0D94">
        <w:instrText xml:space="preserve"> \* MERGEFORMAT </w:instrText>
      </w:r>
      <w:r w:rsidR="00E54F27">
        <w:fldChar w:fldCharType="separate"/>
      </w:r>
      <w:r w:rsidR="004F0175">
        <w:t>(b)</w:t>
      </w:r>
      <w:r w:rsidR="00E54F27">
        <w:fldChar w:fldCharType="end"/>
      </w:r>
      <w:r>
        <w:t xml:space="preserve"> above), maintenance costs and other capital costs;</w:t>
      </w:r>
    </w:p>
    <w:p w14:paraId="75C176A6" w14:textId="27E85FD3" w:rsidR="00150836" w:rsidRDefault="004812C9" w:rsidP="008F660B">
      <w:pPr>
        <w:pStyle w:val="Heading8"/>
        <w:keepNext/>
      </w:pPr>
      <w:bookmarkStart w:id="142" w:name="_Ref206758425"/>
      <w:bookmarkStart w:id="143" w:name="_Ref206758552"/>
      <w:r>
        <w:t xml:space="preserve">any costs incurred in relation to </w:t>
      </w:r>
      <w:r w:rsidR="006832D4">
        <w:t xml:space="preserve">Sent Out Generation </w:t>
      </w:r>
      <w:r w:rsidRPr="004812C9">
        <w:t>during a Negative Pricing Event</w:t>
      </w:r>
      <w:r>
        <w:t>;</w:t>
      </w:r>
      <w:bookmarkEnd w:id="142"/>
      <w:bookmarkEnd w:id="143"/>
    </w:p>
    <w:p w14:paraId="19F1C3E8" w14:textId="69BE72B1" w:rsidR="00BF4BD1" w:rsidRDefault="00BF4BD1" w:rsidP="008F660B">
      <w:pPr>
        <w:pStyle w:val="Heading8"/>
        <w:keepNext/>
      </w:pPr>
      <w:r>
        <w:t>any refund</w:t>
      </w:r>
      <w:r w:rsidR="000B228A">
        <w:t xml:space="preserve"> paid to AEMO in accordance with clause 4.</w:t>
      </w:r>
      <w:r w:rsidR="00DF2570">
        <w:t>2</w:t>
      </w:r>
      <w:r w:rsidR="000B228A">
        <w:t xml:space="preserve">6 of the </w:t>
      </w:r>
      <w:r w:rsidR="004A1236">
        <w:t>ESM Rules</w:t>
      </w:r>
      <w:r w:rsidR="000B228A">
        <w:t xml:space="preserve"> due to a failure by Project Operator to </w:t>
      </w:r>
      <w:r>
        <w:t xml:space="preserve">comply with its Reserve Capacity Obligations </w:t>
      </w:r>
      <w:r w:rsidR="000B228A">
        <w:t xml:space="preserve">(as defined in the </w:t>
      </w:r>
      <w:r w:rsidR="004A1236">
        <w:t>ESM Rules</w:t>
      </w:r>
      <w:r w:rsidR="000B228A">
        <w:t>) in respect of the Project;</w:t>
      </w:r>
      <w:r>
        <w:t xml:space="preserve"> </w:t>
      </w:r>
    </w:p>
    <w:p w14:paraId="6AF549A9" w14:textId="4A42E543" w:rsidR="0027263D" w:rsidRDefault="0027263D" w:rsidP="008F660B">
      <w:pPr>
        <w:pStyle w:val="Heading8"/>
        <w:keepNext/>
      </w:pPr>
      <w:r>
        <w:t>any costs, charges, tariffs or other amounts paid or incurred by Project Operator under or otherwise pursuant to the ETAC;</w:t>
      </w:r>
    </w:p>
    <w:p w14:paraId="5F17C2F1" w14:textId="4598624C" w:rsidR="00B73B12" w:rsidRDefault="00B73B12" w:rsidP="008F660B">
      <w:pPr>
        <w:pStyle w:val="Heading8"/>
        <w:keepNext/>
      </w:pPr>
      <w:r>
        <w:t xml:space="preserve">any </w:t>
      </w:r>
      <w:r w:rsidR="00576627">
        <w:t>t</w:t>
      </w:r>
      <w:r>
        <w:t xml:space="preserve">axes (and GST, in accordance with clause </w:t>
      </w:r>
      <w:r w:rsidR="00576627">
        <w:fldChar w:fldCharType="begin"/>
      </w:r>
      <w:r w:rsidR="00576627">
        <w:instrText xml:space="preserve"> REF _Ref170291897 \w \h </w:instrText>
      </w:r>
      <w:r w:rsidR="00E12809">
        <w:instrText xml:space="preserve"> \* MERGEFORMAT </w:instrText>
      </w:r>
      <w:r w:rsidR="00576627">
        <w:fldChar w:fldCharType="separate"/>
      </w:r>
      <w:r w:rsidR="002E5C6A">
        <w:t>18.5</w:t>
      </w:r>
      <w:r w:rsidR="00576627">
        <w:fldChar w:fldCharType="end"/>
      </w:r>
      <w:r w:rsidR="00863976">
        <w:t>)</w:t>
      </w:r>
      <w:r>
        <w:t xml:space="preserve">; </w:t>
      </w:r>
    </w:p>
    <w:p w14:paraId="2D9E7CC8" w14:textId="12B6248B" w:rsidR="00B73B12" w:rsidRDefault="00B73B12" w:rsidP="008F660B">
      <w:pPr>
        <w:pStyle w:val="Heading8"/>
        <w:keepNext/>
      </w:pPr>
      <w:r>
        <w:t xml:space="preserve">any fines or penalties (including fines or penalties under the </w:t>
      </w:r>
      <w:r w:rsidR="004A1236">
        <w:t>ESM Rules</w:t>
      </w:r>
      <w:r>
        <w:t xml:space="preserve">); </w:t>
      </w:r>
    </w:p>
    <w:p w14:paraId="3425C758" w14:textId="15C78829" w:rsidR="00B73B12" w:rsidRDefault="00B73B12" w:rsidP="008F660B">
      <w:pPr>
        <w:pStyle w:val="Heading8"/>
        <w:keepNext/>
      </w:pPr>
      <w:r>
        <w:t>any damages (including liquidated damages), warranty payments, payments related to non-performance</w:t>
      </w:r>
      <w:r w:rsidR="00AD100D">
        <w:t xml:space="preserve">, or </w:t>
      </w:r>
      <w:r w:rsidR="00841D6E">
        <w:t>payments related to the</w:t>
      </w:r>
      <w:r w:rsidR="00AD100D">
        <w:t xml:space="preserve"> non-delivery of Green Products </w:t>
      </w:r>
      <w:r w:rsidR="00AB7F84">
        <w:t>or</w:t>
      </w:r>
      <w:r w:rsidR="00AD100D">
        <w:t xml:space="preserve"> Peak Capacity Credits</w:t>
      </w:r>
      <w:r w:rsidR="00841D6E">
        <w:t xml:space="preserve"> other than those created by reference to the Project</w:t>
      </w:r>
      <w:r w:rsidR="00AD100D">
        <w:t>,</w:t>
      </w:r>
      <w:r>
        <w:t xml:space="preserve"> under a</w:t>
      </w:r>
      <w:r w:rsidR="00086A5B">
        <w:t xml:space="preserve"> Bilateral </w:t>
      </w:r>
      <w:r>
        <w:t>Contract; and</w:t>
      </w:r>
    </w:p>
    <w:p w14:paraId="285D47C6" w14:textId="267F6DA8" w:rsidR="00B73B12" w:rsidRDefault="00B73B12" w:rsidP="008F660B">
      <w:pPr>
        <w:pStyle w:val="Heading8"/>
        <w:keepNext/>
      </w:pPr>
      <w:r>
        <w:t xml:space="preserve">any interest, margin, guarantee or letter of credit fees, line fees, commitment fees, establishment fees, underwriting fees, discount, rent under finance leases or hire purchase or other one-off or recurrent payments in the nature of the foregoing (including gross-ups and recurrent increased cost or reduced yield indemnity payments) payable by </w:t>
      </w:r>
      <w:r w:rsidR="00086A5B">
        <w:t>Project</w:t>
      </w:r>
      <w:r>
        <w:t xml:space="preserve"> Operator in relation to any debt financing for the Project.</w:t>
      </w:r>
    </w:p>
    <w:p w14:paraId="1D973160" w14:textId="2C45293D" w:rsidR="008C72CB" w:rsidRDefault="008C72CB" w:rsidP="008C72CB">
      <w:pPr>
        <w:pStyle w:val="Heading7"/>
        <w:numPr>
          <w:ilvl w:val="0"/>
          <w:numId w:val="0"/>
        </w:numPr>
        <w:ind w:left="737"/>
        <w:rPr>
          <w:b/>
        </w:rPr>
      </w:pPr>
      <w:r w:rsidRPr="00010C7D">
        <w:rPr>
          <w:b/>
          <w:bCs/>
        </w:rPr>
        <w:t>Permitted</w:t>
      </w:r>
      <w:r>
        <w:rPr>
          <w:b/>
        </w:rPr>
        <w:t xml:space="preserve"> Intermediary Contract </w:t>
      </w:r>
      <w:r>
        <w:t xml:space="preserve">has the meaning given in </w:t>
      </w:r>
      <w:r w:rsidRPr="00054B7B">
        <w:rPr>
          <w:bCs/>
        </w:rPr>
        <w:t xml:space="preserve">clause </w:t>
      </w:r>
      <w:r>
        <w:rPr>
          <w:bCs/>
        </w:rPr>
        <w:fldChar w:fldCharType="begin"/>
      </w:r>
      <w:r>
        <w:rPr>
          <w:bCs/>
        </w:rPr>
        <w:instrText xml:space="preserve"> REF _Ref170478049 \w \h </w:instrText>
      </w:r>
      <w:r>
        <w:rPr>
          <w:bCs/>
        </w:rPr>
      </w:r>
      <w:r>
        <w:rPr>
          <w:bCs/>
        </w:rPr>
        <w:fldChar w:fldCharType="separate"/>
      </w:r>
      <w:r w:rsidR="002E5C6A">
        <w:rPr>
          <w:bCs/>
        </w:rPr>
        <w:t>8.6(b)</w:t>
      </w:r>
      <w:r>
        <w:rPr>
          <w:bCs/>
        </w:rPr>
        <w:fldChar w:fldCharType="end"/>
      </w:r>
      <w:r w:rsidRPr="00054B7B">
        <w:rPr>
          <w:bCs/>
        </w:rPr>
        <w:t xml:space="preserve"> (“</w:t>
      </w:r>
      <w:r w:rsidRPr="00054B7B">
        <w:rPr>
          <w:bCs/>
        </w:rPr>
        <w:fldChar w:fldCharType="begin"/>
      </w:r>
      <w:r w:rsidRPr="00054B7B">
        <w:rPr>
          <w:bCs/>
        </w:rPr>
        <w:instrText xml:space="preserve">  REF _Ref166143596 \h </w:instrText>
      </w:r>
      <w:r w:rsidRPr="00054B7B">
        <w:rPr>
          <w:bCs/>
        </w:rPr>
      </w:r>
      <w:r w:rsidRPr="00054B7B">
        <w:rPr>
          <w:bCs/>
        </w:rPr>
        <w:fldChar w:fldCharType="separate"/>
      </w:r>
      <w:r w:rsidR="002E5C6A">
        <w:t>Project Operator is a special purpose vehicle</w:t>
      </w:r>
      <w:r w:rsidRPr="00054B7B">
        <w:rPr>
          <w:bCs/>
        </w:rPr>
        <w:fldChar w:fldCharType="end"/>
      </w:r>
      <w:r w:rsidRPr="00054B7B">
        <w:rPr>
          <w:bCs/>
        </w:rPr>
        <w:t>”).</w:t>
      </w:r>
    </w:p>
    <w:p w14:paraId="4C4DFD6D" w14:textId="77777777" w:rsidR="008C72CB" w:rsidRDefault="008C72CB" w:rsidP="00B5506F">
      <w:pPr>
        <w:pStyle w:val="Heading7"/>
        <w:keepNext/>
        <w:numPr>
          <w:ilvl w:val="0"/>
          <w:numId w:val="0"/>
        </w:numPr>
        <w:ind w:left="737"/>
        <w:rPr>
          <w:bCs/>
        </w:rPr>
      </w:pPr>
      <w:r>
        <w:rPr>
          <w:b/>
        </w:rPr>
        <w:t xml:space="preserve">Permitted Intermediary Revenue </w:t>
      </w:r>
      <w:r w:rsidRPr="00131021">
        <w:rPr>
          <w:bCs/>
        </w:rPr>
        <w:t>means</w:t>
      </w:r>
      <w:r>
        <w:rPr>
          <w:bCs/>
        </w:rPr>
        <w:t>:</w:t>
      </w:r>
    </w:p>
    <w:p w14:paraId="6700185C" w14:textId="01E7F919" w:rsidR="008C72CB" w:rsidRPr="005F06C4" w:rsidRDefault="008C72CB" w:rsidP="008C72CB">
      <w:pPr>
        <w:pStyle w:val="Heading7"/>
        <w:ind w:left="1474" w:hanging="737"/>
        <w:rPr>
          <w:bCs/>
        </w:rPr>
      </w:pPr>
      <w:r>
        <w:t>(a)</w:t>
      </w:r>
      <w:r>
        <w:tab/>
        <w:t>Permitted RBC Intermediary Revenue as determined under clause</w:t>
      </w:r>
      <w:r w:rsidR="00863976">
        <w:t> </w:t>
      </w:r>
      <w:r>
        <w:fldChar w:fldCharType="begin"/>
      </w:r>
      <w:r>
        <w:instrText xml:space="preserve"> REF _Ref166770605 \w \h </w:instrText>
      </w:r>
      <w:r>
        <w:fldChar w:fldCharType="separate"/>
      </w:r>
      <w:r w:rsidR="002E5C6A">
        <w:t>8.6(c)(i)</w:t>
      </w:r>
      <w:r>
        <w:fldChar w:fldCharType="end"/>
      </w:r>
      <w:r>
        <w:t>, whe</w:t>
      </w:r>
      <w:r w:rsidR="00863976">
        <w:t>n</w:t>
      </w:r>
      <w:r>
        <w:t xml:space="preserve"> that clause applies; and</w:t>
      </w:r>
    </w:p>
    <w:p w14:paraId="09B3727E" w14:textId="002BB0EB" w:rsidR="008C72CB" w:rsidRDefault="008C72CB" w:rsidP="00131021">
      <w:pPr>
        <w:pStyle w:val="Heading7"/>
        <w:ind w:left="1474" w:hanging="737"/>
        <w:rPr>
          <w:bCs/>
        </w:rPr>
      </w:pPr>
      <w:r>
        <w:t>(b)</w:t>
      </w:r>
      <w:r>
        <w:tab/>
        <w:t>Permitted Other Intermediary Revenue as determined under clause</w:t>
      </w:r>
      <w:r w:rsidR="00863976">
        <w:t> </w:t>
      </w:r>
      <w:r>
        <w:fldChar w:fldCharType="begin"/>
      </w:r>
      <w:r>
        <w:instrText xml:space="preserve"> REF _Ref170478058 \w \h </w:instrText>
      </w:r>
      <w:r>
        <w:fldChar w:fldCharType="separate"/>
      </w:r>
      <w:r w:rsidR="002E5C6A">
        <w:t>8.6(c)(ii)</w:t>
      </w:r>
      <w:r>
        <w:fldChar w:fldCharType="end"/>
      </w:r>
      <w:r>
        <w:t>, whe</w:t>
      </w:r>
      <w:r w:rsidR="00863976">
        <w:t>n</w:t>
      </w:r>
      <w:r>
        <w:t xml:space="preserve"> that clause applies</w:t>
      </w:r>
      <w:r w:rsidRPr="00054B7B">
        <w:rPr>
          <w:bCs/>
        </w:rPr>
        <w:t>.</w:t>
      </w:r>
    </w:p>
    <w:p w14:paraId="4CE7B9D2" w14:textId="4B664A51" w:rsidR="006C468F" w:rsidRDefault="006C468F" w:rsidP="0058045D">
      <w:pPr>
        <w:pStyle w:val="Heading7"/>
        <w:numPr>
          <w:ilvl w:val="6"/>
          <w:numId w:val="0"/>
        </w:numPr>
        <w:ind w:left="737"/>
      </w:pPr>
      <w:r>
        <w:rPr>
          <w:b/>
          <w:bCs/>
        </w:rPr>
        <w:t xml:space="preserve">Permitted Other Intermediary Revenue </w:t>
      </w:r>
      <w:r>
        <w:t xml:space="preserve">has the meaning given in clause </w:t>
      </w:r>
      <w:r>
        <w:fldChar w:fldCharType="begin"/>
      </w:r>
      <w:r>
        <w:instrText xml:space="preserve"> REF _Ref179272158 \r \h </w:instrText>
      </w:r>
      <w:r>
        <w:fldChar w:fldCharType="separate"/>
      </w:r>
      <w:r w:rsidR="002E5C6A">
        <w:t>8.6(c)</w:t>
      </w:r>
      <w:r>
        <w:fldChar w:fldCharType="end"/>
      </w:r>
      <w:r>
        <w:t>.</w:t>
      </w:r>
    </w:p>
    <w:p w14:paraId="7FB5C558" w14:textId="15E78E2C" w:rsidR="006C468F" w:rsidRDefault="006C468F" w:rsidP="006C468F">
      <w:pPr>
        <w:pStyle w:val="Heading7"/>
        <w:numPr>
          <w:ilvl w:val="6"/>
          <w:numId w:val="0"/>
        </w:numPr>
        <w:ind w:left="737"/>
      </w:pPr>
      <w:r>
        <w:rPr>
          <w:b/>
          <w:bCs/>
        </w:rPr>
        <w:t xml:space="preserve">Permitted RBC Intermediary Revenue </w:t>
      </w:r>
      <w:r>
        <w:t xml:space="preserve">has the meaning given in clause </w:t>
      </w:r>
      <w:r>
        <w:fldChar w:fldCharType="begin"/>
      </w:r>
      <w:r>
        <w:instrText xml:space="preserve"> REF _Ref179272158 \r \h </w:instrText>
      </w:r>
      <w:r>
        <w:fldChar w:fldCharType="separate"/>
      </w:r>
      <w:r w:rsidR="002E5C6A">
        <w:t>8.6(c)</w:t>
      </w:r>
      <w:r>
        <w:fldChar w:fldCharType="end"/>
      </w:r>
      <w:r>
        <w:t>.</w:t>
      </w:r>
    </w:p>
    <w:p w14:paraId="443C02EC" w14:textId="52C54AF4" w:rsidR="0046638F" w:rsidRDefault="0046638F" w:rsidP="0058045D">
      <w:pPr>
        <w:pStyle w:val="Heading7"/>
        <w:numPr>
          <w:ilvl w:val="6"/>
          <w:numId w:val="0"/>
        </w:numPr>
        <w:ind w:left="737"/>
      </w:pPr>
      <w:r w:rsidRPr="06AC912F">
        <w:rPr>
          <w:b/>
          <w:bCs/>
        </w:rPr>
        <w:t xml:space="preserve">Pooled Dispute </w:t>
      </w:r>
      <w:r w:rsidRPr="06AC912F">
        <w:t xml:space="preserve">has the meaning given in clause </w:t>
      </w:r>
      <w:r>
        <w:fldChar w:fldCharType="begin"/>
      </w:r>
      <w:r>
        <w:instrText xml:space="preserve"> REF _Ref167305914 \r \h </w:instrText>
      </w:r>
      <w:r>
        <w:rPr>
          <w:bCs/>
        </w:rPr>
        <w:fldChar w:fldCharType="separate"/>
      </w:r>
      <w:r w:rsidR="002E5C6A">
        <w:t>28.1</w:t>
      </w:r>
      <w:r>
        <w:fldChar w:fldCharType="end"/>
      </w:r>
      <w:r w:rsidRPr="00E87990">
        <w:rPr>
          <w:bCs/>
        </w:rPr>
        <w:t xml:space="preserve"> (“</w:t>
      </w:r>
      <w:r>
        <w:fldChar w:fldCharType="begin"/>
      </w:r>
      <w:r>
        <w:instrText xml:space="preserve"> REF _Ref167305914 \h </w:instrText>
      </w:r>
      <w:r>
        <w:rPr>
          <w:bCs/>
        </w:rPr>
        <w:fldChar w:fldCharType="separate"/>
      </w:r>
      <w:r w:rsidR="002E5C6A">
        <w:t>Referral of Pooled Disputes</w:t>
      </w:r>
      <w:r>
        <w:fldChar w:fldCharType="end"/>
      </w:r>
      <w:r w:rsidR="00E87990" w:rsidRPr="00E87990">
        <w:rPr>
          <w:bCs/>
        </w:rPr>
        <w:t>”)</w:t>
      </w:r>
      <w:r w:rsidR="00E87990" w:rsidRPr="00792B2E">
        <w:t>.</w:t>
      </w:r>
    </w:p>
    <w:p w14:paraId="4D48E596" w14:textId="2E0CC8B3" w:rsidR="0046638F" w:rsidRPr="0046638F" w:rsidRDefault="0046638F" w:rsidP="0058045D">
      <w:pPr>
        <w:pStyle w:val="Heading7"/>
        <w:numPr>
          <w:ilvl w:val="0"/>
          <w:numId w:val="0"/>
        </w:numPr>
        <w:ind w:left="737"/>
        <w:rPr>
          <w:bCs/>
        </w:rPr>
      </w:pPr>
      <w:r>
        <w:rPr>
          <w:b/>
        </w:rPr>
        <w:t xml:space="preserve">Pooled Dispute Panel </w:t>
      </w:r>
      <w:r>
        <w:rPr>
          <w:bCs/>
        </w:rPr>
        <w:t>means a panel constituted in accordance with clause</w:t>
      </w:r>
      <w:r w:rsidR="00E87990">
        <w:rPr>
          <w:bCs/>
        </w:rPr>
        <w:t> </w:t>
      </w:r>
      <w:r w:rsidR="00903158">
        <w:rPr>
          <w:bCs/>
        </w:rPr>
        <w:fldChar w:fldCharType="begin"/>
      </w:r>
      <w:r w:rsidR="00903158">
        <w:rPr>
          <w:bCs/>
        </w:rPr>
        <w:instrText xml:space="preserve"> REF _Ref205751320 \r \h </w:instrText>
      </w:r>
      <w:r w:rsidR="00903158">
        <w:rPr>
          <w:bCs/>
        </w:rPr>
      </w:r>
      <w:r w:rsidR="00903158">
        <w:rPr>
          <w:bCs/>
        </w:rPr>
        <w:fldChar w:fldCharType="separate"/>
      </w:r>
      <w:r w:rsidR="002E5C6A">
        <w:rPr>
          <w:bCs/>
        </w:rPr>
        <w:t>28.2(a)</w:t>
      </w:r>
      <w:r w:rsidR="00903158">
        <w:rPr>
          <w:bCs/>
        </w:rPr>
        <w:fldChar w:fldCharType="end"/>
      </w:r>
      <w:r>
        <w:rPr>
          <w:bCs/>
        </w:rPr>
        <w:t>.</w:t>
      </w:r>
    </w:p>
    <w:p w14:paraId="009C7AC5" w14:textId="77777777" w:rsidR="003A7E4D" w:rsidRDefault="2BC382E4" w:rsidP="0058045D">
      <w:pPr>
        <w:pStyle w:val="Heading7"/>
        <w:keepNext/>
        <w:numPr>
          <w:ilvl w:val="6"/>
          <w:numId w:val="0"/>
        </w:numPr>
        <w:ind w:left="737"/>
        <w:rPr>
          <w:bCs/>
        </w:rPr>
      </w:pPr>
      <w:r w:rsidRPr="2BC382E4">
        <w:rPr>
          <w:b/>
          <w:bCs/>
        </w:rPr>
        <w:t xml:space="preserve">Pooled Dispute Participant </w:t>
      </w:r>
      <w:r>
        <w:t>means, in respect of a Pooled Dispute:</w:t>
      </w:r>
    </w:p>
    <w:p w14:paraId="0E1E91CA" w14:textId="77777777" w:rsidR="003A7E4D" w:rsidRPr="00B10277" w:rsidRDefault="00BE77D6" w:rsidP="00467340">
      <w:pPr>
        <w:pStyle w:val="Heading8"/>
        <w:numPr>
          <w:ilvl w:val="7"/>
          <w:numId w:val="59"/>
        </w:numPr>
        <w:tabs>
          <w:tab w:val="clear" w:pos="1474"/>
          <w:tab w:val="num" w:pos="968"/>
        </w:tabs>
      </w:pPr>
      <w:r w:rsidRPr="00B10277">
        <w:t>the Commonwealth</w:t>
      </w:r>
      <w:r w:rsidR="003A7E4D" w:rsidRPr="00B10277">
        <w:t>;</w:t>
      </w:r>
    </w:p>
    <w:p w14:paraId="45CBAB08" w14:textId="77777777" w:rsidR="003A7E4D" w:rsidRDefault="2BC382E4" w:rsidP="0058045D">
      <w:pPr>
        <w:pStyle w:val="Heading8"/>
        <w:tabs>
          <w:tab w:val="clear" w:pos="1474"/>
          <w:tab w:val="num" w:pos="968"/>
        </w:tabs>
      </w:pPr>
      <w:r>
        <w:t>Project Operator; and</w:t>
      </w:r>
    </w:p>
    <w:p w14:paraId="316D1D2C" w14:textId="4D45C88D" w:rsidR="003A7E4D" w:rsidRDefault="2BC382E4" w:rsidP="0058045D">
      <w:pPr>
        <w:pStyle w:val="Heading8"/>
        <w:tabs>
          <w:tab w:val="clear" w:pos="1474"/>
          <w:tab w:val="num" w:pos="968"/>
        </w:tabs>
      </w:pPr>
      <w:r>
        <w:t xml:space="preserve">each Other CISA Counterparty that receives </w:t>
      </w:r>
      <w:r w:rsidR="00863976">
        <w:t xml:space="preserve">from the Commonwealth </w:t>
      </w:r>
      <w:r>
        <w:t>a Pooled Dispute Referral in respect of that Pooled Dispute,</w:t>
      </w:r>
    </w:p>
    <w:p w14:paraId="4204F940" w14:textId="25F89A9F" w:rsidR="00156B71" w:rsidRPr="00B61725" w:rsidRDefault="00156B71" w:rsidP="0058045D">
      <w:pPr>
        <w:pStyle w:val="Heading8"/>
        <w:numPr>
          <w:ilvl w:val="0"/>
          <w:numId w:val="0"/>
        </w:numPr>
        <w:ind w:left="737"/>
      </w:pPr>
      <w:r>
        <w:t>but</w:t>
      </w:r>
      <w:r w:rsidR="00863976">
        <w:t>,</w:t>
      </w:r>
      <w:r>
        <w:t xml:space="preserve"> notwithstanding the foregoing</w:t>
      </w:r>
      <w:r w:rsidR="00863976">
        <w:t>,</w:t>
      </w:r>
      <w:r>
        <w:t xml:space="preserve"> does not include any person that ceases to be a </w:t>
      </w:r>
      <w:r w:rsidRPr="00B61725">
        <w:t xml:space="preserve">Pooled Dispute Participant pursuant to clause </w:t>
      </w:r>
      <w:r w:rsidR="004A02FE" w:rsidRPr="00B61725">
        <w:fldChar w:fldCharType="begin"/>
      </w:r>
      <w:r w:rsidR="004A02FE" w:rsidRPr="00B61725">
        <w:instrText xml:space="preserve"> REF _Ref106271469 \r \h </w:instrText>
      </w:r>
      <w:r w:rsidR="00B61725">
        <w:instrText xml:space="preserve"> \* MERGEFORMAT </w:instrText>
      </w:r>
      <w:r w:rsidR="004A02FE" w:rsidRPr="00B61725">
        <w:fldChar w:fldCharType="separate"/>
      </w:r>
      <w:r w:rsidR="002E5C6A">
        <w:t>28.3</w:t>
      </w:r>
      <w:r w:rsidR="004A02FE" w:rsidRPr="00B61725">
        <w:fldChar w:fldCharType="end"/>
      </w:r>
      <w:r w:rsidRPr="00B61725">
        <w:t xml:space="preserve"> (“</w:t>
      </w:r>
      <w:r w:rsidRPr="00B61725">
        <w:fldChar w:fldCharType="begin"/>
      </w:r>
      <w:r w:rsidRPr="00B61725">
        <w:instrText xml:space="preserve"> REF _Ref106271469 \h </w:instrText>
      </w:r>
      <w:r w:rsidR="00B61725">
        <w:instrText xml:space="preserve"> \* MERGEFORMAT </w:instrText>
      </w:r>
      <w:r w:rsidRPr="00B61725">
        <w:fldChar w:fldCharType="separate"/>
      </w:r>
      <w:r w:rsidR="002E5C6A">
        <w:t>Bilateral resolution</w:t>
      </w:r>
      <w:r w:rsidRPr="00B61725">
        <w:fldChar w:fldCharType="end"/>
      </w:r>
      <w:r w:rsidRPr="00B61725">
        <w:t>”).</w:t>
      </w:r>
    </w:p>
    <w:p w14:paraId="53DAE50A" w14:textId="27CB76D8" w:rsidR="002D7F2F" w:rsidRPr="00B61725" w:rsidRDefault="002D7F2F" w:rsidP="00B5506F">
      <w:pPr>
        <w:pStyle w:val="Heading7"/>
        <w:numPr>
          <w:ilvl w:val="6"/>
          <w:numId w:val="0"/>
        </w:numPr>
        <w:ind w:left="737"/>
        <w:rPr>
          <w:bCs/>
        </w:rPr>
      </w:pPr>
      <w:r w:rsidRPr="00B61725">
        <w:rPr>
          <w:b/>
          <w:bCs/>
        </w:rPr>
        <w:t>Pool</w:t>
      </w:r>
      <w:r w:rsidR="00D4378E" w:rsidRPr="00B61725">
        <w:rPr>
          <w:b/>
          <w:bCs/>
        </w:rPr>
        <w:t>ed</w:t>
      </w:r>
      <w:r w:rsidRPr="00B61725">
        <w:rPr>
          <w:b/>
          <w:bCs/>
        </w:rPr>
        <w:t xml:space="preserve"> Dispute Referral </w:t>
      </w:r>
      <w:r w:rsidRPr="00B61725">
        <w:t xml:space="preserve">has the meaning given in </w:t>
      </w:r>
      <w:r w:rsidR="00E87990" w:rsidRPr="00B61725">
        <w:t xml:space="preserve">clause </w:t>
      </w:r>
      <w:r w:rsidR="00903158">
        <w:fldChar w:fldCharType="begin"/>
      </w:r>
      <w:r w:rsidR="00903158">
        <w:instrText xml:space="preserve"> REF _Ref205751348 \r \h </w:instrText>
      </w:r>
      <w:r w:rsidR="00903158">
        <w:fldChar w:fldCharType="separate"/>
      </w:r>
      <w:r w:rsidR="002E5C6A">
        <w:t>28.1(b)</w:t>
      </w:r>
      <w:r w:rsidR="00903158">
        <w:fldChar w:fldCharType="end"/>
      </w:r>
      <w:r w:rsidRPr="00B61725">
        <w:t>.</w:t>
      </w:r>
    </w:p>
    <w:p w14:paraId="0F9193D7" w14:textId="49117D7F" w:rsidR="0019711B" w:rsidRDefault="0019711B" w:rsidP="0058045D">
      <w:pPr>
        <w:pStyle w:val="Heading8"/>
        <w:numPr>
          <w:ilvl w:val="7"/>
          <w:numId w:val="0"/>
        </w:numPr>
        <w:ind w:left="737"/>
      </w:pPr>
      <w:r>
        <w:rPr>
          <w:b/>
          <w:bCs/>
        </w:rPr>
        <w:t xml:space="preserve">PR Cure Period </w:t>
      </w:r>
      <w:r>
        <w:t>has the meaning given in clause</w:t>
      </w:r>
      <w:r w:rsidR="00E12809">
        <w:t xml:space="preserve"> </w:t>
      </w:r>
      <w:r w:rsidR="00E12809">
        <w:fldChar w:fldCharType="begin"/>
      </w:r>
      <w:r w:rsidR="00E12809">
        <w:instrText xml:space="preserve"> REF _Ref170125550 \w \h </w:instrText>
      </w:r>
      <w:r w:rsidR="00E12809">
        <w:fldChar w:fldCharType="separate"/>
      </w:r>
      <w:r w:rsidR="002E5C6A">
        <w:t>8.4</w:t>
      </w:r>
      <w:r w:rsidR="00E12809">
        <w:fldChar w:fldCharType="end"/>
      </w:r>
      <w:r w:rsidR="00E12809">
        <w:t xml:space="preserve"> (“</w:t>
      </w:r>
      <w:r w:rsidR="00E12809">
        <w:fldChar w:fldCharType="begin"/>
      </w:r>
      <w:r w:rsidR="00E12809">
        <w:instrText xml:space="preserve"> REF _Ref170125550 \h </w:instrText>
      </w:r>
      <w:r w:rsidR="00E12809">
        <w:fldChar w:fldCharType="separate"/>
      </w:r>
      <w:r w:rsidR="002E5C6A">
        <w:t>Performance Requirement failures</w:t>
      </w:r>
      <w:r w:rsidR="00E12809">
        <w:fldChar w:fldCharType="end"/>
      </w:r>
      <w:r w:rsidR="00E12809">
        <w:t>”)</w:t>
      </w:r>
      <w:r>
        <w:t xml:space="preserve">. </w:t>
      </w:r>
    </w:p>
    <w:p w14:paraId="306C46E4" w14:textId="3DF19651" w:rsidR="003F4015" w:rsidRPr="003F4015" w:rsidRDefault="003F4015" w:rsidP="003F4015">
      <w:pPr>
        <w:pStyle w:val="Heading8"/>
        <w:numPr>
          <w:ilvl w:val="7"/>
          <w:numId w:val="0"/>
        </w:numPr>
        <w:ind w:left="737"/>
      </w:pPr>
      <w:r w:rsidRPr="00961F64">
        <w:rPr>
          <w:b/>
          <w:bCs/>
        </w:rPr>
        <w:t xml:space="preserve">Project </w:t>
      </w:r>
      <w:r w:rsidRPr="00961F64">
        <w:t xml:space="preserve">has the meaning given in item </w:t>
      </w:r>
      <w:r w:rsidRPr="00961F64">
        <w:fldChar w:fldCharType="begin"/>
      </w:r>
      <w:r w:rsidRPr="00961F64">
        <w:instrText xml:space="preserve"> REF _Ref172454605 \r \h </w:instrText>
      </w:r>
      <w:r w:rsidR="00D6422A" w:rsidRPr="00961F64">
        <w:instrText xml:space="preserve"> \* MERGEFORMAT </w:instrText>
      </w:r>
      <w:r w:rsidRPr="00961F64">
        <w:fldChar w:fldCharType="separate"/>
      </w:r>
      <w:r w:rsidR="002E5C6A">
        <w:t>1</w:t>
      </w:r>
      <w:r w:rsidRPr="00961F64">
        <w:fldChar w:fldCharType="end"/>
      </w:r>
      <w:r w:rsidRPr="00961F64">
        <w:t xml:space="preserve"> of the Reference Details.</w:t>
      </w:r>
      <w:r>
        <w:t xml:space="preserve"> </w:t>
      </w:r>
    </w:p>
    <w:p w14:paraId="07FE4F37" w14:textId="3508BCA1" w:rsidR="0043024D" w:rsidRPr="00B61725" w:rsidRDefault="2BC382E4" w:rsidP="00B5506F">
      <w:pPr>
        <w:pStyle w:val="Heading8"/>
        <w:keepNext/>
        <w:numPr>
          <w:ilvl w:val="7"/>
          <w:numId w:val="0"/>
        </w:numPr>
        <w:ind w:left="737"/>
      </w:pPr>
      <w:r w:rsidRPr="00B61725">
        <w:rPr>
          <w:b/>
          <w:bCs/>
        </w:rPr>
        <w:t>Project Documents</w:t>
      </w:r>
      <w:r w:rsidRPr="00B61725">
        <w:t xml:space="preserve"> means: </w:t>
      </w:r>
    </w:p>
    <w:p w14:paraId="4231A14F" w14:textId="77777777" w:rsidR="0043024D" w:rsidRPr="00B61725" w:rsidRDefault="0043024D" w:rsidP="00467340">
      <w:pPr>
        <w:pStyle w:val="Heading8"/>
        <w:numPr>
          <w:ilvl w:val="7"/>
          <w:numId w:val="58"/>
        </w:numPr>
        <w:tabs>
          <w:tab w:val="clear" w:pos="1474"/>
          <w:tab w:val="num" w:pos="968"/>
        </w:tabs>
      </w:pPr>
      <w:r w:rsidRPr="00B61725">
        <w:t xml:space="preserve">this agreement; </w:t>
      </w:r>
      <w:r w:rsidR="00D203C5" w:rsidRPr="00B61725">
        <w:t>and</w:t>
      </w:r>
    </w:p>
    <w:p w14:paraId="0506339D" w14:textId="77777777" w:rsidR="0043024D" w:rsidRPr="00B61725" w:rsidRDefault="003E6BE6" w:rsidP="0058045D">
      <w:pPr>
        <w:pStyle w:val="Heading8"/>
        <w:tabs>
          <w:tab w:val="clear" w:pos="1474"/>
          <w:tab w:val="num" w:pos="968"/>
        </w:tabs>
      </w:pPr>
      <w:r w:rsidRPr="00B61725">
        <w:t xml:space="preserve">if applicable, the </w:t>
      </w:r>
      <w:r w:rsidR="2BC382E4" w:rsidRPr="00792B2E">
        <w:t>T</w:t>
      </w:r>
      <w:r w:rsidRPr="00792B2E">
        <w:t xml:space="preserve">ripartite </w:t>
      </w:r>
      <w:r w:rsidR="2BC382E4" w:rsidRPr="00792B2E">
        <w:t>D</w:t>
      </w:r>
      <w:r w:rsidRPr="00792B2E">
        <w:t>eed</w:t>
      </w:r>
      <w:r w:rsidRPr="00B61725">
        <w:t xml:space="preserve">. </w:t>
      </w:r>
    </w:p>
    <w:p w14:paraId="59F6AE54" w14:textId="0853D206" w:rsidR="0071661E" w:rsidRPr="00B61725" w:rsidRDefault="0071661E" w:rsidP="0058045D">
      <w:pPr>
        <w:pStyle w:val="Heading7"/>
        <w:numPr>
          <w:ilvl w:val="0"/>
          <w:numId w:val="0"/>
        </w:numPr>
        <w:ind w:left="737"/>
        <w:rPr>
          <w:bCs/>
        </w:rPr>
      </w:pPr>
      <w:r w:rsidRPr="00B61725">
        <w:rPr>
          <w:b/>
        </w:rPr>
        <w:t>Project Force Majeure Event</w:t>
      </w:r>
      <w:r w:rsidR="00D03E39">
        <w:rPr>
          <w:b/>
        </w:rPr>
        <w:t xml:space="preserve"> </w:t>
      </w:r>
      <w:r w:rsidRPr="00B61725">
        <w:rPr>
          <w:bCs/>
        </w:rPr>
        <w:t xml:space="preserve">has the meaning given in clause </w:t>
      </w:r>
      <w:r w:rsidR="00903158">
        <w:rPr>
          <w:bCs/>
        </w:rPr>
        <w:fldChar w:fldCharType="begin"/>
      </w:r>
      <w:r w:rsidR="00903158">
        <w:rPr>
          <w:bCs/>
        </w:rPr>
        <w:instrText xml:space="preserve"> REF _Ref159334436 \r \h </w:instrText>
      </w:r>
      <w:r w:rsidR="00903158">
        <w:rPr>
          <w:bCs/>
        </w:rPr>
      </w:r>
      <w:r w:rsidR="00903158">
        <w:rPr>
          <w:bCs/>
        </w:rPr>
        <w:fldChar w:fldCharType="separate"/>
      </w:r>
      <w:r w:rsidR="002E5C6A">
        <w:rPr>
          <w:bCs/>
        </w:rPr>
        <w:t>19.1(a)</w:t>
      </w:r>
      <w:r w:rsidR="00903158">
        <w:rPr>
          <w:bCs/>
        </w:rPr>
        <w:fldChar w:fldCharType="end"/>
      </w:r>
      <w:r w:rsidRPr="00B61725">
        <w:rPr>
          <w:bCs/>
        </w:rPr>
        <w:t>.</w:t>
      </w:r>
    </w:p>
    <w:p w14:paraId="678AB15E" w14:textId="6449A50F" w:rsidR="003D072D" w:rsidRDefault="2BC382E4" w:rsidP="0058045D">
      <w:pPr>
        <w:pStyle w:val="Heading7"/>
        <w:numPr>
          <w:ilvl w:val="6"/>
          <w:numId w:val="0"/>
        </w:numPr>
        <w:ind w:left="737"/>
        <w:rPr>
          <w:bCs/>
        </w:rPr>
      </w:pPr>
      <w:r w:rsidRPr="2BC382E4">
        <w:rPr>
          <w:b/>
          <w:bCs/>
        </w:rPr>
        <w:t>Project Intellectual Property</w:t>
      </w:r>
      <w:r>
        <w:t xml:space="preserve"> means all Intellectual Property developed by or on behalf of Project Operator in the course of undertaking the Project</w:t>
      </w:r>
      <w:r w:rsidR="002F7041">
        <w:t xml:space="preserve"> [and the </w:t>
      </w:r>
      <w:r w:rsidR="00D61425">
        <w:t>[</w:t>
      </w:r>
      <w:r w:rsidR="002F7041">
        <w:t>Associated</w:t>
      </w:r>
      <w:r w:rsidR="00D61425">
        <w:t>/Existing]</w:t>
      </w:r>
      <w:r w:rsidR="002F7041">
        <w:t xml:space="preserve"> Project]</w:t>
      </w:r>
      <w:r>
        <w:t>, including all Intellectual Property in all reports, plans, documents, information, data and other material written, created or prepared by or on behalf of Project Operator in relation to the Project</w:t>
      </w:r>
      <w:r w:rsidR="002F7041">
        <w:t xml:space="preserve"> [or the </w:t>
      </w:r>
      <w:r w:rsidR="00D61425">
        <w:t>[</w:t>
      </w:r>
      <w:r w:rsidR="002F7041">
        <w:t>Associated</w:t>
      </w:r>
      <w:r w:rsidR="00D61425">
        <w:t>/Existing]</w:t>
      </w:r>
      <w:r w:rsidR="002F7041">
        <w:t xml:space="preserve"> Project]</w:t>
      </w:r>
      <w:r>
        <w:t>.</w:t>
      </w:r>
      <w:r w:rsidR="002F7041">
        <w:t xml:space="preserve"> [</w:t>
      </w:r>
      <w:r w:rsidR="002F7041" w:rsidRPr="004D3942">
        <w:rPr>
          <w:b/>
          <w:bCs/>
          <w:i/>
          <w:iCs/>
          <w:highlight w:val="lightGray"/>
        </w:rPr>
        <w:t xml:space="preserve">Note: </w:t>
      </w:r>
      <w:r w:rsidR="002F7041">
        <w:rPr>
          <w:b/>
          <w:bCs/>
          <w:i/>
          <w:iCs/>
          <w:highlight w:val="lightGray"/>
        </w:rPr>
        <w:t xml:space="preserve">words in square brackets to be included </w:t>
      </w:r>
      <w:r w:rsidR="002F7041" w:rsidRPr="004D3942">
        <w:rPr>
          <w:b/>
          <w:bCs/>
          <w:i/>
          <w:iCs/>
          <w:highlight w:val="lightGray"/>
        </w:rPr>
        <w:t>for all Hybrid Projects</w:t>
      </w:r>
      <w:r w:rsidR="00D61425">
        <w:rPr>
          <w:b/>
          <w:bCs/>
          <w:i/>
          <w:iCs/>
          <w:highlight w:val="lightGray"/>
        </w:rPr>
        <w:t xml:space="preserve"> and Staged Projects (as applicable)</w:t>
      </w:r>
      <w:r w:rsidR="002F7041" w:rsidRPr="004D3942">
        <w:rPr>
          <w:b/>
          <w:bCs/>
          <w:i/>
          <w:iCs/>
          <w:highlight w:val="lightGray"/>
        </w:rPr>
        <w:t>.</w:t>
      </w:r>
      <w:r w:rsidR="002F7041">
        <w:t>]</w:t>
      </w:r>
    </w:p>
    <w:p w14:paraId="4EC34FB8" w14:textId="0CD49F26" w:rsidR="00321917" w:rsidRDefault="00321917" w:rsidP="0058045D">
      <w:pPr>
        <w:pStyle w:val="Heading7"/>
        <w:numPr>
          <w:ilvl w:val="0"/>
          <w:numId w:val="0"/>
        </w:numPr>
        <w:ind w:left="737"/>
        <w:rPr>
          <w:bCs/>
        </w:rPr>
      </w:pPr>
      <w:r>
        <w:rPr>
          <w:b/>
        </w:rPr>
        <w:t xml:space="preserve">Proposed Reinstatement Plan </w:t>
      </w:r>
      <w:r>
        <w:rPr>
          <w:bCs/>
        </w:rPr>
        <w:t xml:space="preserve">has the meaning given in clause </w:t>
      </w:r>
      <w:r>
        <w:rPr>
          <w:bCs/>
        </w:rPr>
        <w:fldChar w:fldCharType="begin"/>
      </w:r>
      <w:r>
        <w:rPr>
          <w:bCs/>
        </w:rPr>
        <w:instrText xml:space="preserve"> REF _Ref104291930 \w \h </w:instrText>
      </w:r>
      <w:r>
        <w:rPr>
          <w:bCs/>
        </w:rPr>
      </w:r>
      <w:r>
        <w:rPr>
          <w:bCs/>
        </w:rPr>
        <w:fldChar w:fldCharType="separate"/>
      </w:r>
      <w:r w:rsidR="002E5C6A">
        <w:rPr>
          <w:bCs/>
        </w:rPr>
        <w:t>20.1(a)</w:t>
      </w:r>
      <w:r>
        <w:rPr>
          <w:bCs/>
        </w:rPr>
        <w:fldChar w:fldCharType="end"/>
      </w:r>
      <w:r>
        <w:rPr>
          <w:bCs/>
        </w:rPr>
        <w:t>.</w:t>
      </w:r>
    </w:p>
    <w:p w14:paraId="35D62740" w14:textId="77777777" w:rsidR="00425732" w:rsidRPr="00425732" w:rsidRDefault="00D07FD9" w:rsidP="00B5506F">
      <w:pPr>
        <w:pStyle w:val="Heading7"/>
        <w:keepNext/>
        <w:numPr>
          <w:ilvl w:val="0"/>
          <w:numId w:val="0"/>
        </w:numPr>
        <w:ind w:left="737"/>
        <w:rPr>
          <w:bCs/>
        </w:rPr>
      </w:pPr>
      <w:r>
        <w:rPr>
          <w:b/>
        </w:rPr>
        <w:t>Quarter</w:t>
      </w:r>
      <w:r w:rsidR="00425732">
        <w:rPr>
          <w:b/>
        </w:rPr>
        <w:t xml:space="preserve"> </w:t>
      </w:r>
      <w:r w:rsidR="00425732" w:rsidRPr="00425732">
        <w:rPr>
          <w:bCs/>
        </w:rPr>
        <w:t>means each consecutive three month period commencing on each Quarterly Date during the</w:t>
      </w:r>
      <w:r w:rsidR="00425732">
        <w:rPr>
          <w:bCs/>
        </w:rPr>
        <w:t xml:space="preserve"> Support Period</w:t>
      </w:r>
      <w:r w:rsidR="00425732" w:rsidRPr="00425732">
        <w:rPr>
          <w:bCs/>
        </w:rPr>
        <w:t xml:space="preserve"> save that:</w:t>
      </w:r>
    </w:p>
    <w:p w14:paraId="73ACA12E" w14:textId="4C924D0E" w:rsidR="00425732" w:rsidRPr="006C780B" w:rsidRDefault="00FF4490" w:rsidP="00560FD4">
      <w:pPr>
        <w:pStyle w:val="Heading8"/>
        <w:numPr>
          <w:ilvl w:val="7"/>
          <w:numId w:val="136"/>
        </w:numPr>
        <w:rPr>
          <w:szCs w:val="18"/>
        </w:rPr>
      </w:pPr>
      <w:bookmarkStart w:id="144" w:name="_Ref206691517"/>
      <w:r w:rsidRPr="006C780B">
        <w:rPr>
          <w:bCs/>
        </w:rPr>
        <w:tab/>
      </w:r>
      <w:bookmarkStart w:id="145" w:name="_Ref206757912"/>
      <w:r w:rsidR="00425732" w:rsidRPr="006C780B">
        <w:rPr>
          <w:szCs w:val="18"/>
        </w:rPr>
        <w:t xml:space="preserve">the first Quarter of the Support Period will be the period from the day </w:t>
      </w:r>
      <w:r w:rsidR="00863976" w:rsidRPr="006C780B">
        <w:rPr>
          <w:szCs w:val="18"/>
        </w:rPr>
        <w:t xml:space="preserve">of the </w:t>
      </w:r>
      <w:r w:rsidR="00425732" w:rsidRPr="006C780B">
        <w:rPr>
          <w:szCs w:val="18"/>
        </w:rPr>
        <w:t>Support Start Date to the da</w:t>
      </w:r>
      <w:r w:rsidR="00863976" w:rsidRPr="006C780B">
        <w:rPr>
          <w:szCs w:val="18"/>
        </w:rPr>
        <w:t>y</w:t>
      </w:r>
      <w:r w:rsidR="00425732" w:rsidRPr="006C780B">
        <w:rPr>
          <w:szCs w:val="18"/>
        </w:rPr>
        <w:t xml:space="preserve"> which is </w:t>
      </w:r>
      <w:r w:rsidR="00863976" w:rsidRPr="006C780B">
        <w:rPr>
          <w:szCs w:val="18"/>
        </w:rPr>
        <w:t xml:space="preserve">the </w:t>
      </w:r>
      <w:r w:rsidR="00425732" w:rsidRPr="006C780B">
        <w:rPr>
          <w:szCs w:val="18"/>
        </w:rPr>
        <w:t xml:space="preserve">day before the first </w:t>
      </w:r>
      <w:r w:rsidR="00770177" w:rsidRPr="006C780B">
        <w:rPr>
          <w:szCs w:val="18"/>
        </w:rPr>
        <w:t xml:space="preserve">applicable </w:t>
      </w:r>
      <w:r w:rsidR="00425732" w:rsidRPr="006C780B">
        <w:rPr>
          <w:szCs w:val="18"/>
        </w:rPr>
        <w:t>Quarterly Date during the Support Period; and</w:t>
      </w:r>
      <w:bookmarkEnd w:id="144"/>
      <w:bookmarkEnd w:id="145"/>
      <w:r w:rsidR="00425732" w:rsidRPr="006C780B">
        <w:rPr>
          <w:szCs w:val="18"/>
        </w:rPr>
        <w:t xml:space="preserve"> </w:t>
      </w:r>
    </w:p>
    <w:p w14:paraId="40B0673C" w14:textId="50BEA53C" w:rsidR="00425732" w:rsidRPr="00425732" w:rsidRDefault="00C73B05" w:rsidP="008F660B">
      <w:pPr>
        <w:pStyle w:val="Heading8"/>
        <w:numPr>
          <w:ilvl w:val="7"/>
          <w:numId w:val="50"/>
        </w:numPr>
        <w:tabs>
          <w:tab w:val="clear" w:pos="1474"/>
          <w:tab w:val="num" w:pos="968"/>
        </w:tabs>
        <w:rPr>
          <w:bCs/>
        </w:rPr>
      </w:pPr>
      <w:bookmarkStart w:id="146" w:name="_Ref206691539"/>
      <w:r w:rsidRPr="006220AC">
        <w:rPr>
          <w:szCs w:val="18"/>
        </w:rPr>
        <w:tab/>
      </w:r>
      <w:bookmarkStart w:id="147" w:name="_Ref206757920"/>
      <w:r w:rsidR="00425732" w:rsidRPr="006220AC">
        <w:rPr>
          <w:szCs w:val="18"/>
        </w:rPr>
        <w:t>the last Quarter during the Support Period will be the period from the last Quarterly</w:t>
      </w:r>
      <w:r w:rsidR="00425732" w:rsidRPr="00425732">
        <w:rPr>
          <w:bCs/>
        </w:rPr>
        <w:t xml:space="preserve"> Date to the </w:t>
      </w:r>
      <w:r w:rsidR="007D1658">
        <w:rPr>
          <w:bCs/>
        </w:rPr>
        <w:t>end of the Term</w:t>
      </w:r>
      <w:r w:rsidR="00425732" w:rsidRPr="00425732">
        <w:rPr>
          <w:bCs/>
        </w:rPr>
        <w:t>.</w:t>
      </w:r>
      <w:bookmarkEnd w:id="146"/>
      <w:bookmarkEnd w:id="147"/>
    </w:p>
    <w:p w14:paraId="4A7536A6" w14:textId="047DDC4E" w:rsidR="00425732" w:rsidRDefault="00425732" w:rsidP="00425732">
      <w:pPr>
        <w:pStyle w:val="Heading7"/>
        <w:numPr>
          <w:ilvl w:val="0"/>
          <w:numId w:val="0"/>
        </w:numPr>
        <w:ind w:left="737"/>
        <w:rPr>
          <w:bCs/>
        </w:rPr>
      </w:pPr>
      <w:r w:rsidRPr="008E4A1B">
        <w:rPr>
          <w:b/>
        </w:rPr>
        <w:t>Quarterly Date</w:t>
      </w:r>
      <w:r w:rsidRPr="00425732">
        <w:rPr>
          <w:bCs/>
        </w:rPr>
        <w:t xml:space="preserve"> means every 1 January, 1 April, 1 July and 1 October</w:t>
      </w:r>
      <w:r w:rsidR="00863976">
        <w:rPr>
          <w:bCs/>
        </w:rPr>
        <w:t xml:space="preserve"> during the Term</w:t>
      </w:r>
      <w:r w:rsidRPr="00425732">
        <w:rPr>
          <w:bCs/>
        </w:rPr>
        <w:t>.</w:t>
      </w:r>
    </w:p>
    <w:p w14:paraId="0DBE4D95" w14:textId="17C629D8" w:rsidR="00D77B1D" w:rsidRDefault="00D77B1D" w:rsidP="00D77B1D">
      <w:pPr>
        <w:pStyle w:val="Heading7"/>
        <w:numPr>
          <w:ilvl w:val="0"/>
          <w:numId w:val="0"/>
        </w:numPr>
        <w:ind w:left="737"/>
      </w:pPr>
      <w:r w:rsidRPr="00D77B1D">
        <w:rPr>
          <w:b/>
        </w:rPr>
        <w:t>Quarterly Payment</w:t>
      </w:r>
      <w:r w:rsidR="001A4634">
        <w:rPr>
          <w:b/>
        </w:rPr>
        <w:t xml:space="preserve"> Amount</w:t>
      </w:r>
      <w:r w:rsidRPr="00D77B1D">
        <w:rPr>
          <w:bCs/>
        </w:rPr>
        <w:t xml:space="preserve"> means the amount determined in </w:t>
      </w:r>
      <w:r w:rsidRPr="009542C4">
        <w:rPr>
          <w:bCs/>
        </w:rPr>
        <w:t xml:space="preserve">accordance with </w:t>
      </w:r>
      <w:r w:rsidR="00C94E99">
        <w:rPr>
          <w:bCs/>
        </w:rPr>
        <w:t>item</w:t>
      </w:r>
      <w:r w:rsidR="00C94E99" w:rsidRPr="008E4A1B">
        <w:rPr>
          <w:bCs/>
        </w:rPr>
        <w:t xml:space="preserve"> </w:t>
      </w:r>
      <w:r w:rsidR="00C94E99">
        <w:rPr>
          <w:bCs/>
        </w:rPr>
        <w:fldChar w:fldCharType="begin"/>
      </w:r>
      <w:r w:rsidR="00C94E99">
        <w:rPr>
          <w:bCs/>
        </w:rPr>
        <w:instrText xml:space="preserve"> REF _Ref201783757 \n \h </w:instrText>
      </w:r>
      <w:r w:rsidR="00C94E99">
        <w:rPr>
          <w:bCs/>
        </w:rPr>
      </w:r>
      <w:r w:rsidR="00C94E99">
        <w:rPr>
          <w:bCs/>
        </w:rPr>
        <w:fldChar w:fldCharType="separate"/>
      </w:r>
      <w:r w:rsidR="002E5C6A">
        <w:rPr>
          <w:bCs/>
        </w:rPr>
        <w:t>3.2</w:t>
      </w:r>
      <w:r w:rsidR="00C94E99">
        <w:rPr>
          <w:bCs/>
        </w:rPr>
        <w:fldChar w:fldCharType="end"/>
      </w:r>
      <w:r w:rsidRPr="008E4A1B">
        <w:t xml:space="preserve"> of</w:t>
      </w:r>
      <w:r w:rsidR="00EF6FF8">
        <w:t xml:space="preserve"> </w:t>
      </w:r>
      <w:r w:rsidR="00EF6FF8">
        <w:fldChar w:fldCharType="begin"/>
      </w:r>
      <w:r w:rsidR="00EF6FF8">
        <w:instrText xml:space="preserve"> REF _Ref_ContractCompanion_9kb9Ur3BH \w \n \h \* MERGEFORMAT </w:instrText>
      </w:r>
      <w:r w:rsidR="00EF6FF8">
        <w:fldChar w:fldCharType="separate"/>
      </w:r>
      <w:r w:rsidR="002E5C6A">
        <w:t>Schedule 1</w:t>
      </w:r>
      <w:r w:rsidR="00EF6FF8">
        <w:fldChar w:fldCharType="end"/>
      </w:r>
      <w:r w:rsidR="00E12809">
        <w:t xml:space="preserve"> (“</w:t>
      </w:r>
      <w:r w:rsidR="00E12809">
        <w:fldChar w:fldCharType="begin"/>
      </w:r>
      <w:r w:rsidR="00E12809">
        <w:instrText xml:space="preserve">  REF _Ref103257737 \h </w:instrText>
      </w:r>
      <w:r w:rsidR="00E12809">
        <w:fldChar w:fldCharType="separate"/>
      </w:r>
      <w:r w:rsidR="002E5C6A">
        <w:t>Support terms</w:t>
      </w:r>
      <w:r w:rsidR="00E12809">
        <w:fldChar w:fldCharType="end"/>
      </w:r>
      <w:r w:rsidR="00E12809">
        <w:t>”)</w:t>
      </w:r>
      <w:r w:rsidRPr="009542C4">
        <w:t>.</w:t>
      </w:r>
      <w:r w:rsidRPr="00DF002E">
        <w:t xml:space="preserve"> </w:t>
      </w:r>
    </w:p>
    <w:p w14:paraId="42313B87" w14:textId="23BEBD88" w:rsidR="006832D4" w:rsidRDefault="006832D4" w:rsidP="008F660B">
      <w:pPr>
        <w:pStyle w:val="Heading7"/>
        <w:numPr>
          <w:ilvl w:val="6"/>
          <w:numId w:val="61"/>
        </w:numPr>
        <w:rPr>
          <w:b/>
        </w:rPr>
      </w:pPr>
      <w:r>
        <w:rPr>
          <w:b/>
        </w:rPr>
        <w:t xml:space="preserve">Quarterly Revenue Ceiling </w:t>
      </w:r>
      <w:r>
        <w:t>has the meaning given in item</w:t>
      </w:r>
      <w:r w:rsidR="00977985">
        <w:t xml:space="preserve"> </w:t>
      </w:r>
      <w:r w:rsidR="00977985">
        <w:fldChar w:fldCharType="begin"/>
      </w:r>
      <w:r w:rsidR="00977985">
        <w:instrText xml:space="preserve"> REF _Ref199763897 \n \h </w:instrText>
      </w:r>
      <w:r w:rsidR="00977985">
        <w:fldChar w:fldCharType="separate"/>
      </w:r>
      <w:r w:rsidR="002E5C6A">
        <w:t>3.4</w:t>
      </w:r>
      <w:r w:rsidR="00977985">
        <w:fldChar w:fldCharType="end"/>
      </w:r>
      <w:r w:rsidR="00532FFE">
        <w:t xml:space="preserve"> </w:t>
      </w:r>
      <w:r w:rsidR="00977985">
        <w:fldChar w:fldCharType="begin"/>
      </w:r>
      <w:r w:rsidR="00977985">
        <w:instrText xml:space="preserve"> REF _Ref199763897 \r \h </w:instrText>
      </w:r>
      <w:r w:rsidR="00977985">
        <w:fldChar w:fldCharType="separate"/>
      </w:r>
      <w:r w:rsidR="002E5C6A">
        <w:t>Schedule 13.4</w:t>
      </w:r>
      <w:r w:rsidR="00977985">
        <w:fldChar w:fldCharType="end"/>
      </w:r>
      <w:r>
        <w:t xml:space="preserve"> of </w:t>
      </w:r>
      <w:r>
        <w:fldChar w:fldCharType="begin"/>
      </w:r>
      <w:r>
        <w:instrText xml:space="preserve"> REF _Ref103257737 \n \h  \* MERGEFORMAT </w:instrText>
      </w:r>
      <w:r>
        <w:fldChar w:fldCharType="separate"/>
      </w:r>
      <w:r w:rsidR="002E5C6A">
        <w:t>Schedule 1</w:t>
      </w:r>
      <w:r>
        <w:fldChar w:fldCharType="end"/>
      </w:r>
      <w:r>
        <w:t xml:space="preserve"> (“</w:t>
      </w:r>
      <w:r>
        <w:fldChar w:fldCharType="begin"/>
      </w:r>
      <w:r>
        <w:instrText xml:space="preserve"> REF _Ref103257737 \h  \* MERGEFORMAT </w:instrText>
      </w:r>
      <w:r>
        <w:fldChar w:fldCharType="separate"/>
      </w:r>
      <w:r w:rsidR="002E5C6A">
        <w:t>Support terms</w:t>
      </w:r>
      <w:r>
        <w:fldChar w:fldCharType="end"/>
      </w:r>
      <w:r>
        <w:t>”).</w:t>
      </w:r>
    </w:p>
    <w:p w14:paraId="75C57139" w14:textId="43670830" w:rsidR="006832D4" w:rsidRDefault="006832D4" w:rsidP="008F660B">
      <w:pPr>
        <w:pStyle w:val="Heading7"/>
        <w:numPr>
          <w:ilvl w:val="6"/>
          <w:numId w:val="61"/>
        </w:numPr>
        <w:rPr>
          <w:b/>
        </w:rPr>
      </w:pPr>
      <w:r>
        <w:rPr>
          <w:b/>
        </w:rPr>
        <w:t xml:space="preserve">Quarterly Revenue Floor </w:t>
      </w:r>
      <w:r>
        <w:t>has the meaning given in item</w:t>
      </w:r>
      <w:r w:rsidR="00977985">
        <w:t xml:space="preserve"> </w:t>
      </w:r>
      <w:r w:rsidR="00977985">
        <w:fldChar w:fldCharType="begin"/>
      </w:r>
      <w:r w:rsidR="00977985">
        <w:instrText xml:space="preserve"> REF _Ref199763889 \n \h </w:instrText>
      </w:r>
      <w:r w:rsidR="00977985">
        <w:fldChar w:fldCharType="separate"/>
      </w:r>
      <w:r w:rsidR="002E5C6A">
        <w:t>3.3</w:t>
      </w:r>
      <w:r w:rsidR="00977985">
        <w:fldChar w:fldCharType="end"/>
      </w:r>
      <w:r>
        <w:t xml:space="preserve"> of </w:t>
      </w:r>
      <w:r>
        <w:fldChar w:fldCharType="begin"/>
      </w:r>
      <w:r>
        <w:instrText xml:space="preserve"> REF _Ref103257737 \n \h  \* MERGEFORMAT </w:instrText>
      </w:r>
      <w:r>
        <w:fldChar w:fldCharType="separate"/>
      </w:r>
      <w:r w:rsidR="002E5C6A">
        <w:t>Schedule 1</w:t>
      </w:r>
      <w:r>
        <w:fldChar w:fldCharType="end"/>
      </w:r>
      <w:r>
        <w:t xml:space="preserve"> (“</w:t>
      </w:r>
      <w:r>
        <w:fldChar w:fldCharType="begin"/>
      </w:r>
      <w:r>
        <w:instrText xml:space="preserve"> REF _Ref103257737 \h  \* MERGEFORMAT </w:instrText>
      </w:r>
      <w:r>
        <w:fldChar w:fldCharType="separate"/>
      </w:r>
      <w:r w:rsidR="002E5C6A">
        <w:t>Support terms</w:t>
      </w:r>
      <w:r>
        <w:fldChar w:fldCharType="end"/>
      </w:r>
      <w:r>
        <w:t>”).</w:t>
      </w:r>
    </w:p>
    <w:p w14:paraId="58B30759" w14:textId="77777777" w:rsidR="002A224F" w:rsidRPr="002A224F" w:rsidRDefault="002A224F" w:rsidP="0058045D">
      <w:pPr>
        <w:pStyle w:val="Heading7"/>
        <w:numPr>
          <w:ilvl w:val="0"/>
          <w:numId w:val="0"/>
        </w:numPr>
        <w:ind w:left="737"/>
        <w:rPr>
          <w:bCs/>
        </w:rPr>
      </w:pPr>
      <w:r>
        <w:rPr>
          <w:b/>
        </w:rPr>
        <w:t xml:space="preserve">Rated Capacity </w:t>
      </w:r>
      <w:r>
        <w:rPr>
          <w:bCs/>
        </w:rPr>
        <w:t>means the actual instantaneous export capability of the Project from time to time.</w:t>
      </w:r>
    </w:p>
    <w:p w14:paraId="540F8700" w14:textId="5F72C09A" w:rsidR="00C65BC1" w:rsidRPr="0076796C" w:rsidRDefault="00C65BC1" w:rsidP="0058045D">
      <w:pPr>
        <w:pStyle w:val="Heading7"/>
        <w:numPr>
          <w:ilvl w:val="6"/>
          <w:numId w:val="0"/>
        </w:numPr>
        <w:ind w:left="737"/>
      </w:pPr>
      <w:r>
        <w:rPr>
          <w:b/>
          <w:bCs/>
        </w:rPr>
        <w:t xml:space="preserve">RBC Bilateral Contract </w:t>
      </w:r>
      <w:r>
        <w:t xml:space="preserve">has the meaning given in clause </w:t>
      </w:r>
      <w:r>
        <w:fldChar w:fldCharType="begin"/>
      </w:r>
      <w:r>
        <w:instrText xml:space="preserve"> REF _Ref179272578 \w \h </w:instrText>
      </w:r>
      <w:r>
        <w:fldChar w:fldCharType="separate"/>
      </w:r>
      <w:r w:rsidR="002E5C6A">
        <w:t>15.2(b)</w:t>
      </w:r>
      <w:r>
        <w:fldChar w:fldCharType="end"/>
      </w:r>
      <w:r>
        <w:t>.</w:t>
      </w:r>
    </w:p>
    <w:p w14:paraId="6138AFBB" w14:textId="37B16D80" w:rsidR="00007F05" w:rsidRPr="00007F05" w:rsidRDefault="00007F05" w:rsidP="0058045D">
      <w:pPr>
        <w:pStyle w:val="Heading7"/>
        <w:numPr>
          <w:ilvl w:val="6"/>
          <w:numId w:val="0"/>
        </w:numPr>
        <w:ind w:left="737"/>
      </w:pPr>
      <w:r w:rsidRPr="00A66D32">
        <w:rPr>
          <w:b/>
          <w:bCs/>
        </w:rPr>
        <w:t>RBC Intermediary Contract</w:t>
      </w:r>
      <w:r>
        <w:t xml:space="preserve"> has the meaning given in clause </w:t>
      </w:r>
      <w:r>
        <w:fldChar w:fldCharType="begin"/>
      </w:r>
      <w:r>
        <w:instrText xml:space="preserve"> REF _Ref166770605 \w \h </w:instrText>
      </w:r>
      <w:r>
        <w:fldChar w:fldCharType="separate"/>
      </w:r>
      <w:r w:rsidR="002E5C6A">
        <w:t>8.6(c)(i)</w:t>
      </w:r>
      <w:r>
        <w:fldChar w:fldCharType="end"/>
      </w:r>
      <w:r>
        <w:t>.</w:t>
      </w:r>
    </w:p>
    <w:p w14:paraId="56BA88E0" w14:textId="77777777" w:rsidR="00054B7B" w:rsidRDefault="2BC382E4" w:rsidP="0058045D">
      <w:pPr>
        <w:pStyle w:val="Heading7"/>
        <w:numPr>
          <w:ilvl w:val="6"/>
          <w:numId w:val="0"/>
        </w:numPr>
        <w:ind w:left="737"/>
      </w:pPr>
      <w:r w:rsidRPr="2BC382E4">
        <w:rPr>
          <w:b/>
          <w:bCs/>
        </w:rPr>
        <w:t>RE Act</w:t>
      </w:r>
      <w:r>
        <w:t xml:space="preserve"> means the </w:t>
      </w:r>
      <w:r w:rsidRPr="2BC382E4">
        <w:rPr>
          <w:i/>
          <w:iCs/>
        </w:rPr>
        <w:t>Renewable Energy (Electricity) Act 2000</w:t>
      </w:r>
      <w:r>
        <w:t xml:space="preserve"> (Cth). </w:t>
      </w:r>
    </w:p>
    <w:p w14:paraId="4D21E173" w14:textId="77777777" w:rsidR="006B6FF7" w:rsidRDefault="2BC382E4" w:rsidP="00B5506F">
      <w:pPr>
        <w:pStyle w:val="Heading7"/>
        <w:numPr>
          <w:ilvl w:val="6"/>
          <w:numId w:val="0"/>
        </w:numPr>
        <w:ind w:left="737"/>
      </w:pPr>
      <w:r w:rsidRPr="2BC382E4">
        <w:rPr>
          <w:b/>
          <w:bCs/>
        </w:rPr>
        <w:t xml:space="preserve">Reference Details </w:t>
      </w:r>
      <w:r>
        <w:t>means the section of this agreement headed “Reference Details”.</w:t>
      </w:r>
      <w:r w:rsidR="001F7419">
        <w:t xml:space="preserve"> </w:t>
      </w:r>
    </w:p>
    <w:p w14:paraId="27D2DE15" w14:textId="77777777" w:rsidR="002F68E6" w:rsidRDefault="2BC382E4" w:rsidP="0058045D">
      <w:pPr>
        <w:pStyle w:val="Heading7"/>
        <w:keepNext/>
        <w:numPr>
          <w:ilvl w:val="6"/>
          <w:numId w:val="0"/>
        </w:numPr>
        <w:ind w:left="737"/>
      </w:pPr>
      <w:r w:rsidRPr="2BC382E4">
        <w:rPr>
          <w:b/>
          <w:bCs/>
        </w:rPr>
        <w:t>Related Body Corporate</w:t>
      </w:r>
      <w:r>
        <w:t xml:space="preserve"> has the meaning given in the Corporations Act, but on the basis that: </w:t>
      </w:r>
    </w:p>
    <w:p w14:paraId="5F9E9548" w14:textId="77777777" w:rsidR="002F68E6" w:rsidRDefault="002F68E6" w:rsidP="00467340">
      <w:pPr>
        <w:pStyle w:val="Heading8"/>
        <w:numPr>
          <w:ilvl w:val="7"/>
          <w:numId w:val="46"/>
        </w:numPr>
        <w:tabs>
          <w:tab w:val="clear" w:pos="1474"/>
        </w:tabs>
      </w:pPr>
      <w:r>
        <w:t>‘subsidiary’ has the meaning given in this agreement; and</w:t>
      </w:r>
    </w:p>
    <w:p w14:paraId="61D1DA33" w14:textId="4E4DCE4C" w:rsidR="002F68E6" w:rsidRDefault="2BC382E4" w:rsidP="0058045D">
      <w:pPr>
        <w:pStyle w:val="Heading8"/>
        <w:tabs>
          <w:tab w:val="clear" w:pos="1474"/>
          <w:tab w:val="num" w:pos="968"/>
        </w:tabs>
      </w:pPr>
      <w:r>
        <w:t xml:space="preserve">a trust </w:t>
      </w:r>
      <w:r w:rsidR="00D61425">
        <w:t xml:space="preserve">(as represented by the trustee) </w:t>
      </w:r>
      <w:r>
        <w:t>may be a ‘related body corporate’ (for the purposes of which a unit or other beneficial interest may be regarded as a ‘share’).</w:t>
      </w:r>
    </w:p>
    <w:p w14:paraId="4AACB7B6" w14:textId="77777777" w:rsidR="00E0513A" w:rsidRDefault="2BC382E4" w:rsidP="00B5506F">
      <w:pPr>
        <w:pStyle w:val="Heading7"/>
        <w:keepNext/>
        <w:numPr>
          <w:ilvl w:val="6"/>
          <w:numId w:val="0"/>
        </w:numPr>
        <w:ind w:left="737"/>
      </w:pPr>
      <w:r w:rsidRPr="2BC382E4">
        <w:rPr>
          <w:b/>
          <w:bCs/>
        </w:rPr>
        <w:t>Relevant Cost Change</w:t>
      </w:r>
      <w:r>
        <w:t xml:space="preserve"> means a net increase or decrease in Project Operator’s direct costs of: </w:t>
      </w:r>
    </w:p>
    <w:p w14:paraId="5F108B25" w14:textId="77777777" w:rsidR="00E0513A" w:rsidRDefault="00E0513A" w:rsidP="008F660B">
      <w:pPr>
        <w:pStyle w:val="Heading8"/>
        <w:numPr>
          <w:ilvl w:val="7"/>
          <w:numId w:val="128"/>
        </w:numPr>
        <w:tabs>
          <w:tab w:val="clear" w:pos="1474"/>
          <w:tab w:val="num" w:pos="968"/>
        </w:tabs>
      </w:pPr>
      <w:r w:rsidRPr="008F660B">
        <w:rPr>
          <w:szCs w:val="18"/>
        </w:rPr>
        <w:t>constructing and commissioning the Project</w:t>
      </w:r>
      <w:r w:rsidR="0037397B" w:rsidRPr="008F660B">
        <w:rPr>
          <w:szCs w:val="18"/>
        </w:rPr>
        <w:t>;</w:t>
      </w:r>
      <w:r w:rsidR="000F15E5" w:rsidRPr="008F660B">
        <w:rPr>
          <w:szCs w:val="18"/>
        </w:rPr>
        <w:t xml:space="preserve"> </w:t>
      </w:r>
    </w:p>
    <w:p w14:paraId="18B6F5F7" w14:textId="647B6461" w:rsidR="001D773F" w:rsidRDefault="001D773F" w:rsidP="0058045D">
      <w:pPr>
        <w:pStyle w:val="Heading8"/>
        <w:tabs>
          <w:tab w:val="clear" w:pos="1474"/>
          <w:tab w:val="num" w:pos="968"/>
        </w:tabs>
      </w:pPr>
      <w:r>
        <w:t>operating and maintaining the Project; or</w:t>
      </w:r>
      <w:r w:rsidR="00824B2B">
        <w:t xml:space="preserve"> </w:t>
      </w:r>
    </w:p>
    <w:p w14:paraId="3E06D14F" w14:textId="77777777" w:rsidR="00620E17" w:rsidRDefault="008A3BAA" w:rsidP="0058045D">
      <w:pPr>
        <w:pStyle w:val="Heading8"/>
        <w:tabs>
          <w:tab w:val="clear" w:pos="1474"/>
          <w:tab w:val="num" w:pos="968"/>
        </w:tabs>
      </w:pPr>
      <w:r>
        <w:t xml:space="preserve">importing, </w:t>
      </w:r>
      <w:r w:rsidR="001D773F">
        <w:t xml:space="preserve">storing </w:t>
      </w:r>
      <w:r w:rsidR="2BC382E4">
        <w:t xml:space="preserve">and exporting electricity, </w:t>
      </w:r>
    </w:p>
    <w:p w14:paraId="10B58D80" w14:textId="33B6C514" w:rsidR="00D61425" w:rsidRDefault="2BC382E4" w:rsidP="00B5506F">
      <w:pPr>
        <w:pStyle w:val="Heading8"/>
        <w:keepNext/>
        <w:numPr>
          <w:ilvl w:val="7"/>
          <w:numId w:val="0"/>
        </w:numPr>
        <w:ind w:left="737"/>
      </w:pPr>
      <w:r>
        <w:t xml:space="preserve">that arises as a result of a Change in Law that </w:t>
      </w:r>
      <w:r w:rsidR="001246B3">
        <w:t xml:space="preserve">takes effect more than twelve (12) months </w:t>
      </w:r>
      <w:r>
        <w:t xml:space="preserve">after the </w:t>
      </w:r>
      <w:r w:rsidR="001246B3">
        <w:t xml:space="preserve">Signing </w:t>
      </w:r>
      <w:r>
        <w:t xml:space="preserve">Date, </w:t>
      </w:r>
      <w:r w:rsidR="006832D4">
        <w:t>but excluding costs in relation to:</w:t>
      </w:r>
    </w:p>
    <w:p w14:paraId="45C9E0DC" w14:textId="64408C9F" w:rsidR="001B5016" w:rsidRPr="001B5016" w:rsidRDefault="2BC382E4" w:rsidP="0058045D">
      <w:pPr>
        <w:pStyle w:val="Heading8"/>
        <w:tabs>
          <w:tab w:val="clear" w:pos="1474"/>
          <w:tab w:val="num" w:pos="968"/>
        </w:tabs>
      </w:pPr>
      <w:r>
        <w:t>existing or new “</w:t>
      </w:r>
      <w:r w:rsidR="00205617">
        <w:t>Market Fees</w:t>
      </w:r>
      <w:r>
        <w:t xml:space="preserve">” (as defined in the </w:t>
      </w:r>
      <w:r w:rsidR="004A1236">
        <w:t>ESM Rules</w:t>
      </w:r>
      <w:r>
        <w:t xml:space="preserve">); </w:t>
      </w:r>
    </w:p>
    <w:p w14:paraId="6CC4308F" w14:textId="77777777" w:rsidR="004D0696" w:rsidRDefault="2BC382E4" w:rsidP="0058045D">
      <w:pPr>
        <w:pStyle w:val="Heading8"/>
        <w:tabs>
          <w:tab w:val="clear" w:pos="1474"/>
          <w:tab w:val="num" w:pos="968"/>
        </w:tabs>
      </w:pPr>
      <w:r>
        <w:t xml:space="preserve">existing or new </w:t>
      </w:r>
      <w:r w:rsidR="00A96114">
        <w:t>Essential System Services</w:t>
      </w:r>
      <w:r>
        <w:t>;</w:t>
      </w:r>
    </w:p>
    <w:p w14:paraId="3D87D995" w14:textId="3E7BC499" w:rsidR="00A07DFA" w:rsidRDefault="009542C4" w:rsidP="0058045D">
      <w:pPr>
        <w:pStyle w:val="Heading8"/>
        <w:tabs>
          <w:tab w:val="clear" w:pos="1474"/>
          <w:tab w:val="num" w:pos="968"/>
        </w:tabs>
      </w:pPr>
      <w:r>
        <w:tab/>
      </w:r>
      <w:r w:rsidR="2BC382E4">
        <w:t>any other amounts payable by Project Operator under the</w:t>
      </w:r>
      <w:r w:rsidR="00A96114">
        <w:t xml:space="preserve"> </w:t>
      </w:r>
      <w:r w:rsidR="004A1236">
        <w:t>ESM Rules</w:t>
      </w:r>
      <w:r w:rsidR="2BC382E4">
        <w:t xml:space="preserve">; </w:t>
      </w:r>
    </w:p>
    <w:p w14:paraId="2287293D" w14:textId="5D8D6A82" w:rsidR="00D61425" w:rsidRDefault="00D61425" w:rsidP="00D315FD">
      <w:pPr>
        <w:pStyle w:val="Heading8"/>
        <w:tabs>
          <w:tab w:val="clear" w:pos="1474"/>
          <w:tab w:val="num" w:pos="968"/>
        </w:tabs>
      </w:pPr>
      <w:r>
        <w:t xml:space="preserve">any change in an Ineligible Tax; </w:t>
      </w:r>
    </w:p>
    <w:p w14:paraId="36E422E6" w14:textId="77777777" w:rsidR="00190AFA" w:rsidRDefault="006832D4" w:rsidP="008F660B">
      <w:pPr>
        <w:pStyle w:val="Heading8"/>
        <w:numPr>
          <w:ilvl w:val="7"/>
          <w:numId w:val="61"/>
        </w:numPr>
      </w:pPr>
      <w:r>
        <w:t xml:space="preserve">any Change in Law that implements a change in timeframes for settlement in the WEM, such that settlement under the ESM Rules is amended from 30 minutes; and </w:t>
      </w:r>
    </w:p>
    <w:p w14:paraId="69B9FA43" w14:textId="7EC3C186" w:rsidR="00190AFA" w:rsidRPr="00190AFA" w:rsidRDefault="00190AFA" w:rsidP="008F660B">
      <w:pPr>
        <w:pStyle w:val="Heading8"/>
        <w:numPr>
          <w:ilvl w:val="7"/>
          <w:numId w:val="61"/>
        </w:numPr>
      </w:pPr>
      <w:bookmarkStart w:id="148" w:name="_Ref206707050"/>
      <w:r w:rsidRPr="00190AFA">
        <w:t>[any costs arising from the [Associated/Existing] Project, including as apportioned to the [[Associated/Existing] Project] in accordance with the Apportionment Principles].</w:t>
      </w:r>
      <w:bookmarkEnd w:id="148"/>
      <w:r w:rsidRPr="00190AFA">
        <w:t xml:space="preserve"> </w:t>
      </w:r>
    </w:p>
    <w:p w14:paraId="132B2D5A" w14:textId="106107F1" w:rsidR="00D61425" w:rsidRPr="00DC7D4B" w:rsidRDefault="00D61425" w:rsidP="00B10E63">
      <w:pPr>
        <w:pStyle w:val="BodyIndent1"/>
        <w:spacing w:before="0" w:after="240"/>
        <w:rPr>
          <w:b/>
          <w:bCs/>
          <w:i/>
          <w:iCs/>
        </w:rPr>
      </w:pPr>
      <w:r w:rsidRPr="00520BC6">
        <w:t>[</w:t>
      </w:r>
      <w:r w:rsidRPr="00DC7D4B">
        <w:rPr>
          <w:b/>
          <w:bCs/>
          <w:i/>
          <w:iCs/>
          <w:highlight w:val="lightGray"/>
        </w:rPr>
        <w:t xml:space="preserve">Note: paragraph </w:t>
      </w:r>
      <w:r w:rsidR="00883C27">
        <w:rPr>
          <w:b/>
          <w:bCs/>
          <w:i/>
          <w:iCs/>
          <w:highlight w:val="lightGray"/>
        </w:rPr>
        <w:fldChar w:fldCharType="begin"/>
      </w:r>
      <w:r w:rsidR="00883C27">
        <w:rPr>
          <w:b/>
          <w:bCs/>
          <w:i/>
          <w:iCs/>
          <w:highlight w:val="lightGray"/>
        </w:rPr>
        <w:instrText xml:space="preserve"> REF _Ref206707050 \r \h </w:instrText>
      </w:r>
      <w:r w:rsidR="00883C27">
        <w:rPr>
          <w:b/>
          <w:bCs/>
          <w:i/>
          <w:iCs/>
          <w:highlight w:val="lightGray"/>
        </w:rPr>
      </w:r>
      <w:r w:rsidR="00883C27">
        <w:rPr>
          <w:b/>
          <w:bCs/>
          <w:i/>
          <w:iCs/>
          <w:highlight w:val="lightGray"/>
        </w:rPr>
        <w:fldChar w:fldCharType="separate"/>
      </w:r>
      <w:r w:rsidR="002E5C6A">
        <w:rPr>
          <w:b/>
          <w:bCs/>
          <w:i/>
          <w:iCs/>
          <w:highlight w:val="lightGray"/>
        </w:rPr>
        <w:t>(i)</w:t>
      </w:r>
      <w:r w:rsidR="00883C27">
        <w:rPr>
          <w:b/>
          <w:bCs/>
          <w:i/>
          <w:iCs/>
          <w:highlight w:val="lightGray"/>
        </w:rPr>
        <w:fldChar w:fldCharType="end"/>
      </w:r>
      <w:r w:rsidR="00883C27">
        <w:rPr>
          <w:b/>
          <w:bCs/>
          <w:i/>
          <w:iCs/>
          <w:highlight w:val="lightGray"/>
        </w:rPr>
        <w:t xml:space="preserve"> </w:t>
      </w:r>
      <w:r w:rsidRPr="00DC7D4B">
        <w:rPr>
          <w:b/>
          <w:bCs/>
          <w:i/>
          <w:iCs/>
          <w:highlight w:val="lightGray"/>
        </w:rPr>
        <w:t>is to be included for all Hybrid Projects</w:t>
      </w:r>
      <w:r>
        <w:rPr>
          <w:b/>
          <w:bCs/>
          <w:i/>
          <w:iCs/>
          <w:highlight w:val="lightGray"/>
        </w:rPr>
        <w:t xml:space="preserve"> and Staged Projects (as applicable)</w:t>
      </w:r>
      <w:r w:rsidRPr="00DC7D4B">
        <w:rPr>
          <w:b/>
          <w:bCs/>
          <w:i/>
          <w:iCs/>
          <w:highlight w:val="lightGray"/>
        </w:rPr>
        <w:t>.</w:t>
      </w:r>
      <w:r w:rsidRPr="00520BC6">
        <w:t>]</w:t>
      </w:r>
    </w:p>
    <w:p w14:paraId="2FDC48E8" w14:textId="00813B01" w:rsidR="00A81991" w:rsidRDefault="2BC382E4" w:rsidP="0058045D">
      <w:pPr>
        <w:pStyle w:val="Heading8"/>
        <w:numPr>
          <w:ilvl w:val="7"/>
          <w:numId w:val="0"/>
        </w:numPr>
        <w:ind w:left="737"/>
      </w:pPr>
      <w:r w:rsidRPr="2BC382E4">
        <w:rPr>
          <w:b/>
          <w:bCs/>
        </w:rPr>
        <w:t xml:space="preserve">Relevant Jurisdiction </w:t>
      </w:r>
      <w:r>
        <w:t xml:space="preserve">means </w:t>
      </w:r>
      <w:r w:rsidR="007A1341">
        <w:t>Western Australia</w:t>
      </w:r>
      <w:r>
        <w:t>.</w:t>
      </w:r>
    </w:p>
    <w:p w14:paraId="30E5C1C7" w14:textId="54A3F25D" w:rsidR="00B555CD" w:rsidRDefault="2BC382E4" w:rsidP="0058045D">
      <w:pPr>
        <w:pStyle w:val="Heading8"/>
        <w:numPr>
          <w:ilvl w:val="7"/>
          <w:numId w:val="0"/>
        </w:numPr>
        <w:ind w:left="737"/>
      </w:pPr>
      <w:r w:rsidRPr="2BC382E4">
        <w:rPr>
          <w:b/>
          <w:bCs/>
        </w:rPr>
        <w:t>Resolution Institute</w:t>
      </w:r>
      <w:r>
        <w:t xml:space="preserve"> means Resolution Institute (ACN 008 651 232).</w:t>
      </w:r>
    </w:p>
    <w:p w14:paraId="7947AC6E" w14:textId="77777777" w:rsidR="00D77B1D" w:rsidRPr="00D77B1D" w:rsidRDefault="00D77B1D" w:rsidP="00D77B1D">
      <w:pPr>
        <w:pStyle w:val="Heading7"/>
        <w:rPr>
          <w:bCs/>
        </w:rPr>
      </w:pPr>
      <w:r w:rsidRPr="007F483A">
        <w:rPr>
          <w:b/>
        </w:rPr>
        <w:t>Revenue Ceiling Sharing Percentage</w:t>
      </w:r>
      <w:r w:rsidRPr="00D77B1D">
        <w:rPr>
          <w:bCs/>
        </w:rPr>
        <w:t xml:space="preserve"> means 50%.</w:t>
      </w:r>
    </w:p>
    <w:p w14:paraId="4DAF008E" w14:textId="77777777" w:rsidR="00D77B1D" w:rsidRDefault="00D77B1D" w:rsidP="00D77B1D">
      <w:pPr>
        <w:pStyle w:val="Heading7"/>
        <w:rPr>
          <w:bCs/>
        </w:rPr>
      </w:pPr>
      <w:r w:rsidRPr="007F483A">
        <w:rPr>
          <w:b/>
        </w:rPr>
        <w:t>Revenue Floor Support Percentage</w:t>
      </w:r>
      <w:r w:rsidRPr="00D77B1D">
        <w:rPr>
          <w:bCs/>
        </w:rPr>
        <w:t xml:space="preserve"> means 90%. </w:t>
      </w:r>
    </w:p>
    <w:p w14:paraId="5C46FC39" w14:textId="7A28753C" w:rsidR="00D61425" w:rsidRDefault="00D61425" w:rsidP="00233DEF">
      <w:pPr>
        <w:pStyle w:val="BodyIndent1"/>
        <w:spacing w:before="0" w:after="240"/>
        <w:ind w:left="737"/>
      </w:pPr>
      <w:r w:rsidRPr="0073272B">
        <w:rPr>
          <w:b/>
          <w:bCs/>
        </w:rPr>
        <w:t>Revised Apportionment</w:t>
      </w:r>
      <w:r w:rsidRPr="00493B02">
        <w:t xml:space="preserve"> has the meaning given in clause </w:t>
      </w:r>
      <w:r w:rsidR="00233DEF">
        <w:fldChar w:fldCharType="begin"/>
      </w:r>
      <w:r w:rsidR="00233DEF">
        <w:instrText xml:space="preserve"> REF _Ref196386542 \w \h </w:instrText>
      </w:r>
      <w:r w:rsidR="00233DEF">
        <w:fldChar w:fldCharType="separate"/>
      </w:r>
      <w:r w:rsidR="002E5C6A">
        <w:t>15.7(b)</w:t>
      </w:r>
      <w:r w:rsidR="00233DEF">
        <w:fldChar w:fldCharType="end"/>
      </w:r>
      <w:r w:rsidRPr="00493B02">
        <w:t>.</w:t>
      </w:r>
    </w:p>
    <w:p w14:paraId="4DB52685" w14:textId="77777777" w:rsidR="00696003" w:rsidRDefault="2BC382E4" w:rsidP="006B12F2">
      <w:pPr>
        <w:pStyle w:val="Heading7"/>
        <w:keepNext/>
        <w:numPr>
          <w:ilvl w:val="6"/>
          <w:numId w:val="0"/>
        </w:numPr>
        <w:ind w:left="737"/>
      </w:pPr>
      <w:r w:rsidRPr="006B12F2">
        <w:rPr>
          <w:b/>
          <w:bCs/>
        </w:rPr>
        <w:t>Security Interest</w:t>
      </w:r>
      <w:r>
        <w:t xml:space="preserve"> means:</w:t>
      </w:r>
    </w:p>
    <w:p w14:paraId="39939B7A" w14:textId="0E25F941" w:rsidR="00696003" w:rsidRDefault="00696003" w:rsidP="00467340">
      <w:pPr>
        <w:pStyle w:val="Heading8"/>
        <w:numPr>
          <w:ilvl w:val="7"/>
          <w:numId w:val="49"/>
        </w:numPr>
        <w:tabs>
          <w:tab w:val="clear" w:pos="1474"/>
          <w:tab w:val="num" w:pos="968"/>
        </w:tabs>
      </w:pPr>
      <w:r>
        <w:t xml:space="preserve">any </w:t>
      </w:r>
      <w:r w:rsidRPr="00503E0B">
        <w:t>security for the payment of money or performance of obligations, including a mortgage, charge, lien, pledge, trust</w:t>
      </w:r>
      <w:r>
        <w:t>, power</w:t>
      </w:r>
      <w:r w:rsidRPr="00503E0B">
        <w:t xml:space="preserve"> or title retention or flawed deposit arrangement</w:t>
      </w:r>
      <w:r>
        <w:t xml:space="preserve"> </w:t>
      </w:r>
      <w:r w:rsidRPr="00E86E52">
        <w:t xml:space="preserve">and any </w:t>
      </w:r>
      <w:r>
        <w:t>“</w:t>
      </w:r>
      <w:r w:rsidRPr="00E86E52">
        <w:t>security interest</w:t>
      </w:r>
      <w:r>
        <w:t>”</w:t>
      </w:r>
      <w:r w:rsidRPr="00E86E52">
        <w:t xml:space="preserve"> as defined in sections 12(1) or (2) of the </w:t>
      </w:r>
      <w:r w:rsidR="00D915D4" w:rsidRPr="008F660B">
        <w:rPr>
          <w:i/>
          <w:iCs/>
        </w:rPr>
        <w:t>Person</w:t>
      </w:r>
      <w:r w:rsidR="00A97B24">
        <w:rPr>
          <w:i/>
          <w:iCs/>
        </w:rPr>
        <w:t>al</w:t>
      </w:r>
      <w:r w:rsidR="00D915D4" w:rsidRPr="008F660B">
        <w:rPr>
          <w:i/>
          <w:iCs/>
        </w:rPr>
        <w:t xml:space="preserve"> Property Securities Act 2009</w:t>
      </w:r>
      <w:r w:rsidR="00D915D4">
        <w:t xml:space="preserve"> (Cth)</w:t>
      </w:r>
      <w:r w:rsidR="006832D4">
        <w:t>;</w:t>
      </w:r>
      <w:r>
        <w:t xml:space="preserve"> or</w:t>
      </w:r>
    </w:p>
    <w:p w14:paraId="6EC06505" w14:textId="2780CB31" w:rsidR="00696003" w:rsidRDefault="00696003" w:rsidP="00467340">
      <w:pPr>
        <w:pStyle w:val="Heading8"/>
        <w:numPr>
          <w:ilvl w:val="7"/>
          <w:numId w:val="49"/>
        </w:numPr>
        <w:tabs>
          <w:tab w:val="clear" w:pos="1474"/>
          <w:tab w:val="num" w:pos="968"/>
        </w:tabs>
      </w:pPr>
      <w:r w:rsidRPr="00503E0B">
        <w:t>any agreement to create any of the</w:t>
      </w:r>
      <w:r>
        <w:t xml:space="preserve"> above</w:t>
      </w:r>
      <w:r w:rsidRPr="00503E0B">
        <w:t xml:space="preserve"> or </w:t>
      </w:r>
      <w:r w:rsidR="00863976">
        <w:t xml:space="preserve">to </w:t>
      </w:r>
      <w:r w:rsidRPr="00503E0B">
        <w:t>allow them to exist</w:t>
      </w:r>
      <w:r>
        <w:t>.</w:t>
      </w:r>
    </w:p>
    <w:p w14:paraId="316E417C" w14:textId="77777777" w:rsidR="001530B4" w:rsidRDefault="001530B4" w:rsidP="001530B4">
      <w:pPr>
        <w:pStyle w:val="Heading7"/>
      </w:pPr>
      <w:r>
        <w:rPr>
          <w:b/>
          <w:bCs/>
        </w:rPr>
        <w:t>Sent Out Generation</w:t>
      </w:r>
      <w:r>
        <w:t xml:space="preserve"> means the quantity of electricity (in MWh) recorded by the [Staged] Project metering equipment located at the Measurement Point(s) as having been exported. </w:t>
      </w:r>
      <w:r>
        <w:rPr>
          <w:highlight w:val="lightGray"/>
        </w:rPr>
        <w:t>[</w:t>
      </w:r>
      <w:r>
        <w:rPr>
          <w:b/>
          <w:i/>
          <w:highlight w:val="lightGray"/>
        </w:rPr>
        <w:t>Note: for Staged Projects, the bracketed wording should be included</w:t>
      </w:r>
      <w:r>
        <w:t xml:space="preserve">]. </w:t>
      </w:r>
    </w:p>
    <w:p w14:paraId="6DD30EF5" w14:textId="5F4D763B" w:rsidR="001530B4" w:rsidRDefault="001530B4" w:rsidP="001530B4">
      <w:pPr>
        <w:pStyle w:val="Heading7"/>
      </w:pPr>
      <w:r>
        <w:t>[</w:t>
      </w:r>
      <w:r>
        <w:rPr>
          <w:b/>
          <w:i/>
          <w:highlight w:val="lightGray"/>
        </w:rPr>
        <w:t>Note: for Hybrid Projects, the definition of “Sent Out Generation” is to be replaced with the definition below in square brackets, to ensure that the Support is provided based on a sub-meter that measures energy exported by the Project</w:t>
      </w:r>
      <w:r w:rsidR="00A670F0">
        <w:rPr>
          <w:b/>
          <w:i/>
        </w:rPr>
        <w:t>.</w:t>
      </w:r>
    </w:p>
    <w:p w14:paraId="3E096D1E" w14:textId="38E7D8E7" w:rsidR="001530B4" w:rsidRDefault="001530B4" w:rsidP="008F660B">
      <w:pPr>
        <w:pStyle w:val="Heading7"/>
      </w:pPr>
      <w:r>
        <w:t>[</w:t>
      </w:r>
      <w:r>
        <w:rPr>
          <w:b/>
          <w:bCs/>
        </w:rPr>
        <w:t>Sent Out Generation</w:t>
      </w:r>
      <w:r>
        <w:t xml:space="preserve"> means the amount of electricity exported by the</w:t>
      </w:r>
      <w:r w:rsidR="00A53D6B">
        <w:t xml:space="preserve"> </w:t>
      </w:r>
      <w:r>
        <w:t>Project at the location of, and as measured by, the meter identified as [</w:t>
      </w:r>
      <w:r>
        <w:rPr>
          <w:highlight w:val="yellow"/>
        </w:rPr>
        <w:t>insert</w:t>
      </w:r>
      <w:r>
        <w:t xml:space="preserve">] in the Metering Diagram.] </w:t>
      </w:r>
    </w:p>
    <w:p w14:paraId="16EED967" w14:textId="61D7EEEE" w:rsidR="00EB59A9" w:rsidRDefault="00B71076" w:rsidP="00E73902">
      <w:pPr>
        <w:pStyle w:val="Heading8"/>
        <w:numPr>
          <w:ilvl w:val="0"/>
          <w:numId w:val="0"/>
        </w:numPr>
        <w:spacing w:after="120"/>
        <w:ind w:left="737"/>
      </w:pPr>
      <w:r>
        <w:t>[</w:t>
      </w:r>
      <w:r>
        <w:rPr>
          <w:b/>
          <w:bCs/>
        </w:rPr>
        <w:t>Separately Certified Component</w:t>
      </w:r>
      <w:r>
        <w:t xml:space="preserve"> has the meaning given in the </w:t>
      </w:r>
      <w:r w:rsidR="004A1236">
        <w:t>ESM Rules</w:t>
      </w:r>
      <w:r>
        <w:t xml:space="preserve">.] </w:t>
      </w:r>
    </w:p>
    <w:p w14:paraId="65F05884" w14:textId="3FB17C00" w:rsidR="00B71076" w:rsidRPr="00B71076" w:rsidRDefault="00B71076" w:rsidP="008E4A1B">
      <w:pPr>
        <w:pStyle w:val="Heading8"/>
        <w:numPr>
          <w:ilvl w:val="0"/>
          <w:numId w:val="0"/>
        </w:numPr>
        <w:ind w:left="737"/>
      </w:pPr>
      <w:r w:rsidRPr="00AD4EA6">
        <w:t>[</w:t>
      </w:r>
      <w:r w:rsidRPr="008E4A1B">
        <w:rPr>
          <w:b/>
          <w:bCs/>
          <w:i/>
          <w:iCs/>
          <w:highlight w:val="lightGray"/>
        </w:rPr>
        <w:t>Note: bracketed wording to be included for all Hybrid Projects.</w:t>
      </w:r>
      <w:r w:rsidRPr="00AD4EA6">
        <w:t>]</w:t>
      </w:r>
    </w:p>
    <w:p w14:paraId="5080A8C7" w14:textId="33F602C5" w:rsidR="006B12F2" w:rsidRPr="006B12F2" w:rsidRDefault="006B12F2" w:rsidP="0058045D">
      <w:pPr>
        <w:pStyle w:val="CoverText"/>
        <w:spacing w:after="240"/>
        <w:ind w:left="731"/>
      </w:pPr>
      <w:r>
        <w:rPr>
          <w:b/>
          <w:bCs/>
        </w:rPr>
        <w:t>Settlement Statement</w:t>
      </w:r>
      <w:r>
        <w:t xml:space="preserve"> means a ‘Settlement Statement’</w:t>
      </w:r>
      <w:r w:rsidR="0051353E">
        <w:t xml:space="preserve"> or a ‘Relevant Settlement Statement’ (each as defined in the </w:t>
      </w:r>
      <w:r w:rsidR="004A1236">
        <w:t>ESM Rules</w:t>
      </w:r>
      <w:r w:rsidR="0051353E">
        <w:t>).</w:t>
      </w:r>
    </w:p>
    <w:p w14:paraId="72D7B88D" w14:textId="656F0578" w:rsidR="00D203C5" w:rsidRDefault="2BC382E4" w:rsidP="0058045D">
      <w:pPr>
        <w:pStyle w:val="Heading7"/>
        <w:numPr>
          <w:ilvl w:val="6"/>
          <w:numId w:val="0"/>
        </w:numPr>
        <w:ind w:left="737"/>
        <w:rPr>
          <w:bCs/>
        </w:rPr>
      </w:pPr>
      <w:r>
        <w:t>[</w:t>
      </w:r>
      <w:r w:rsidRPr="2BC382E4">
        <w:rPr>
          <w:b/>
          <w:bCs/>
        </w:rPr>
        <w:t xml:space="preserve">Shared Infrastructure </w:t>
      </w:r>
      <w:r>
        <w:t xml:space="preserve">means plant, equipment and infrastructure </w:t>
      </w:r>
      <w:r w:rsidR="00863976">
        <w:t xml:space="preserve">that </w:t>
      </w:r>
      <w:r>
        <w:t xml:space="preserve">is located at the </w:t>
      </w:r>
      <w:r w:rsidR="005E5E98">
        <w:t>[</w:t>
      </w:r>
      <w:r>
        <w:t>Hybrid</w:t>
      </w:r>
      <w:r w:rsidR="005E5E98">
        <w:t>/Staged]</w:t>
      </w:r>
      <w:r>
        <w:t xml:space="preserve"> Project site and used for both the Project and the </w:t>
      </w:r>
      <w:r w:rsidR="00774AF4">
        <w:t>[</w:t>
      </w:r>
      <w:r>
        <w:t>Associated</w:t>
      </w:r>
      <w:r w:rsidR="00774AF4">
        <w:t>/Existing]</w:t>
      </w:r>
      <w:r>
        <w:t xml:space="preserve"> Project, including common balance of plant with the </w:t>
      </w:r>
      <w:r w:rsidR="00774AF4">
        <w:t>[</w:t>
      </w:r>
      <w:r>
        <w:t>Associated</w:t>
      </w:r>
      <w:r w:rsidR="00774AF4">
        <w:t>/Existing]</w:t>
      </w:r>
      <w:r>
        <w:t xml:space="preserve"> Project.] [</w:t>
      </w:r>
      <w:r w:rsidRPr="2BC382E4">
        <w:rPr>
          <w:b/>
          <w:bCs/>
          <w:i/>
          <w:iCs/>
          <w:highlight w:val="lightGray"/>
        </w:rPr>
        <w:t>Note: this definition is to be included for all Hybrid Projects</w:t>
      </w:r>
      <w:r w:rsidR="00774AF4">
        <w:rPr>
          <w:b/>
          <w:bCs/>
          <w:i/>
          <w:iCs/>
          <w:highlight w:val="lightGray"/>
        </w:rPr>
        <w:t xml:space="preserve"> and Staged Projects (as applicable)</w:t>
      </w:r>
      <w:r w:rsidRPr="2BC382E4">
        <w:rPr>
          <w:b/>
          <w:bCs/>
          <w:i/>
          <w:iCs/>
          <w:highlight w:val="lightGray"/>
        </w:rPr>
        <w:t>.</w:t>
      </w:r>
      <w:r>
        <w:t>]</w:t>
      </w:r>
    </w:p>
    <w:p w14:paraId="58CFE664" w14:textId="77777777" w:rsidR="00361509" w:rsidRPr="009E68EA" w:rsidRDefault="2BC382E4" w:rsidP="0058045D">
      <w:pPr>
        <w:pStyle w:val="Heading7"/>
      </w:pPr>
      <w:r w:rsidRPr="009E68EA">
        <w:rPr>
          <w:b/>
          <w:bCs/>
        </w:rPr>
        <w:t xml:space="preserve">Signing Date </w:t>
      </w:r>
      <w:r w:rsidRPr="009E68EA">
        <w:t>means the date on which the last of the parties signs this agreement.</w:t>
      </w:r>
    </w:p>
    <w:p w14:paraId="3AC67D32" w14:textId="004978D3" w:rsidR="00EA5417" w:rsidRPr="009E68EA" w:rsidRDefault="00EA5417" w:rsidP="00EA5417">
      <w:pPr>
        <w:pStyle w:val="Heading7"/>
      </w:pPr>
      <w:r w:rsidRPr="009E68EA">
        <w:rPr>
          <w:b/>
          <w:bCs/>
        </w:rPr>
        <w:t xml:space="preserve">SLC Abatement Amount </w:t>
      </w:r>
      <w:r w:rsidRPr="009E68EA">
        <w:t xml:space="preserve">means the abatement amount payable to the Commonwealth under an SLC Abatement Notice, </w:t>
      </w:r>
      <w:r w:rsidR="00903158">
        <w:t>if</w:t>
      </w:r>
      <w:r w:rsidR="00903158" w:rsidRPr="009E68EA">
        <w:t xml:space="preserve"> </w:t>
      </w:r>
      <w:r w:rsidRPr="009E68EA">
        <w:t>one is issued under clause </w:t>
      </w:r>
      <w:r w:rsidRPr="009E68EA">
        <w:fldChar w:fldCharType="begin"/>
      </w:r>
      <w:r w:rsidRPr="009E68EA">
        <w:instrText xml:space="preserve"> REF _Ref166840648 \w \h  \* MERGEFORMAT </w:instrText>
      </w:r>
      <w:r w:rsidRPr="009E68EA">
        <w:fldChar w:fldCharType="separate"/>
      </w:r>
      <w:r w:rsidR="002E5C6A">
        <w:t>11.6</w:t>
      </w:r>
      <w:r w:rsidRPr="009E68EA">
        <w:fldChar w:fldCharType="end"/>
      </w:r>
      <w:r w:rsidRPr="009E68EA">
        <w:t xml:space="preserve"> (“</w:t>
      </w:r>
      <w:r w:rsidRPr="009E68EA">
        <w:fldChar w:fldCharType="begin"/>
      </w:r>
      <w:r w:rsidRPr="009E68EA">
        <w:instrText xml:space="preserve"> REF _Ref166840648 \h  \* MERGEFORMAT </w:instrText>
      </w:r>
      <w:r w:rsidRPr="009E68EA">
        <w:fldChar w:fldCharType="separate"/>
      </w:r>
      <w:r w:rsidR="002E5C6A" w:rsidRPr="00F06646">
        <w:t>Abatements for non-compliance</w:t>
      </w:r>
      <w:r w:rsidRPr="009E68EA">
        <w:fldChar w:fldCharType="end"/>
      </w:r>
      <w:r w:rsidRPr="009E68EA">
        <w:t xml:space="preserve">”). </w:t>
      </w:r>
    </w:p>
    <w:p w14:paraId="6BBDAC19" w14:textId="5D94FC96" w:rsidR="00EB0148" w:rsidRDefault="2BC382E4" w:rsidP="0058045D">
      <w:pPr>
        <w:pStyle w:val="Heading7"/>
      </w:pPr>
      <w:r w:rsidRPr="009E68EA">
        <w:rPr>
          <w:b/>
          <w:bCs/>
        </w:rPr>
        <w:t xml:space="preserve">SLC Abatement Notice </w:t>
      </w:r>
      <w:r w:rsidR="00903158">
        <w:t xml:space="preserve">has the meaning given in </w:t>
      </w:r>
      <w:r w:rsidRPr="009E68EA">
        <w:t xml:space="preserve">clause </w:t>
      </w:r>
      <w:r w:rsidR="00903158">
        <w:fldChar w:fldCharType="begin"/>
      </w:r>
      <w:r w:rsidR="00903158">
        <w:instrText xml:space="preserve"> REF _Ref205751518 \r \h </w:instrText>
      </w:r>
      <w:r w:rsidR="00903158">
        <w:fldChar w:fldCharType="separate"/>
      </w:r>
      <w:r w:rsidR="002E5C6A">
        <w:t>11.6(d)</w:t>
      </w:r>
      <w:r w:rsidR="00903158">
        <w:fldChar w:fldCharType="end"/>
      </w:r>
      <w:r w:rsidRPr="009E68EA">
        <w:t>.</w:t>
      </w:r>
    </w:p>
    <w:p w14:paraId="62703A10" w14:textId="32362580" w:rsidR="001246B3" w:rsidRPr="009E68EA" w:rsidRDefault="001246B3" w:rsidP="0076796C">
      <w:pPr>
        <w:pStyle w:val="Heading8"/>
        <w:numPr>
          <w:ilvl w:val="7"/>
          <w:numId w:val="0"/>
        </w:numPr>
        <w:ind w:left="737"/>
      </w:pPr>
      <w:r>
        <w:rPr>
          <w:b/>
          <w:bCs/>
        </w:rPr>
        <w:t xml:space="preserve">SLC Reporting Date </w:t>
      </w:r>
      <w:r w:rsidRPr="00AC2A80">
        <w:t>has the meaning give</w:t>
      </w:r>
      <w:r>
        <w:t xml:space="preserve">n in </w:t>
      </w:r>
      <w:r w:rsidRPr="00B61725">
        <w:t xml:space="preserve">item </w:t>
      </w:r>
      <w:r>
        <w:fldChar w:fldCharType="begin"/>
      </w:r>
      <w:r>
        <w:instrText xml:space="preserve"> REF _Ref176510407 \r \h </w:instrText>
      </w:r>
      <w:r>
        <w:fldChar w:fldCharType="separate"/>
      </w:r>
      <w:r w:rsidR="002E5C6A">
        <w:t>30</w:t>
      </w:r>
      <w:r>
        <w:fldChar w:fldCharType="end"/>
      </w:r>
      <w:r>
        <w:t xml:space="preserve"> </w:t>
      </w:r>
      <w:r w:rsidRPr="00B61725">
        <w:t xml:space="preserve">of </w:t>
      </w:r>
      <w:r>
        <w:t>the Reference Details</w:t>
      </w:r>
      <w:r w:rsidRPr="00B61725">
        <w:t>.</w:t>
      </w:r>
    </w:p>
    <w:p w14:paraId="5B506C3D" w14:textId="73F817FE" w:rsidR="0004122B" w:rsidRPr="009E68EA" w:rsidRDefault="6AEBA144" w:rsidP="0058045D">
      <w:pPr>
        <w:pStyle w:val="Heading7"/>
      </w:pPr>
      <w:r w:rsidRPr="009E68EA">
        <w:rPr>
          <w:b/>
          <w:bCs/>
        </w:rPr>
        <w:t xml:space="preserve">Social Licence Commitments </w:t>
      </w:r>
      <w:r w:rsidRPr="009E68EA">
        <w:t xml:space="preserve">means the </w:t>
      </w:r>
      <w:r w:rsidR="2BC382E4" w:rsidRPr="009E68EA">
        <w:t xml:space="preserve">commitments set out in </w:t>
      </w:r>
      <w:r w:rsidRPr="009E68EA">
        <w:fldChar w:fldCharType="begin"/>
      </w:r>
      <w:r w:rsidRPr="009E68EA">
        <w:instrText xml:space="preserve"> REF _Ref159507374 \r \h </w:instrText>
      </w:r>
      <w:r w:rsidR="00F205EC" w:rsidRPr="009E68EA">
        <w:instrText xml:space="preserve"> \* MERGEFORMAT </w:instrText>
      </w:r>
      <w:r w:rsidRPr="009E68EA">
        <w:fldChar w:fldCharType="separate"/>
      </w:r>
      <w:r w:rsidR="002E5C6A">
        <w:t>Schedule 2</w:t>
      </w:r>
      <w:r w:rsidRPr="009E68EA">
        <w:fldChar w:fldCharType="end"/>
      </w:r>
      <w:r w:rsidR="2BC382E4" w:rsidRPr="009E68EA">
        <w:t xml:space="preserve"> (“</w:t>
      </w:r>
      <w:r w:rsidRPr="009E68EA">
        <w:fldChar w:fldCharType="begin"/>
      </w:r>
      <w:r w:rsidRPr="009E68EA">
        <w:instrText xml:space="preserve"> REF _Ref159507374 \h </w:instrText>
      </w:r>
      <w:r w:rsidR="00F205EC" w:rsidRPr="009E68EA">
        <w:instrText xml:space="preserve"> \* MERGEFORMAT </w:instrText>
      </w:r>
      <w:r w:rsidRPr="009E68EA">
        <w:fldChar w:fldCharType="separate"/>
      </w:r>
      <w:r w:rsidR="002E5C6A" w:rsidRPr="00792B2E">
        <w:t>Social Licence Commitments</w:t>
      </w:r>
      <w:r w:rsidRPr="009E68EA">
        <w:fldChar w:fldCharType="end"/>
      </w:r>
      <w:r w:rsidR="2BC382E4" w:rsidRPr="009E68EA">
        <w:t>”)</w:t>
      </w:r>
      <w:r w:rsidRPr="009E68EA">
        <w:t>.</w:t>
      </w:r>
    </w:p>
    <w:p w14:paraId="394507C8" w14:textId="75CAB008" w:rsidR="0077136F" w:rsidRDefault="0077136F" w:rsidP="0077136F">
      <w:pPr>
        <w:pStyle w:val="Heading7"/>
        <w:numPr>
          <w:ilvl w:val="6"/>
          <w:numId w:val="0"/>
        </w:numPr>
        <w:ind w:left="737"/>
      </w:pPr>
      <w:r>
        <w:rPr>
          <w:b/>
          <w:bCs/>
        </w:rPr>
        <w:t xml:space="preserve">Specified Amount </w:t>
      </w:r>
      <w:r>
        <w:t xml:space="preserve">has the meaning given in clause </w:t>
      </w:r>
      <w:r w:rsidR="00903158">
        <w:fldChar w:fldCharType="begin"/>
      </w:r>
      <w:r w:rsidR="00903158">
        <w:instrText xml:space="preserve"> REF _Ref205751551 \r \h </w:instrText>
      </w:r>
      <w:r w:rsidR="00903158">
        <w:fldChar w:fldCharType="separate"/>
      </w:r>
      <w:r w:rsidR="002E5C6A">
        <w:t>21.4(c)</w:t>
      </w:r>
      <w:r w:rsidR="00903158">
        <w:fldChar w:fldCharType="end"/>
      </w:r>
      <w:r>
        <w:t>.</w:t>
      </w:r>
    </w:p>
    <w:p w14:paraId="37553FEB" w14:textId="28485268" w:rsidR="00457841" w:rsidRPr="00716FCD" w:rsidRDefault="2BC382E4" w:rsidP="0058045D">
      <w:pPr>
        <w:pStyle w:val="Heading7"/>
        <w:keepNext/>
      </w:pPr>
      <w:r w:rsidRPr="2BC382E4">
        <w:rPr>
          <w:b/>
          <w:bCs/>
        </w:rPr>
        <w:t>Specified Material</w:t>
      </w:r>
      <w:r>
        <w:t xml:space="preserve"> means any reports, plans, documents, information, data or other material and associated Intellectual Property (whether developed by or on behalf of Project Operator, its officers, employees, </w:t>
      </w:r>
      <w:r w:rsidR="009C7B3B">
        <w:t>S</w:t>
      </w:r>
      <w:r>
        <w:t>ubcontractors or agents</w:t>
      </w:r>
      <w:r w:rsidR="00863976">
        <w:t>)</w:t>
      </w:r>
      <w:r>
        <w:t xml:space="preserve"> </w:t>
      </w:r>
      <w:r w:rsidR="00863976">
        <w:t>that</w:t>
      </w:r>
      <w:r>
        <w:t>:</w:t>
      </w:r>
    </w:p>
    <w:p w14:paraId="5C81F974" w14:textId="77777777" w:rsidR="00457841" w:rsidRPr="00716FCD" w:rsidRDefault="2BC382E4" w:rsidP="008F660B">
      <w:pPr>
        <w:pStyle w:val="Heading8"/>
        <w:numPr>
          <w:ilvl w:val="7"/>
          <w:numId w:val="129"/>
        </w:numPr>
        <w:tabs>
          <w:tab w:val="clear" w:pos="1474"/>
          <w:tab w:val="num" w:pos="968"/>
        </w:tabs>
      </w:pPr>
      <w:bookmarkStart w:id="149" w:name="_9kMJ5K6ZWu5999HKge841vpz"/>
      <w:bookmarkStart w:id="150" w:name="_9kMJ5K6ZWu5999IHce841vpz"/>
      <w:bookmarkStart w:id="151" w:name="_9kMJ5K6ZWu5999IIde841vpz"/>
      <w:bookmarkStart w:id="152" w:name="_Ref69759129"/>
      <w:bookmarkStart w:id="153" w:name="_Ref490061810"/>
      <w:r>
        <w:t xml:space="preserve">Project Operator </w:t>
      </w:r>
      <w:bookmarkEnd w:id="149"/>
      <w:bookmarkEnd w:id="150"/>
      <w:bookmarkEnd w:id="151"/>
      <w:r>
        <w:t>(or its Related Bodies Corporate) provides or grants, or is required to provide or grant, to the Commonwealth under or in connection with this agreement or the Tender; or</w:t>
      </w:r>
      <w:bookmarkEnd w:id="152"/>
      <w:bookmarkEnd w:id="153"/>
    </w:p>
    <w:p w14:paraId="014BC43E" w14:textId="7A783F92" w:rsidR="00457841" w:rsidRDefault="2BC382E4" w:rsidP="0058045D">
      <w:pPr>
        <w:pStyle w:val="Heading8"/>
        <w:tabs>
          <w:tab w:val="clear" w:pos="1474"/>
          <w:tab w:val="num" w:pos="968"/>
        </w:tabs>
      </w:pPr>
      <w:r>
        <w:t>is copied or derived at any time from the material referred to in paragraph </w:t>
      </w:r>
      <w:r w:rsidR="6AEBA144">
        <w:fldChar w:fldCharType="begin"/>
      </w:r>
      <w:r w:rsidR="6AEBA144">
        <w:instrText xml:space="preserve"> REF _Ref69759129 \n \h  \* MERGEFORMAT </w:instrText>
      </w:r>
      <w:r w:rsidR="6AEBA144">
        <w:fldChar w:fldCharType="separate"/>
      </w:r>
      <w:r w:rsidR="002E5C6A">
        <w:t>(a)</w:t>
      </w:r>
      <w:r w:rsidR="6AEBA144">
        <w:fldChar w:fldCharType="end"/>
      </w:r>
      <w:r>
        <w:t>.</w:t>
      </w:r>
    </w:p>
    <w:p w14:paraId="4A913A67" w14:textId="211718E2" w:rsidR="00774AF4" w:rsidRDefault="00774AF4" w:rsidP="00911090">
      <w:pPr>
        <w:pStyle w:val="Heading7"/>
        <w:numPr>
          <w:ilvl w:val="0"/>
          <w:numId w:val="0"/>
        </w:numPr>
        <w:ind w:left="737"/>
      </w:pPr>
      <w:r w:rsidRPr="0011424A">
        <w:rPr>
          <w:b/>
          <w:bCs/>
        </w:rPr>
        <w:t xml:space="preserve">[Staged Project </w:t>
      </w:r>
      <w:r w:rsidRPr="0011424A">
        <w:t xml:space="preserve">means the co-located </w:t>
      </w:r>
      <w:r w:rsidR="001530B4">
        <w:t>and electrically connected dispatchable</w:t>
      </w:r>
      <w:r w:rsidRPr="0011424A">
        <w:t xml:space="preserve"> projects being the Project, the Existing Project and the Shared Infrastructure.]</w:t>
      </w:r>
    </w:p>
    <w:p w14:paraId="33C7696F" w14:textId="77777777" w:rsidR="00774AF4" w:rsidRPr="00E459CA" w:rsidRDefault="00774AF4" w:rsidP="00D315FD">
      <w:pPr>
        <w:pStyle w:val="Heading7"/>
        <w:numPr>
          <w:ilvl w:val="0"/>
          <w:numId w:val="0"/>
        </w:numPr>
        <w:ind w:left="737"/>
      </w:pPr>
      <w:r w:rsidRPr="008129EB">
        <w:t>[</w:t>
      </w:r>
      <w:r w:rsidRPr="00B330E2">
        <w:rPr>
          <w:b/>
          <w:bCs/>
          <w:i/>
          <w:iCs/>
          <w:highlight w:val="lightGray"/>
        </w:rPr>
        <w:t>Note: this definition is to be included for all Staged Projects.</w:t>
      </w:r>
      <w:r w:rsidRPr="00B330E2">
        <w:t>]</w:t>
      </w:r>
    </w:p>
    <w:p w14:paraId="53661E3B" w14:textId="144DCDB0" w:rsidR="003F4015" w:rsidRPr="00961F64" w:rsidRDefault="003F4015" w:rsidP="00D77B1D">
      <w:pPr>
        <w:pStyle w:val="Heading7"/>
        <w:rPr>
          <w:b/>
          <w:bCs/>
        </w:rPr>
      </w:pPr>
      <w:r w:rsidRPr="00961F64">
        <w:rPr>
          <w:b/>
          <w:bCs/>
        </w:rPr>
        <w:t xml:space="preserve">Storage Capacity </w:t>
      </w:r>
      <w:r w:rsidRPr="00961F64">
        <w:t xml:space="preserve">has the meaning given in item </w:t>
      </w:r>
      <w:r w:rsidRPr="00961F64">
        <w:fldChar w:fldCharType="begin"/>
      </w:r>
      <w:r w:rsidRPr="00961F64">
        <w:instrText xml:space="preserve"> REF _Ref172454712 \r \h </w:instrText>
      </w:r>
      <w:r w:rsidR="00D6422A" w:rsidRPr="00961F64">
        <w:instrText xml:space="preserve"> \* MERGEFORMAT </w:instrText>
      </w:r>
      <w:r w:rsidRPr="00961F64">
        <w:fldChar w:fldCharType="separate"/>
      </w:r>
      <w:r w:rsidR="002E5C6A">
        <w:t>4</w:t>
      </w:r>
      <w:r w:rsidRPr="00961F64">
        <w:fldChar w:fldCharType="end"/>
      </w:r>
      <w:r w:rsidRPr="00961F64">
        <w:t xml:space="preserve"> of the Reference Details. </w:t>
      </w:r>
    </w:p>
    <w:p w14:paraId="52B41D9E" w14:textId="5EE948A9" w:rsidR="00D77B1D" w:rsidRPr="001739C7" w:rsidRDefault="00D77B1D" w:rsidP="00D77B1D">
      <w:pPr>
        <w:pStyle w:val="Heading7"/>
        <w:rPr>
          <w:bCs/>
        </w:rPr>
      </w:pPr>
      <w:r w:rsidRPr="007F483A">
        <w:rPr>
          <w:b/>
        </w:rPr>
        <w:t>Storage Capacity Rebate</w:t>
      </w:r>
      <w:r w:rsidRPr="00D77B1D">
        <w:rPr>
          <w:bCs/>
        </w:rPr>
        <w:t xml:space="preserve"> means the rebate determined or calculate</w:t>
      </w:r>
      <w:r w:rsidR="002A75DB">
        <w:rPr>
          <w:bCs/>
        </w:rPr>
        <w:t>d</w:t>
      </w:r>
      <w:r w:rsidRPr="00D77B1D">
        <w:rPr>
          <w:bCs/>
        </w:rPr>
        <w:t xml:space="preserve"> in accordance </w:t>
      </w:r>
      <w:r w:rsidRPr="001739C7">
        <w:rPr>
          <w:bCs/>
        </w:rPr>
        <w:t xml:space="preserve">with </w:t>
      </w:r>
      <w:r w:rsidRPr="008E4A1B">
        <w:rPr>
          <w:bCs/>
        </w:rPr>
        <w:t xml:space="preserve">sections </w:t>
      </w:r>
      <w:r w:rsidR="00C94E99">
        <w:rPr>
          <w:bCs/>
        </w:rPr>
        <w:fldChar w:fldCharType="begin"/>
      </w:r>
      <w:r w:rsidR="00C94E99">
        <w:rPr>
          <w:bCs/>
        </w:rPr>
        <w:instrText xml:space="preserve"> REF _Ref206083999 \n \h </w:instrText>
      </w:r>
      <w:r w:rsidR="00C94E99">
        <w:rPr>
          <w:bCs/>
        </w:rPr>
      </w:r>
      <w:r w:rsidR="00C94E99">
        <w:rPr>
          <w:bCs/>
        </w:rPr>
        <w:fldChar w:fldCharType="separate"/>
      </w:r>
      <w:r w:rsidR="002E5C6A">
        <w:rPr>
          <w:bCs/>
        </w:rPr>
        <w:t>5.1</w:t>
      </w:r>
      <w:r w:rsidR="00C94E99">
        <w:rPr>
          <w:bCs/>
        </w:rPr>
        <w:fldChar w:fldCharType="end"/>
      </w:r>
      <w:r w:rsidR="00EF6FF8" w:rsidRPr="008E4A1B">
        <w:rPr>
          <w:bCs/>
        </w:rPr>
        <w:t xml:space="preserve"> and </w:t>
      </w:r>
      <w:r w:rsidR="00C94E99">
        <w:rPr>
          <w:bCs/>
        </w:rPr>
        <w:fldChar w:fldCharType="begin"/>
      </w:r>
      <w:r w:rsidR="00C94E99">
        <w:rPr>
          <w:bCs/>
        </w:rPr>
        <w:instrText xml:space="preserve"> REF _Ref202784830 \n \h </w:instrText>
      </w:r>
      <w:r w:rsidR="00C94E99">
        <w:rPr>
          <w:bCs/>
        </w:rPr>
      </w:r>
      <w:r w:rsidR="00C94E99">
        <w:rPr>
          <w:bCs/>
        </w:rPr>
        <w:fldChar w:fldCharType="separate"/>
      </w:r>
      <w:r w:rsidR="002E5C6A">
        <w:rPr>
          <w:bCs/>
        </w:rPr>
        <w:t>5.2</w:t>
      </w:r>
      <w:r w:rsidR="00C94E99">
        <w:rPr>
          <w:bCs/>
        </w:rPr>
        <w:fldChar w:fldCharType="end"/>
      </w:r>
      <w:r w:rsidR="00EF6FF8" w:rsidRPr="008E4A1B">
        <w:t xml:space="preserve"> of </w:t>
      </w:r>
      <w:r w:rsidR="00EF6FF8">
        <w:fldChar w:fldCharType="begin"/>
      </w:r>
      <w:r w:rsidR="00EF6FF8">
        <w:instrText xml:space="preserve"> REF _Ref_ContractCompanion_9kb9Ur3BH \w \n \h \* MERGEFORMAT </w:instrText>
      </w:r>
      <w:r w:rsidR="00EF6FF8">
        <w:fldChar w:fldCharType="separate"/>
      </w:r>
      <w:r w:rsidR="002E5C6A">
        <w:t>Schedule 1</w:t>
      </w:r>
      <w:r w:rsidR="00EF6FF8">
        <w:fldChar w:fldCharType="end"/>
      </w:r>
      <w:r w:rsidR="00E12809">
        <w:t xml:space="preserve"> (“</w:t>
      </w:r>
      <w:r w:rsidR="00E12809">
        <w:fldChar w:fldCharType="begin"/>
      </w:r>
      <w:r w:rsidR="00E12809">
        <w:instrText xml:space="preserve">  REF _Ref103257737 \h </w:instrText>
      </w:r>
      <w:r w:rsidR="00E12809">
        <w:fldChar w:fldCharType="separate"/>
      </w:r>
      <w:r w:rsidR="002E5C6A">
        <w:t>Support terms</w:t>
      </w:r>
      <w:r w:rsidR="00E12809">
        <w:fldChar w:fldCharType="end"/>
      </w:r>
      <w:r w:rsidR="00E12809">
        <w:t>”)</w:t>
      </w:r>
      <w:r w:rsidR="00EF6FF8" w:rsidRPr="001739C7">
        <w:t>.</w:t>
      </w:r>
    </w:p>
    <w:p w14:paraId="62E11ED9" w14:textId="719324DF" w:rsidR="00D77B1D" w:rsidRPr="00B25B83" w:rsidRDefault="00D77B1D" w:rsidP="00D77B1D">
      <w:pPr>
        <w:pStyle w:val="Heading7"/>
        <w:rPr>
          <w:bCs/>
        </w:rPr>
      </w:pPr>
      <w:r w:rsidRPr="001739C7">
        <w:rPr>
          <w:b/>
        </w:rPr>
        <w:t>Storage Capacity Rebate Percentage</w:t>
      </w:r>
      <w:r w:rsidRPr="001739C7">
        <w:rPr>
          <w:bCs/>
        </w:rPr>
        <w:t xml:space="preserve"> means the percentage calculated in accordance </w:t>
      </w:r>
      <w:r w:rsidRPr="008E4A1B">
        <w:rPr>
          <w:bCs/>
        </w:rPr>
        <w:t>with section</w:t>
      </w:r>
      <w:r w:rsidR="00EF6FF8">
        <w:rPr>
          <w:bCs/>
        </w:rPr>
        <w:t xml:space="preserve"> </w:t>
      </w:r>
      <w:r w:rsidR="00C94E99">
        <w:rPr>
          <w:bCs/>
        </w:rPr>
        <w:fldChar w:fldCharType="begin"/>
      </w:r>
      <w:r w:rsidR="00C94E99">
        <w:rPr>
          <w:bCs/>
        </w:rPr>
        <w:instrText xml:space="preserve"> REF _Ref202784842 \n \h </w:instrText>
      </w:r>
      <w:r w:rsidR="00C94E99">
        <w:rPr>
          <w:bCs/>
        </w:rPr>
      </w:r>
      <w:r w:rsidR="00C94E99">
        <w:rPr>
          <w:bCs/>
        </w:rPr>
        <w:fldChar w:fldCharType="separate"/>
      </w:r>
      <w:r w:rsidR="002E5C6A">
        <w:rPr>
          <w:bCs/>
        </w:rPr>
        <w:t>5.3</w:t>
      </w:r>
      <w:r w:rsidR="00C94E99">
        <w:rPr>
          <w:bCs/>
        </w:rPr>
        <w:fldChar w:fldCharType="end"/>
      </w:r>
      <w:r w:rsidR="00EF6FF8" w:rsidRPr="008E4A1B">
        <w:t xml:space="preserve"> of </w:t>
      </w:r>
      <w:r w:rsidR="00EF6FF8">
        <w:fldChar w:fldCharType="begin"/>
      </w:r>
      <w:r w:rsidR="00EF6FF8">
        <w:instrText xml:space="preserve"> REF _Ref_ContractCompanion_9kb9Ur3BH \w \n \h \* MERGEFORMAT </w:instrText>
      </w:r>
      <w:r w:rsidR="00EF6FF8">
        <w:fldChar w:fldCharType="separate"/>
      </w:r>
      <w:r w:rsidR="002E5C6A">
        <w:t>Schedule 1</w:t>
      </w:r>
      <w:r w:rsidR="00EF6FF8">
        <w:fldChar w:fldCharType="end"/>
      </w:r>
      <w:r w:rsidR="00E12809">
        <w:t xml:space="preserve"> (“</w:t>
      </w:r>
      <w:r w:rsidR="00E12809">
        <w:fldChar w:fldCharType="begin"/>
      </w:r>
      <w:r w:rsidR="00E12809">
        <w:instrText xml:space="preserve">  REF _Ref103257737 \h </w:instrText>
      </w:r>
      <w:r w:rsidR="00E12809">
        <w:fldChar w:fldCharType="separate"/>
      </w:r>
      <w:r w:rsidR="002E5C6A">
        <w:t>Support terms</w:t>
      </w:r>
      <w:r w:rsidR="00E12809">
        <w:fldChar w:fldCharType="end"/>
      </w:r>
      <w:r w:rsidR="00E12809">
        <w:t>”)</w:t>
      </w:r>
      <w:r w:rsidRPr="001739C7">
        <w:t xml:space="preserve">. </w:t>
      </w:r>
    </w:p>
    <w:p w14:paraId="71695813" w14:textId="75385B25" w:rsidR="00B25B83" w:rsidRPr="001739C7" w:rsidRDefault="00B25B83" w:rsidP="00D77B1D">
      <w:pPr>
        <w:pStyle w:val="Heading7"/>
        <w:rPr>
          <w:bCs/>
        </w:rPr>
      </w:pPr>
      <w:r w:rsidRPr="00FB7EB2">
        <w:t>[</w:t>
      </w:r>
      <w:r w:rsidRPr="001B706B">
        <w:rPr>
          <w:b/>
          <w:bCs/>
          <w:i/>
          <w:iCs/>
          <w:highlight w:val="lightGray"/>
        </w:rPr>
        <w:t xml:space="preserve">Note: </w:t>
      </w:r>
      <w:r w:rsidR="000239E5" w:rsidRPr="001B706B">
        <w:rPr>
          <w:b/>
          <w:bCs/>
          <w:i/>
          <w:iCs/>
          <w:highlight w:val="lightGray"/>
        </w:rPr>
        <w:t xml:space="preserve">see agreement cover note regarding Non-Storage Projects in relation to the </w:t>
      </w:r>
      <w:r>
        <w:rPr>
          <w:b/>
          <w:bCs/>
          <w:i/>
          <w:iCs/>
          <w:highlight w:val="lightGray"/>
        </w:rPr>
        <w:t>concepts of Storage Capacity Rebate and Storage Capacity Rebate Percentage</w:t>
      </w:r>
      <w:r w:rsidRPr="004209A6">
        <w:rPr>
          <w:b/>
          <w:bCs/>
          <w:i/>
          <w:iCs/>
          <w:highlight w:val="lightGray"/>
        </w:rPr>
        <w:t>.</w:t>
      </w:r>
      <w:r w:rsidRPr="00FB7EB2">
        <w:t>]</w:t>
      </w:r>
    </w:p>
    <w:p w14:paraId="6043206F" w14:textId="77777777" w:rsidR="00395B56" w:rsidRDefault="00395B56" w:rsidP="00911090">
      <w:pPr>
        <w:pStyle w:val="BodyIndent1"/>
        <w:spacing w:before="0"/>
        <w:ind w:left="710"/>
      </w:pPr>
      <w:r w:rsidRPr="00716FCD">
        <w:rPr>
          <w:b/>
          <w:bCs/>
        </w:rPr>
        <w:t xml:space="preserve">Subcontract </w:t>
      </w:r>
      <w:r w:rsidRPr="00716FCD">
        <w:t xml:space="preserve">means any subcontract relating to the performance of </w:t>
      </w:r>
      <w:r>
        <w:t xml:space="preserve">Project </w:t>
      </w:r>
      <w:r w:rsidRPr="00716FCD">
        <w:t xml:space="preserve">Operator's obligations under </w:t>
      </w:r>
      <w:r>
        <w:t xml:space="preserve">this agreement </w:t>
      </w:r>
      <w:r w:rsidRPr="00716FCD">
        <w:t>including with</w:t>
      </w:r>
      <w:r>
        <w:t>:</w:t>
      </w:r>
    </w:p>
    <w:p w14:paraId="0A40283C" w14:textId="189B6159" w:rsidR="00395B56" w:rsidRDefault="00395B56" w:rsidP="008F660B">
      <w:pPr>
        <w:pStyle w:val="legalDefinition"/>
        <w:numPr>
          <w:ilvl w:val="0"/>
          <w:numId w:val="93"/>
        </w:numPr>
      </w:pPr>
      <w:r w:rsidRPr="00716FCD">
        <w:t xml:space="preserve">subcontractors whether </w:t>
      </w:r>
      <w:r>
        <w:t>engaged</w:t>
      </w:r>
      <w:r w:rsidRPr="00716FCD">
        <w:t xml:space="preserve"> directly by </w:t>
      </w:r>
      <w:r>
        <w:t xml:space="preserve">Project </w:t>
      </w:r>
      <w:r w:rsidRPr="00716FCD">
        <w:t xml:space="preserve">Operator or by a person </w:t>
      </w:r>
      <w:r>
        <w:t>engaged</w:t>
      </w:r>
      <w:r w:rsidRPr="00716FCD">
        <w:t xml:space="preserve"> by </w:t>
      </w:r>
      <w:r>
        <w:t xml:space="preserve">Project </w:t>
      </w:r>
      <w:r w:rsidRPr="00716FCD">
        <w:t>Operator</w:t>
      </w:r>
      <w:r>
        <w:t>;</w:t>
      </w:r>
      <w:r w:rsidRPr="00716FCD">
        <w:t xml:space="preserve"> and </w:t>
      </w:r>
    </w:p>
    <w:p w14:paraId="5A542B1C" w14:textId="77777777" w:rsidR="00395B56" w:rsidRPr="00716FCD" w:rsidRDefault="00395B56" w:rsidP="008F660B">
      <w:pPr>
        <w:pStyle w:val="legalDefinition"/>
        <w:numPr>
          <w:ilvl w:val="0"/>
          <w:numId w:val="93"/>
        </w:numPr>
      </w:pPr>
      <w:r w:rsidRPr="00716FCD">
        <w:t xml:space="preserve">each </w:t>
      </w:r>
      <w:r>
        <w:t xml:space="preserve">further </w:t>
      </w:r>
      <w:r w:rsidRPr="00716FCD">
        <w:t>tier of subcontract, sub-subcontract and so forth.</w:t>
      </w:r>
      <w:r>
        <w:t xml:space="preserve"> For clarity, this does not include any contract with a </w:t>
      </w:r>
      <w:r w:rsidRPr="00AE488B">
        <w:t>network service provider</w:t>
      </w:r>
      <w:r>
        <w:t>.</w:t>
      </w:r>
    </w:p>
    <w:p w14:paraId="6A06BC8B" w14:textId="77777777" w:rsidR="00395B56" w:rsidRDefault="00395B56" w:rsidP="00D315FD">
      <w:pPr>
        <w:pStyle w:val="BodyIndent1"/>
        <w:ind w:left="710"/>
      </w:pPr>
      <w:r w:rsidRPr="00716FCD">
        <w:rPr>
          <w:b/>
          <w:bCs/>
        </w:rPr>
        <w:t xml:space="preserve">Subcontractor </w:t>
      </w:r>
      <w:r w:rsidRPr="00716FCD">
        <w:t xml:space="preserve">means a subcontractor of </w:t>
      </w:r>
      <w:r>
        <w:t xml:space="preserve">Project </w:t>
      </w:r>
      <w:r w:rsidRPr="00716FCD">
        <w:t>Operator (other than the Commonwealth) and includes</w:t>
      </w:r>
      <w:r>
        <w:t>:</w:t>
      </w:r>
    </w:p>
    <w:p w14:paraId="1F7C0580" w14:textId="49C27597" w:rsidR="00395B56" w:rsidRDefault="00395B56" w:rsidP="008F660B">
      <w:pPr>
        <w:pStyle w:val="legalDefinition"/>
        <w:numPr>
          <w:ilvl w:val="0"/>
          <w:numId w:val="94"/>
        </w:numPr>
      </w:pPr>
      <w:r w:rsidRPr="00716FCD">
        <w:t xml:space="preserve">any subcontractor of such a </w:t>
      </w:r>
      <w:r w:rsidRPr="00847C21">
        <w:t xml:space="preserve">subcontractor, whether </w:t>
      </w:r>
      <w:r w:rsidR="00903158" w:rsidRPr="008F660B">
        <w:t>engaged</w:t>
      </w:r>
      <w:r w:rsidR="00903158" w:rsidRPr="00847C21">
        <w:t xml:space="preserve"> </w:t>
      </w:r>
      <w:r w:rsidRPr="00847C21">
        <w:t xml:space="preserve">directly by Project Operator or by a person </w:t>
      </w:r>
      <w:r w:rsidR="00903158" w:rsidRPr="008F660B">
        <w:t>engaged</w:t>
      </w:r>
      <w:r w:rsidR="00903158" w:rsidRPr="00847C21">
        <w:t xml:space="preserve"> </w:t>
      </w:r>
      <w:r w:rsidRPr="00847C21">
        <w:t>by Project Operator</w:t>
      </w:r>
      <w:r>
        <w:t>;</w:t>
      </w:r>
    </w:p>
    <w:p w14:paraId="73EBD3A4" w14:textId="77777777" w:rsidR="00395B56" w:rsidRDefault="00395B56" w:rsidP="008F660B">
      <w:pPr>
        <w:pStyle w:val="legalDefinition"/>
        <w:numPr>
          <w:ilvl w:val="0"/>
          <w:numId w:val="94"/>
        </w:numPr>
      </w:pPr>
      <w:r w:rsidRPr="00716FCD">
        <w:t>each tier of subcontract, sub-subcontract and so forth</w:t>
      </w:r>
      <w:r>
        <w:t>;</w:t>
      </w:r>
      <w:r w:rsidRPr="00716FCD">
        <w:t xml:space="preserve"> and </w:t>
      </w:r>
    </w:p>
    <w:p w14:paraId="39233A1B" w14:textId="77777777" w:rsidR="00395B56" w:rsidRPr="00D315FD" w:rsidRDefault="00395B56" w:rsidP="008F660B">
      <w:pPr>
        <w:pStyle w:val="legalDefinition"/>
        <w:numPr>
          <w:ilvl w:val="0"/>
          <w:numId w:val="94"/>
        </w:numPr>
      </w:pPr>
      <w:r w:rsidRPr="00716FCD">
        <w:t xml:space="preserve">any replacement of </w:t>
      </w:r>
      <w:r>
        <w:t>a</w:t>
      </w:r>
      <w:r w:rsidRPr="00716FCD">
        <w:t xml:space="preserve"> subcontractor </w:t>
      </w:r>
      <w:r>
        <w:t xml:space="preserve">that is made, or that is required to be made, </w:t>
      </w:r>
      <w:r w:rsidRPr="00716FCD">
        <w:t xml:space="preserve">in accordance with this </w:t>
      </w:r>
      <w:r>
        <w:t>a</w:t>
      </w:r>
      <w:r w:rsidRPr="00716FCD">
        <w:t>greement.</w:t>
      </w:r>
      <w:r w:rsidRPr="00D315FD">
        <w:t xml:space="preserve"> </w:t>
      </w:r>
    </w:p>
    <w:p w14:paraId="1778FDA5" w14:textId="77777777" w:rsidR="00395B56" w:rsidRDefault="00395B56" w:rsidP="00911090">
      <w:pPr>
        <w:pStyle w:val="legalDefinition"/>
        <w:numPr>
          <w:ilvl w:val="0"/>
          <w:numId w:val="0"/>
        </w:numPr>
        <w:spacing w:after="240"/>
        <w:ind w:left="1560" w:hanging="850"/>
      </w:pPr>
      <w:r>
        <w:t xml:space="preserve">For clarity, this does not include a </w:t>
      </w:r>
      <w:r w:rsidRPr="00AE488B">
        <w:t>network service provider</w:t>
      </w:r>
      <w:r>
        <w:t>.</w:t>
      </w:r>
    </w:p>
    <w:p w14:paraId="4ADDF76C" w14:textId="5110744C" w:rsidR="00AC705D" w:rsidRDefault="2BC382E4" w:rsidP="0058045D">
      <w:pPr>
        <w:pStyle w:val="Heading7"/>
        <w:keepNext/>
        <w:numPr>
          <w:ilvl w:val="6"/>
          <w:numId w:val="0"/>
        </w:numPr>
        <w:ind w:left="737"/>
        <w:rPr>
          <w:bCs/>
        </w:rPr>
      </w:pPr>
      <w:r w:rsidRPr="2BC382E4">
        <w:rPr>
          <w:b/>
          <w:bCs/>
        </w:rPr>
        <w:t xml:space="preserve">Subsidiary </w:t>
      </w:r>
      <w:r>
        <w:t xml:space="preserve">of an entity means another entity </w:t>
      </w:r>
      <w:r w:rsidR="00863976">
        <w:t>that</w:t>
      </w:r>
      <w:r>
        <w:t xml:space="preserve">: </w:t>
      </w:r>
    </w:p>
    <w:p w14:paraId="4069C174" w14:textId="7F4A693D" w:rsidR="00AC705D" w:rsidRPr="007923C9" w:rsidRDefault="2BC382E4" w:rsidP="008F660B">
      <w:pPr>
        <w:pStyle w:val="Heading8"/>
        <w:numPr>
          <w:ilvl w:val="7"/>
          <w:numId w:val="130"/>
        </w:numPr>
        <w:tabs>
          <w:tab w:val="clear" w:pos="1474"/>
          <w:tab w:val="num" w:pos="968"/>
        </w:tabs>
      </w:pPr>
      <w:r>
        <w:t xml:space="preserve">is a subsidiary of the first entity within the meaning </w:t>
      </w:r>
      <w:r w:rsidR="00863976">
        <w:t xml:space="preserve">given in </w:t>
      </w:r>
      <w:r>
        <w:t>the Corporations Act; or</w:t>
      </w:r>
    </w:p>
    <w:p w14:paraId="342F431A" w14:textId="77777777" w:rsidR="00AC705D" w:rsidRPr="007923C9" w:rsidRDefault="2BC382E4" w:rsidP="0058045D">
      <w:pPr>
        <w:pStyle w:val="Heading8"/>
        <w:tabs>
          <w:tab w:val="clear" w:pos="1474"/>
          <w:tab w:val="num" w:pos="968"/>
        </w:tabs>
      </w:pPr>
      <w:r>
        <w:t xml:space="preserve">is part of the consolidated entity constituted by the first entity and the entities it is required to include in the consolidated financial statements it prepares, or would be if the first entity was required to prepare consolidated financial statements. </w:t>
      </w:r>
    </w:p>
    <w:p w14:paraId="142E0C9F" w14:textId="33CD60FE" w:rsidR="001E2F2F" w:rsidRPr="00BA0ADA" w:rsidRDefault="00A97B24" w:rsidP="00D315FD">
      <w:pPr>
        <w:pStyle w:val="Heading8"/>
        <w:tabs>
          <w:tab w:val="clear" w:pos="1474"/>
          <w:tab w:val="num" w:pos="968"/>
        </w:tabs>
      </w:pPr>
      <w:r>
        <w:t>For clarity, a</w:t>
      </w:r>
      <w:r w:rsidR="2BC382E4">
        <w:t xml:space="preserve"> trust</w:t>
      </w:r>
      <w:r w:rsidR="00C9658B">
        <w:t>ee</w:t>
      </w:r>
      <w:r w:rsidR="2BC382E4">
        <w:t xml:space="preserve"> may be a subsidiary (and an entity may be a subsidiary of a trust</w:t>
      </w:r>
      <w:r w:rsidR="00C9658B">
        <w:t>ee</w:t>
      </w:r>
      <w:r w:rsidR="2BC382E4">
        <w:t>) if it would have been a subsidiary under this definition if that trust were a body corporate. For these purposes, a unit or other beneficial interest in a trust is to be regarded as a share.</w:t>
      </w:r>
    </w:p>
    <w:p w14:paraId="45A6F0E0" w14:textId="453B5CB8" w:rsidR="005E7167" w:rsidRPr="00485570" w:rsidRDefault="00BE34F5" w:rsidP="0058045D">
      <w:pPr>
        <w:pStyle w:val="Heading7"/>
      </w:pPr>
      <w:r>
        <w:rPr>
          <w:b/>
          <w:bCs/>
        </w:rPr>
        <w:t>Support</w:t>
      </w:r>
      <w:r w:rsidR="00045EB8" w:rsidRPr="1A62E2FE">
        <w:rPr>
          <w:b/>
          <w:bCs/>
        </w:rPr>
        <w:t xml:space="preserve"> </w:t>
      </w:r>
      <w:r w:rsidR="00045EB8" w:rsidRPr="1A62E2FE">
        <w:t xml:space="preserve">means </w:t>
      </w:r>
      <w:r>
        <w:t xml:space="preserve">the </w:t>
      </w:r>
      <w:r w:rsidR="00932AC9">
        <w:t xml:space="preserve">revenue </w:t>
      </w:r>
      <w:r w:rsidR="001D74D7">
        <w:t>support</w:t>
      </w:r>
      <w:r w:rsidR="00932AC9">
        <w:t xml:space="preserve"> mechanism</w:t>
      </w:r>
      <w:r w:rsidR="00045EB8" w:rsidRPr="1B09B674">
        <w:t xml:space="preserve"> </w:t>
      </w:r>
      <w:r w:rsidR="00863976">
        <w:t xml:space="preserve">provided </w:t>
      </w:r>
      <w:r w:rsidR="00045EB8" w:rsidRPr="1B09B674">
        <w:t xml:space="preserve">on </w:t>
      </w:r>
      <w:r w:rsidR="00863976">
        <w:t xml:space="preserve">the </w:t>
      </w:r>
      <w:r w:rsidR="00045EB8" w:rsidRPr="1B09B674">
        <w:t>terms outlined in</w:t>
      </w:r>
      <w:r w:rsidR="00045EB8">
        <w:rPr>
          <w:szCs w:val="18"/>
        </w:rPr>
        <w:t xml:space="preserve"> </w:t>
      </w:r>
      <w:r w:rsidR="00BD524D">
        <w:rPr>
          <w:bCs/>
        </w:rPr>
        <w:fldChar w:fldCharType="begin"/>
      </w:r>
      <w:r w:rsidR="00BD524D">
        <w:rPr>
          <w:bCs/>
        </w:rPr>
        <w:instrText xml:space="preserve"> REF _Ref103257737 \n \h </w:instrText>
      </w:r>
      <w:r w:rsidR="00BD524D">
        <w:rPr>
          <w:bCs/>
        </w:rPr>
      </w:r>
      <w:r w:rsidR="00BD524D">
        <w:rPr>
          <w:bCs/>
        </w:rPr>
        <w:fldChar w:fldCharType="separate"/>
      </w:r>
      <w:r w:rsidR="002E5C6A">
        <w:rPr>
          <w:bCs/>
        </w:rPr>
        <w:t>Schedule 1</w:t>
      </w:r>
      <w:r w:rsidR="00BD524D">
        <w:rPr>
          <w:bCs/>
        </w:rPr>
        <w:fldChar w:fldCharType="end"/>
      </w:r>
      <w:r w:rsidR="00BD524D">
        <w:rPr>
          <w:bCs/>
        </w:rPr>
        <w:t xml:space="preserve"> </w:t>
      </w:r>
      <w:r w:rsidR="00BD524D" w:rsidRPr="00DB62C3">
        <w:t>(“</w:t>
      </w:r>
      <w:r w:rsidR="00BD524D" w:rsidRPr="00DB62C3">
        <w:fldChar w:fldCharType="begin"/>
      </w:r>
      <w:r w:rsidR="00BD524D" w:rsidRPr="00DB62C3">
        <w:instrText xml:space="preserve"> REF _Ref467052756 \h  \* MERGEFORMAT </w:instrText>
      </w:r>
      <w:r w:rsidR="00BD524D" w:rsidRPr="00DB62C3">
        <w:fldChar w:fldCharType="separate"/>
      </w:r>
      <w:r w:rsidR="002E5C6A">
        <w:t>Support terms</w:t>
      </w:r>
      <w:r w:rsidR="00BD524D" w:rsidRPr="00DB62C3">
        <w:fldChar w:fldCharType="end"/>
      </w:r>
      <w:r w:rsidR="00BD524D" w:rsidRPr="00DB62C3">
        <w:t>”)</w:t>
      </w:r>
      <w:r w:rsidR="00045EB8">
        <w:rPr>
          <w:szCs w:val="18"/>
        </w:rPr>
        <w:t>.</w:t>
      </w:r>
    </w:p>
    <w:p w14:paraId="3073954C" w14:textId="77777777" w:rsidR="0069455E" w:rsidRDefault="00485570" w:rsidP="0058045D">
      <w:pPr>
        <w:pStyle w:val="Heading7"/>
      </w:pPr>
      <w:r w:rsidRPr="00FE113F">
        <w:rPr>
          <w:b/>
          <w:bCs/>
        </w:rPr>
        <w:t>Support Period</w:t>
      </w:r>
      <w:r w:rsidRPr="00FE113F">
        <w:t xml:space="preserve"> </w:t>
      </w:r>
      <w:r>
        <w:t xml:space="preserve">means the period </w:t>
      </w:r>
      <w:r w:rsidRPr="00FE113F">
        <w:t>commenc</w:t>
      </w:r>
      <w:r>
        <w:t>ing</w:t>
      </w:r>
      <w:r w:rsidRPr="00FE113F">
        <w:t xml:space="preserve"> on the </w:t>
      </w:r>
      <w:r>
        <w:t>Support Start Date and ending on the</w:t>
      </w:r>
      <w:r w:rsidR="0069455E">
        <w:t xml:space="preserve"> earlier of:</w:t>
      </w:r>
    </w:p>
    <w:p w14:paraId="5D3348DE" w14:textId="690EC41E" w:rsidR="0069455E" w:rsidRDefault="0069455E" w:rsidP="008F660B">
      <w:pPr>
        <w:pStyle w:val="Heading8"/>
        <w:numPr>
          <w:ilvl w:val="7"/>
          <w:numId w:val="131"/>
        </w:numPr>
        <w:tabs>
          <w:tab w:val="clear" w:pos="1474"/>
          <w:tab w:val="num" w:pos="968"/>
        </w:tabs>
      </w:pPr>
      <w:r>
        <w:tab/>
      </w:r>
      <w:r w:rsidR="00863976">
        <w:t xml:space="preserve">the </w:t>
      </w:r>
      <w:r w:rsidR="00485570">
        <w:t>Final Support End Date</w:t>
      </w:r>
      <w:r>
        <w:t>; and</w:t>
      </w:r>
    </w:p>
    <w:p w14:paraId="137F58B3" w14:textId="7686968D" w:rsidR="00485570" w:rsidRDefault="0069455E" w:rsidP="008F660B">
      <w:pPr>
        <w:pStyle w:val="Heading8"/>
        <w:tabs>
          <w:tab w:val="clear" w:pos="1474"/>
          <w:tab w:val="num" w:pos="968"/>
        </w:tabs>
      </w:pPr>
      <w:r>
        <w:tab/>
        <w:t>the end of the Term</w:t>
      </w:r>
      <w:r w:rsidR="00485570">
        <w:t>.</w:t>
      </w:r>
    </w:p>
    <w:p w14:paraId="417B5B8F" w14:textId="40C6FF14" w:rsidR="001530B4" w:rsidRPr="008F660B" w:rsidRDefault="001530B4" w:rsidP="008F660B">
      <w:pPr>
        <w:pStyle w:val="Heading7"/>
        <w:numPr>
          <w:ilvl w:val="6"/>
          <w:numId w:val="61"/>
        </w:numPr>
        <w:rPr>
          <w:highlight w:val="magenta"/>
        </w:rPr>
      </w:pPr>
      <w:r>
        <w:rPr>
          <w:b/>
          <w:bCs/>
        </w:rPr>
        <w:t xml:space="preserve">Support Receipt Period </w:t>
      </w:r>
      <w:r>
        <w:t xml:space="preserve">means the Support Period excluding any Opt-Out Period in respect of which Project Operator validly exercises, or is deemed to exercise, an Option in accordance with </w:t>
      </w:r>
      <w:r w:rsidRPr="000B5694">
        <w:t xml:space="preserve">clause </w:t>
      </w:r>
      <w:r w:rsidR="00235717" w:rsidRPr="000B5694">
        <w:fldChar w:fldCharType="begin"/>
      </w:r>
      <w:r w:rsidR="00235717" w:rsidRPr="000B5694">
        <w:instrText xml:space="preserve"> REF _Ref204704529 \r \h </w:instrText>
      </w:r>
      <w:r w:rsidR="00235717" w:rsidRPr="008F660B">
        <w:instrText xml:space="preserve"> \* MERGEFORMAT </w:instrText>
      </w:r>
      <w:r w:rsidR="00235717" w:rsidRPr="000B5694">
        <w:fldChar w:fldCharType="separate"/>
      </w:r>
      <w:r w:rsidR="002E5C6A">
        <w:t>14.3</w:t>
      </w:r>
      <w:r w:rsidR="00235717" w:rsidRPr="000B5694">
        <w:fldChar w:fldCharType="end"/>
      </w:r>
      <w:r w:rsidRPr="000B5694">
        <w:t xml:space="preserve"> (“</w:t>
      </w:r>
      <w:r w:rsidR="00235717" w:rsidRPr="000B5694">
        <w:fldChar w:fldCharType="begin"/>
      </w:r>
      <w:r w:rsidR="00235717" w:rsidRPr="000B5694">
        <w:instrText xml:space="preserve"> REF _Ref204704529 \h </w:instrText>
      </w:r>
      <w:r w:rsidR="00235717" w:rsidRPr="008F660B">
        <w:instrText xml:space="preserve"> \* MERGEFORMAT </w:instrText>
      </w:r>
      <w:r w:rsidR="00235717" w:rsidRPr="000B5694">
        <w:fldChar w:fldCharType="separate"/>
      </w:r>
      <w:r w:rsidR="002E5C6A">
        <w:t>Option to not receive Support</w:t>
      </w:r>
      <w:r w:rsidR="00235717" w:rsidRPr="000B5694">
        <w:fldChar w:fldCharType="end"/>
      </w:r>
      <w:r w:rsidRPr="000B5694">
        <w:t>”).</w:t>
      </w:r>
    </w:p>
    <w:p w14:paraId="50E6B173" w14:textId="69C0108B" w:rsidR="00506261" w:rsidRPr="00FA246D" w:rsidRDefault="009E68EA" w:rsidP="00B5506F">
      <w:pPr>
        <w:pStyle w:val="Heading7"/>
        <w:keepNext/>
        <w:numPr>
          <w:ilvl w:val="0"/>
          <w:numId w:val="0"/>
        </w:numPr>
        <w:ind w:left="737" w:hanging="6"/>
      </w:pPr>
      <w:r w:rsidRPr="00FA246D">
        <w:rPr>
          <w:b/>
          <w:bCs/>
        </w:rPr>
        <w:t xml:space="preserve">Support Start Date </w:t>
      </w:r>
      <w:r w:rsidR="00506261" w:rsidRPr="00FA246D">
        <w:t>means</w:t>
      </w:r>
      <w:r w:rsidR="00814368" w:rsidRPr="00FA246D">
        <w:t xml:space="preserve">, subject to clause </w:t>
      </w:r>
      <w:r w:rsidR="00814368" w:rsidRPr="00FA246D">
        <w:fldChar w:fldCharType="begin"/>
      </w:r>
      <w:r w:rsidR="00814368" w:rsidRPr="00FA246D">
        <w:instrText xml:space="preserve"> REF _Ref171501340 \n \h </w:instrText>
      </w:r>
      <w:r w:rsidR="002F7076" w:rsidRPr="008F660B">
        <w:instrText xml:space="preserve"> \* MERGEFORMAT </w:instrText>
      </w:r>
      <w:r w:rsidR="00814368" w:rsidRPr="00FA246D">
        <w:fldChar w:fldCharType="separate"/>
      </w:r>
      <w:r w:rsidR="002E5C6A">
        <w:t>1.14</w:t>
      </w:r>
      <w:r w:rsidR="00814368" w:rsidRPr="00FA246D">
        <w:fldChar w:fldCharType="end"/>
      </w:r>
      <w:r w:rsidR="00814368" w:rsidRPr="00FA246D">
        <w:t xml:space="preserve"> (“</w:t>
      </w:r>
      <w:r w:rsidR="00814368" w:rsidRPr="00FA246D">
        <w:fldChar w:fldCharType="begin"/>
      </w:r>
      <w:r w:rsidR="00814368" w:rsidRPr="00FA246D">
        <w:instrText xml:space="preserve"> REF _Ref171501340 \h </w:instrText>
      </w:r>
      <w:r w:rsidR="002F7076" w:rsidRPr="008F660B">
        <w:instrText xml:space="preserve"> \* MERGEFORMAT </w:instrText>
      </w:r>
      <w:r w:rsidR="00814368" w:rsidRPr="00FA246D">
        <w:fldChar w:fldCharType="separate"/>
      </w:r>
      <w:r w:rsidR="002E5C6A">
        <w:t>Early commencement of the First Support Year</w:t>
      </w:r>
      <w:r w:rsidR="00814368" w:rsidRPr="00FA246D">
        <w:fldChar w:fldCharType="end"/>
      </w:r>
      <w:r w:rsidR="00814368" w:rsidRPr="00FA246D">
        <w:t>”),</w:t>
      </w:r>
      <w:r w:rsidR="00506261" w:rsidRPr="00FA246D">
        <w:t xml:space="preserve"> the earlier of: </w:t>
      </w:r>
    </w:p>
    <w:p w14:paraId="02552B37" w14:textId="244A8F64" w:rsidR="00A670F0" w:rsidRDefault="00002A4C" w:rsidP="00797170">
      <w:pPr>
        <w:pStyle w:val="Heading8"/>
        <w:numPr>
          <w:ilvl w:val="7"/>
          <w:numId w:val="131"/>
        </w:numPr>
        <w:tabs>
          <w:tab w:val="clear" w:pos="1474"/>
          <w:tab w:val="num" w:pos="968"/>
        </w:tabs>
      </w:pPr>
      <w:r w:rsidRPr="00FA246D">
        <w:t>if:</w:t>
      </w:r>
      <w:r w:rsidR="00A670F0">
        <w:t xml:space="preserve"> </w:t>
      </w:r>
    </w:p>
    <w:p w14:paraId="5165946A" w14:textId="6F46987F" w:rsidR="00002A4C" w:rsidRPr="00FA246D" w:rsidRDefault="00002A4C" w:rsidP="00797170">
      <w:pPr>
        <w:pStyle w:val="Heading9"/>
        <w:tabs>
          <w:tab w:val="clear" w:pos="2439"/>
          <w:tab w:val="num" w:pos="2211"/>
        </w:tabs>
        <w:ind w:left="2211"/>
      </w:pPr>
      <w:r w:rsidRPr="00FA246D">
        <w:t>the Commercial Operations Date is the first day of a Capacity Year, the Commercial Operations Date; or</w:t>
      </w:r>
    </w:p>
    <w:p w14:paraId="1D6283C0" w14:textId="5B6BC605" w:rsidR="007A2529" w:rsidRPr="00FA246D" w:rsidRDefault="00A670F0" w:rsidP="006A46E7">
      <w:pPr>
        <w:pStyle w:val="Heading9"/>
        <w:tabs>
          <w:tab w:val="clear" w:pos="2439"/>
          <w:tab w:val="num" w:pos="2211"/>
        </w:tabs>
        <w:ind w:left="2211"/>
      </w:pPr>
      <w:bookmarkStart w:id="154" w:name="_Ref206758732"/>
      <w:r>
        <w:t>t</w:t>
      </w:r>
      <w:r w:rsidR="00506261" w:rsidRPr="00FA246D">
        <w:t>he Commercial Operations Date</w:t>
      </w:r>
      <w:r w:rsidR="00002A4C" w:rsidRPr="00FA246D">
        <w:t xml:space="preserve"> is not the first day of a Capacity Year</w:t>
      </w:r>
      <w:r w:rsidR="007A2529" w:rsidRPr="00FA246D">
        <w:t>:</w:t>
      </w:r>
      <w:bookmarkEnd w:id="154"/>
    </w:p>
    <w:p w14:paraId="4DF88846" w14:textId="27CF6875" w:rsidR="007A2529" w:rsidRDefault="007A2529" w:rsidP="008F660B">
      <w:pPr>
        <w:pStyle w:val="Heading5"/>
        <w:numPr>
          <w:ilvl w:val="4"/>
          <w:numId w:val="113"/>
        </w:numPr>
      </w:pPr>
      <w:bookmarkStart w:id="155" w:name="_Ref206758735"/>
      <w:r w:rsidRPr="00FA246D">
        <w:t>and</w:t>
      </w:r>
      <w:r w:rsidR="00002A4C" w:rsidRPr="00FA246D">
        <w:t xml:space="preserve"> the </w:t>
      </w:r>
      <w:r w:rsidR="00341C1E" w:rsidRPr="00FA246D">
        <w:t xml:space="preserve">earliest </w:t>
      </w:r>
      <w:r w:rsidR="00002A4C" w:rsidRPr="00FA246D">
        <w:t xml:space="preserve">date </w:t>
      </w:r>
      <w:r w:rsidR="00744D45" w:rsidRPr="00FA246D">
        <w:t>on or after the Commercial Operations Date on which AEMO has assigned Peak Capacity Credits to Project Operator for the Project and Reserve Capacity Obligations for Project</w:t>
      </w:r>
      <w:r w:rsidR="00744D45" w:rsidRPr="00AC23E1">
        <w:t xml:space="preserve"> Operator apply</w:t>
      </w:r>
      <w:r>
        <w:t xml:space="preserve"> is the first day of a calendar month, then that date; or</w:t>
      </w:r>
      <w:bookmarkEnd w:id="155"/>
    </w:p>
    <w:p w14:paraId="40FB84FE" w14:textId="0C69DCFC" w:rsidR="00506261" w:rsidRPr="00AC23E1" w:rsidRDefault="007A2529" w:rsidP="008F660B">
      <w:pPr>
        <w:pStyle w:val="Heading5"/>
      </w:pPr>
      <w:r>
        <w:t xml:space="preserve">if paragraph </w:t>
      </w:r>
      <w:r w:rsidR="00C8089F">
        <w:fldChar w:fldCharType="begin"/>
      </w:r>
      <w:r w:rsidR="00C8089F">
        <w:instrText xml:space="preserve"> REF _Ref206758732 \n \h </w:instrText>
      </w:r>
      <w:r w:rsidR="00C8089F">
        <w:fldChar w:fldCharType="separate"/>
      </w:r>
      <w:r w:rsidR="006A46E7">
        <w:t>(ii)</w:t>
      </w:r>
      <w:r w:rsidR="00C8089F">
        <w:fldChar w:fldCharType="end"/>
      </w:r>
      <w:r w:rsidR="00C8089F">
        <w:fldChar w:fldCharType="begin"/>
      </w:r>
      <w:r w:rsidR="00C8089F">
        <w:instrText xml:space="preserve"> REF _Ref206758735 \n \h </w:instrText>
      </w:r>
      <w:r w:rsidR="00C8089F">
        <w:fldChar w:fldCharType="separate"/>
      </w:r>
      <w:r w:rsidR="006A46E7">
        <w:t>(A)</w:t>
      </w:r>
      <w:r w:rsidR="00C8089F">
        <w:fldChar w:fldCharType="end"/>
      </w:r>
      <w:r>
        <w:t xml:space="preserve"> does not apply, the first day of the calendar month immediately following the calendar month in which </w:t>
      </w:r>
      <w:r w:rsidR="00002A4C" w:rsidRPr="00AC23E1">
        <w:t xml:space="preserve">the </w:t>
      </w:r>
      <w:r w:rsidR="00341C1E" w:rsidRPr="00AC23E1">
        <w:t xml:space="preserve">earliest </w:t>
      </w:r>
      <w:r w:rsidR="00002A4C" w:rsidRPr="00AC23E1">
        <w:t xml:space="preserve">date </w:t>
      </w:r>
      <w:r w:rsidR="00744D45" w:rsidRPr="00AC23E1">
        <w:t>on or after the Commercial Operations Date on which AEMO has assigned Peak Capacity Credits to Project Operator for the Project and Reserve Capacity Obligations for Project Operator apply</w:t>
      </w:r>
      <w:r>
        <w:t xml:space="preserve"> occurs</w:t>
      </w:r>
      <w:r w:rsidR="00744D45" w:rsidRPr="00AC23E1">
        <w:t>; and</w:t>
      </w:r>
    </w:p>
    <w:p w14:paraId="0C29DFFD" w14:textId="1ED1AD8C" w:rsidR="00BE1D5A" w:rsidRPr="00961F64" w:rsidRDefault="00340697" w:rsidP="008F660B">
      <w:pPr>
        <w:pStyle w:val="Heading8"/>
        <w:numPr>
          <w:ilvl w:val="7"/>
          <w:numId w:val="119"/>
        </w:numPr>
      </w:pPr>
      <w:r w:rsidRPr="00961F64">
        <w:t>the Final Support Commencement Date.</w:t>
      </w:r>
      <w:r w:rsidR="000B674A" w:rsidRPr="00961F64">
        <w:t xml:space="preserve"> </w:t>
      </w:r>
    </w:p>
    <w:p w14:paraId="16B5579A" w14:textId="77777777" w:rsidR="007900C1" w:rsidRDefault="00880B95" w:rsidP="00863976">
      <w:pPr>
        <w:pStyle w:val="Heading7"/>
        <w:keepNext/>
        <w:numPr>
          <w:ilvl w:val="6"/>
          <w:numId w:val="0"/>
        </w:numPr>
        <w:ind w:left="737"/>
      </w:pPr>
      <w:r>
        <w:rPr>
          <w:b/>
          <w:bCs/>
        </w:rPr>
        <w:t>Support</w:t>
      </w:r>
      <w:r w:rsidRPr="2BC382E4">
        <w:rPr>
          <w:b/>
          <w:bCs/>
        </w:rPr>
        <w:t xml:space="preserve"> Year </w:t>
      </w:r>
      <w:r>
        <w:t>means</w:t>
      </w:r>
      <w:r w:rsidR="007900C1">
        <w:t>:</w:t>
      </w:r>
    </w:p>
    <w:p w14:paraId="45EE6A83" w14:textId="4227933E" w:rsidR="007900C1" w:rsidRDefault="003E10A8" w:rsidP="008F660B">
      <w:pPr>
        <w:pStyle w:val="Heading8"/>
        <w:numPr>
          <w:ilvl w:val="7"/>
          <w:numId w:val="83"/>
        </w:numPr>
      </w:pPr>
      <w:bookmarkStart w:id="156" w:name="_Hlk170467513"/>
      <w:r>
        <w:t xml:space="preserve">for the </w:t>
      </w:r>
      <w:r w:rsidR="003429A0">
        <w:t>F</w:t>
      </w:r>
      <w:r>
        <w:t xml:space="preserve">irst Support Year, </w:t>
      </w:r>
      <w:r w:rsidR="00814368">
        <w:t xml:space="preserve">subject to clause </w:t>
      </w:r>
      <w:r w:rsidR="00814368">
        <w:fldChar w:fldCharType="begin"/>
      </w:r>
      <w:r w:rsidR="00814368">
        <w:instrText xml:space="preserve"> REF _Ref171501340 \n \h </w:instrText>
      </w:r>
      <w:r w:rsidR="00814368">
        <w:fldChar w:fldCharType="separate"/>
      </w:r>
      <w:r w:rsidR="002E5C6A">
        <w:t>1.14</w:t>
      </w:r>
      <w:r w:rsidR="00814368">
        <w:fldChar w:fldCharType="end"/>
      </w:r>
      <w:r w:rsidR="00814368">
        <w:t xml:space="preserve"> (“</w:t>
      </w:r>
      <w:r w:rsidR="00814368">
        <w:fldChar w:fldCharType="begin"/>
      </w:r>
      <w:r w:rsidR="00814368">
        <w:instrText xml:space="preserve"> REF _Ref171501340 \h </w:instrText>
      </w:r>
      <w:r w:rsidR="00814368">
        <w:fldChar w:fldCharType="separate"/>
      </w:r>
      <w:r w:rsidR="002E5C6A">
        <w:t>Early commencement of the First Support Year</w:t>
      </w:r>
      <w:r w:rsidR="00814368">
        <w:fldChar w:fldCharType="end"/>
      </w:r>
      <w:r w:rsidR="00814368">
        <w:t xml:space="preserve">”), </w:t>
      </w:r>
      <w:r>
        <w:t xml:space="preserve">the period commencing </w:t>
      </w:r>
      <w:r w:rsidR="008F3172">
        <w:t xml:space="preserve">at the start of </w:t>
      </w:r>
      <w:r>
        <w:t xml:space="preserve">the first </w:t>
      </w:r>
      <w:r w:rsidR="000A11E2">
        <w:t>Trading D</w:t>
      </w:r>
      <w:r>
        <w:t>ay of the Support Period</w:t>
      </w:r>
      <w:r w:rsidR="008F3172">
        <w:t xml:space="preserve"> and ending on the end of the </w:t>
      </w:r>
      <w:r w:rsidR="00131A71">
        <w:t xml:space="preserve">last </w:t>
      </w:r>
      <w:r w:rsidR="008F3172">
        <w:t xml:space="preserve">Trading Day </w:t>
      </w:r>
      <w:r w:rsidR="00131A71">
        <w:t>of the Capacity Year in which the Support Start Date occurs</w:t>
      </w:r>
      <w:r>
        <w:t>;</w:t>
      </w:r>
    </w:p>
    <w:p w14:paraId="66790CF0" w14:textId="10ACE53F" w:rsidR="003E10A8" w:rsidRDefault="003E10A8" w:rsidP="008F660B">
      <w:pPr>
        <w:pStyle w:val="Heading8"/>
        <w:numPr>
          <w:ilvl w:val="7"/>
          <w:numId w:val="83"/>
        </w:numPr>
      </w:pPr>
      <w:bookmarkStart w:id="157" w:name="_Ref171518640"/>
      <w:r>
        <w:t xml:space="preserve">subject to paragraph </w:t>
      </w:r>
      <w:r w:rsidR="00470C1B">
        <w:fldChar w:fldCharType="begin"/>
      </w:r>
      <w:r w:rsidR="00470C1B">
        <w:instrText xml:space="preserve"> REF _Ref171518623 \n \h </w:instrText>
      </w:r>
      <w:r w:rsidR="00470C1B">
        <w:fldChar w:fldCharType="separate"/>
      </w:r>
      <w:r w:rsidR="002E5C6A">
        <w:t>(c)</w:t>
      </w:r>
      <w:r w:rsidR="00470C1B">
        <w:fldChar w:fldCharType="end"/>
      </w:r>
      <w:r>
        <w:t xml:space="preserve"> of this definition, each subsequent 12 month period during the Support Period commencing</w:t>
      </w:r>
      <w:r w:rsidR="00E55A70">
        <w:t xml:space="preserve"> at </w:t>
      </w:r>
      <w:r w:rsidR="00A131E5">
        <w:t>the start of the</w:t>
      </w:r>
      <w:r w:rsidR="00FA48D7">
        <w:t xml:space="preserve"> first</w:t>
      </w:r>
      <w:r w:rsidR="00A131E5">
        <w:t xml:space="preserve"> Trading Day </w:t>
      </w:r>
      <w:r w:rsidR="00FA48D7">
        <w:t xml:space="preserve">of a Capacity Year </w:t>
      </w:r>
      <w:r>
        <w:t xml:space="preserve">and ending on </w:t>
      </w:r>
      <w:r w:rsidR="00A131E5">
        <w:t>the end of the</w:t>
      </w:r>
      <w:r w:rsidR="00FA48D7">
        <w:t xml:space="preserve"> last</w:t>
      </w:r>
      <w:r w:rsidR="00A131E5">
        <w:t xml:space="preserve"> Trading Day </w:t>
      </w:r>
      <w:r w:rsidR="00FA48D7">
        <w:t>of that Capacity Year</w:t>
      </w:r>
      <w:r>
        <w:t>; and</w:t>
      </w:r>
      <w:bookmarkEnd w:id="157"/>
    </w:p>
    <w:p w14:paraId="4CF23BDD" w14:textId="53181BEB" w:rsidR="003E10A8" w:rsidRDefault="003E10A8" w:rsidP="008F660B">
      <w:pPr>
        <w:pStyle w:val="Heading8"/>
        <w:numPr>
          <w:ilvl w:val="7"/>
          <w:numId w:val="83"/>
        </w:numPr>
      </w:pPr>
      <w:bookmarkStart w:id="158" w:name="_Ref171518623"/>
      <w:r>
        <w:t xml:space="preserve">for the </w:t>
      </w:r>
      <w:r w:rsidR="00154065">
        <w:t>F</w:t>
      </w:r>
      <w:r>
        <w:t xml:space="preserve">inal Support Year, the period </w:t>
      </w:r>
      <w:r w:rsidR="00EF0C07">
        <w:t xml:space="preserve">commencing at </w:t>
      </w:r>
      <w:r>
        <w:t xml:space="preserve">the end of the last Support Year (as identified in paragraph </w:t>
      </w:r>
      <w:r w:rsidR="00470C1B">
        <w:fldChar w:fldCharType="begin"/>
      </w:r>
      <w:r w:rsidR="00470C1B">
        <w:instrText xml:space="preserve"> REF _Ref171518640 \n \h </w:instrText>
      </w:r>
      <w:r w:rsidR="00470C1B">
        <w:fldChar w:fldCharType="separate"/>
      </w:r>
      <w:r w:rsidR="002E5C6A">
        <w:t>(b)</w:t>
      </w:r>
      <w:r w:rsidR="00470C1B">
        <w:fldChar w:fldCharType="end"/>
      </w:r>
      <w:r w:rsidR="00470C1B">
        <w:t xml:space="preserve"> </w:t>
      </w:r>
      <w:r>
        <w:t xml:space="preserve">of this definition) </w:t>
      </w:r>
      <w:r w:rsidR="00EF0C07">
        <w:t xml:space="preserve">and ending on the end of the last Trading Day </w:t>
      </w:r>
      <w:r>
        <w:t>of the Term</w:t>
      </w:r>
      <w:r w:rsidR="001530B4">
        <w:t>,</w:t>
      </w:r>
      <w:bookmarkEnd w:id="158"/>
    </w:p>
    <w:p w14:paraId="608405DF" w14:textId="627B9A30" w:rsidR="001530B4" w:rsidRDefault="001530B4" w:rsidP="008F660B">
      <w:pPr>
        <w:pStyle w:val="Heading7"/>
        <w:numPr>
          <w:ilvl w:val="6"/>
          <w:numId w:val="83"/>
        </w:numPr>
      </w:pPr>
      <w:r>
        <w:t>except for Opt-Out Years.</w:t>
      </w:r>
    </w:p>
    <w:bookmarkEnd w:id="156"/>
    <w:p w14:paraId="03EF5D9D" w14:textId="27C95C5D" w:rsidR="00BB3F9B" w:rsidRDefault="000C6B38" w:rsidP="0058045D">
      <w:pPr>
        <w:pStyle w:val="Heading7"/>
      </w:pPr>
      <w:r w:rsidRPr="00131021">
        <w:rPr>
          <w:b/>
          <w:bCs/>
        </w:rPr>
        <w:t>SWIS</w:t>
      </w:r>
      <w:r>
        <w:t xml:space="preserve"> means the “South West </w:t>
      </w:r>
      <w:r w:rsidR="002A75DB">
        <w:t>i</w:t>
      </w:r>
      <w:r>
        <w:t>nterconnected system” as defined in the Electricity Industry Act</w:t>
      </w:r>
      <w:r w:rsidR="00BB3F9B">
        <w:t>.</w:t>
      </w:r>
    </w:p>
    <w:p w14:paraId="10E6F8B9" w14:textId="77777777" w:rsidR="00262925" w:rsidRPr="009E68EA" w:rsidRDefault="49D70CC2" w:rsidP="0058045D">
      <w:pPr>
        <w:pStyle w:val="Heading7"/>
      </w:pPr>
      <w:r w:rsidRPr="009E68EA">
        <w:rPr>
          <w:b/>
          <w:bCs/>
        </w:rPr>
        <w:t>Tax Invoice</w:t>
      </w:r>
      <w:r w:rsidRPr="009E68EA">
        <w:t xml:space="preserve"> has the meaning given to that term by the GST Law.</w:t>
      </w:r>
    </w:p>
    <w:p w14:paraId="07E09CE3" w14:textId="77777777" w:rsidR="00AA1C56" w:rsidRPr="009E68EA" w:rsidRDefault="49D70CC2" w:rsidP="0058045D">
      <w:pPr>
        <w:pStyle w:val="Heading7"/>
      </w:pPr>
      <w:r w:rsidRPr="009E68EA">
        <w:rPr>
          <w:b/>
          <w:bCs/>
        </w:rPr>
        <w:t>Taxable Supply</w:t>
      </w:r>
      <w:r w:rsidRPr="009E68EA">
        <w:t xml:space="preserve"> has the meaning given to that term by the GST Law.</w:t>
      </w:r>
    </w:p>
    <w:p w14:paraId="4EEF7579" w14:textId="72E927C2" w:rsidR="00027100" w:rsidRPr="009E68EA" w:rsidRDefault="49D70CC2" w:rsidP="0058045D">
      <w:pPr>
        <w:pStyle w:val="Heading7"/>
      </w:pPr>
      <w:r w:rsidRPr="009E68EA">
        <w:rPr>
          <w:b/>
          <w:bCs/>
        </w:rPr>
        <w:t>Tender</w:t>
      </w:r>
      <w:r w:rsidRPr="009E68EA">
        <w:t xml:space="preserve"> means </w:t>
      </w:r>
      <w:r w:rsidR="00863976">
        <w:t xml:space="preserve">all of </w:t>
      </w:r>
      <w:r w:rsidR="00863976" w:rsidRPr="009E68EA">
        <w:t xml:space="preserve">the </w:t>
      </w:r>
      <w:r w:rsidR="00863976">
        <w:t xml:space="preserve">bid </w:t>
      </w:r>
      <w:r w:rsidRPr="009E68EA">
        <w:t xml:space="preserve">documents </w:t>
      </w:r>
      <w:r w:rsidR="00863976">
        <w:t>submitted</w:t>
      </w:r>
      <w:r w:rsidR="00863976" w:rsidRPr="009E68EA" w:rsidDel="00863976">
        <w:t xml:space="preserve"> </w:t>
      </w:r>
      <w:r w:rsidRPr="009E68EA">
        <w:t xml:space="preserve">by Project Operator (or an associated entity) as part of the </w:t>
      </w:r>
      <w:r w:rsidR="00863976">
        <w:t>Tender Process</w:t>
      </w:r>
      <w:r w:rsidRPr="009E68EA">
        <w:t>.</w:t>
      </w:r>
    </w:p>
    <w:p w14:paraId="39CFE7A9" w14:textId="042D7FF2" w:rsidR="00B10E63" w:rsidRDefault="49D70CC2" w:rsidP="0058045D">
      <w:pPr>
        <w:pStyle w:val="Heading7"/>
      </w:pPr>
      <w:bookmarkStart w:id="159" w:name="_Hlk108022150"/>
      <w:r w:rsidRPr="009E68EA">
        <w:rPr>
          <w:b/>
          <w:bCs/>
        </w:rPr>
        <w:t xml:space="preserve">Tender Date </w:t>
      </w:r>
      <w:r w:rsidRPr="009E68EA">
        <w:t>means the</w:t>
      </w:r>
      <w:r w:rsidRPr="009E68EA">
        <w:rPr>
          <w:b/>
          <w:bCs/>
        </w:rPr>
        <w:t xml:space="preserve"> </w:t>
      </w:r>
      <w:r w:rsidRPr="009E68EA">
        <w:t xml:space="preserve">date on which Project Operator (or an associated entity) submitted its “Bid” as part of the Tender </w:t>
      </w:r>
      <w:r w:rsidR="005A5C3F">
        <w:t>P</w:t>
      </w:r>
      <w:r w:rsidRPr="009E68EA">
        <w:t>rocess</w:t>
      </w:r>
      <w:r w:rsidR="00DC5E1B">
        <w:t>, being [</w:t>
      </w:r>
      <w:r w:rsidR="00DC5E1B" w:rsidRPr="008F660B">
        <w:rPr>
          <w:highlight w:val="yellow"/>
        </w:rPr>
        <w:t>insert</w:t>
      </w:r>
      <w:r w:rsidR="00DC5E1B">
        <w:t>]</w:t>
      </w:r>
      <w:r w:rsidRPr="009E68EA">
        <w:t>.</w:t>
      </w:r>
      <w:r w:rsidR="00DC5E1B" w:rsidRPr="00DC5E1B">
        <w:t xml:space="preserve"> </w:t>
      </w:r>
    </w:p>
    <w:p w14:paraId="537A87F6" w14:textId="29EE661B" w:rsidR="007368E4" w:rsidRDefault="00DC5E1B" w:rsidP="0058045D">
      <w:pPr>
        <w:pStyle w:val="Heading7"/>
      </w:pPr>
      <w:r>
        <w:t>[</w:t>
      </w:r>
      <w:r w:rsidRPr="009927C6">
        <w:rPr>
          <w:b/>
          <w:bCs/>
          <w:i/>
          <w:iCs/>
          <w:highlight w:val="lightGray"/>
        </w:rPr>
        <w:t>Note: the Tender Date will be hardcoded into the execution version of the agreement]</w:t>
      </w:r>
      <w:r w:rsidR="49D70CC2" w:rsidRPr="009E68EA">
        <w:t xml:space="preserve"> </w:t>
      </w:r>
    </w:p>
    <w:p w14:paraId="213A9F71" w14:textId="29C80836" w:rsidR="00537501" w:rsidRPr="008F660B" w:rsidRDefault="00537501" w:rsidP="0058045D">
      <w:pPr>
        <w:pStyle w:val="Heading7"/>
        <w:rPr>
          <w:b/>
          <w:bCs/>
        </w:rPr>
      </w:pPr>
      <w:r w:rsidRPr="008F660B">
        <w:rPr>
          <w:b/>
          <w:bCs/>
        </w:rPr>
        <w:t xml:space="preserve">Tender Guidelines </w:t>
      </w:r>
      <w:r>
        <w:t xml:space="preserve">means </w:t>
      </w:r>
      <w:r w:rsidR="0085315C">
        <w:t>th</w:t>
      </w:r>
      <w:r w:rsidR="00754B37">
        <w:t>e</w:t>
      </w:r>
      <w:r w:rsidR="000766C0">
        <w:t xml:space="preserve"> document titled</w:t>
      </w:r>
      <w:r w:rsidR="00754B37">
        <w:t xml:space="preserve"> </w:t>
      </w:r>
      <w:r w:rsidR="00EF2FB5">
        <w:t>“</w:t>
      </w:r>
      <w:r w:rsidR="00D5113B">
        <w:t xml:space="preserve">Capacity Investment Scheme Tender 6: Wholesale Electricity market Dispatchable Capacity </w:t>
      </w:r>
      <w:r w:rsidR="00754B37">
        <w:t>Tender Guidelines</w:t>
      </w:r>
      <w:r w:rsidR="00EF2FB5">
        <w:t>”</w:t>
      </w:r>
      <w:r w:rsidR="00754B37">
        <w:t xml:space="preserve"> published by AEMO on </w:t>
      </w:r>
      <w:r w:rsidR="00C379ED">
        <w:t>29</w:t>
      </w:r>
      <w:r w:rsidR="00D5113B">
        <w:t xml:space="preserve"> August 2025</w:t>
      </w:r>
      <w:r w:rsidR="00754B37">
        <w:t xml:space="preserve">, including the </w:t>
      </w:r>
      <w:r w:rsidR="00E431DD">
        <w:t>“</w:t>
      </w:r>
      <w:r w:rsidR="00754B37">
        <w:t>Tender Conditions</w:t>
      </w:r>
      <w:r w:rsidR="00E431DD">
        <w:t>”</w:t>
      </w:r>
      <w:r w:rsidR="00754B37">
        <w:t xml:space="preserve"> and any schedules, attachments, appendices</w:t>
      </w:r>
      <w:r w:rsidR="000766C0">
        <w:t xml:space="preserve"> </w:t>
      </w:r>
      <w:r w:rsidR="00754B37">
        <w:t>or any addenda</w:t>
      </w:r>
      <w:r w:rsidR="000766C0">
        <w:t xml:space="preserve"> to that document.</w:t>
      </w:r>
    </w:p>
    <w:p w14:paraId="7FCE74BC" w14:textId="0C0E853F" w:rsidR="005A5C3F" w:rsidRPr="009E68EA" w:rsidRDefault="005A5C3F" w:rsidP="005A5C3F">
      <w:pPr>
        <w:pStyle w:val="Heading7"/>
      </w:pPr>
      <w:r w:rsidRPr="009E68EA">
        <w:rPr>
          <w:b/>
          <w:bCs/>
        </w:rPr>
        <w:t>Tender</w:t>
      </w:r>
      <w:r>
        <w:rPr>
          <w:b/>
          <w:bCs/>
        </w:rPr>
        <w:t xml:space="preserve"> Process</w:t>
      </w:r>
      <w:r w:rsidRPr="009E68EA">
        <w:t xml:space="preserve"> means the process </w:t>
      </w:r>
      <w:r>
        <w:t xml:space="preserve">in which the Australian Government sought tenders, and </w:t>
      </w:r>
      <w:r w:rsidRPr="009E68EA">
        <w:t xml:space="preserve">Project Operator (or an associated entity) submitted a </w:t>
      </w:r>
      <w:r>
        <w:t xml:space="preserve">Tender, </w:t>
      </w:r>
      <w:r w:rsidRPr="009E68EA">
        <w:t>to enter into this agreement as part of the Australian Government’s Capacity Investment Scheme.</w:t>
      </w:r>
    </w:p>
    <w:p w14:paraId="1EBEBC84" w14:textId="77777777" w:rsidR="00397A27" w:rsidRPr="009E68EA" w:rsidRDefault="00397A27" w:rsidP="0058045D">
      <w:pPr>
        <w:keepNext/>
        <w:spacing w:after="240"/>
        <w:ind w:left="737"/>
        <w:outlineLvl w:val="7"/>
      </w:pPr>
      <w:r w:rsidRPr="009E68EA">
        <w:rPr>
          <w:b/>
          <w:bCs/>
        </w:rPr>
        <w:t>Tenure</w:t>
      </w:r>
      <w:r w:rsidRPr="009E68EA">
        <w:t xml:space="preserve"> means: </w:t>
      </w:r>
    </w:p>
    <w:p w14:paraId="1652C6C2" w14:textId="77777777" w:rsidR="00397A27" w:rsidRPr="009E68EA" w:rsidRDefault="00397A27" w:rsidP="008F660B">
      <w:pPr>
        <w:numPr>
          <w:ilvl w:val="7"/>
          <w:numId w:val="64"/>
        </w:numPr>
        <w:tabs>
          <w:tab w:val="clear" w:pos="1474"/>
          <w:tab w:val="num" w:pos="968"/>
        </w:tabs>
        <w:spacing w:after="240"/>
        <w:outlineLvl w:val="7"/>
      </w:pPr>
      <w:r w:rsidRPr="009E68EA">
        <w:t xml:space="preserve">a freehold interest; and/or </w:t>
      </w:r>
    </w:p>
    <w:p w14:paraId="009FB9CD" w14:textId="77777777" w:rsidR="00397A27" w:rsidRPr="009E68EA" w:rsidRDefault="00397A27" w:rsidP="008F660B">
      <w:pPr>
        <w:numPr>
          <w:ilvl w:val="7"/>
          <w:numId w:val="63"/>
        </w:numPr>
        <w:tabs>
          <w:tab w:val="clear" w:pos="1474"/>
          <w:tab w:val="num" w:pos="968"/>
        </w:tabs>
        <w:spacing w:after="240"/>
        <w:outlineLvl w:val="7"/>
      </w:pPr>
      <w:r w:rsidRPr="009E68EA">
        <w:t xml:space="preserve">an interest under a lease, sale and purchase agreement, transfer granting an easement agreement, easement or similar right including any valid option to enter into such an agreement or right, </w:t>
      </w:r>
    </w:p>
    <w:p w14:paraId="0AA79F3B" w14:textId="2D0441CD" w:rsidR="00397A27" w:rsidRPr="009E68EA" w:rsidRDefault="005A5C3F" w:rsidP="0058045D">
      <w:pPr>
        <w:spacing w:after="240"/>
        <w:ind w:left="737"/>
        <w:outlineLvl w:val="7"/>
      </w:pPr>
      <w:r>
        <w:t>that</w:t>
      </w:r>
      <w:r w:rsidRPr="009E68EA">
        <w:t xml:space="preserve"> </w:t>
      </w:r>
      <w:r w:rsidR="00397A27" w:rsidRPr="009E68EA">
        <w:t>provides for access to and/or use of land for the purpose of developing, constructing, commissioning, operating, maintaining and decommissioning the Project (including any connection assets)</w:t>
      </w:r>
      <w:r w:rsidR="000729F6" w:rsidRPr="0076796C">
        <w:t xml:space="preserve"> to be owned by Project Operator. </w:t>
      </w:r>
    </w:p>
    <w:bookmarkEnd w:id="159"/>
    <w:p w14:paraId="5B943EEC" w14:textId="7E267AE9" w:rsidR="008C1FCC" w:rsidRPr="009E68EA" w:rsidRDefault="008C1FCC" w:rsidP="0058045D">
      <w:pPr>
        <w:pStyle w:val="Heading7"/>
      </w:pPr>
      <w:r w:rsidRPr="009E68EA">
        <w:rPr>
          <w:b/>
          <w:bCs/>
        </w:rPr>
        <w:t xml:space="preserve">Term </w:t>
      </w:r>
      <w:r w:rsidRPr="009E68EA">
        <w:t xml:space="preserve">has the meaning given in clause </w:t>
      </w:r>
      <w:r w:rsidRPr="009E68EA">
        <w:rPr>
          <w:bCs/>
        </w:rPr>
        <w:fldChar w:fldCharType="begin"/>
      </w:r>
      <w:r w:rsidRPr="009E68EA">
        <w:rPr>
          <w:bCs/>
        </w:rPr>
        <w:instrText xml:space="preserve"> REF _Ref493324294 \w \h </w:instrText>
      </w:r>
      <w:r w:rsidR="009E68EA">
        <w:rPr>
          <w:bCs/>
        </w:rPr>
        <w:instrText xml:space="preserve"> \* MERGEFORMAT </w:instrText>
      </w:r>
      <w:r w:rsidRPr="009E68EA">
        <w:rPr>
          <w:bCs/>
        </w:rPr>
      </w:r>
      <w:r w:rsidRPr="009E68EA">
        <w:rPr>
          <w:bCs/>
        </w:rPr>
        <w:fldChar w:fldCharType="separate"/>
      </w:r>
      <w:r w:rsidR="002E5C6A">
        <w:rPr>
          <w:bCs/>
        </w:rPr>
        <w:t>2</w:t>
      </w:r>
      <w:r w:rsidRPr="009E68EA">
        <w:rPr>
          <w:bCs/>
        </w:rPr>
        <w:fldChar w:fldCharType="end"/>
      </w:r>
      <w:r w:rsidRPr="009E68EA">
        <w:rPr>
          <w:bCs/>
        </w:rPr>
        <w:t xml:space="preserve"> (“</w:t>
      </w:r>
      <w:r w:rsidRPr="009E68EA">
        <w:rPr>
          <w:bCs/>
        </w:rPr>
        <w:fldChar w:fldCharType="begin"/>
      </w:r>
      <w:r w:rsidRPr="009E68EA">
        <w:rPr>
          <w:bCs/>
        </w:rPr>
        <w:instrText xml:space="preserve">  REF _Ref493324294 \h </w:instrText>
      </w:r>
      <w:r w:rsidR="009E68EA">
        <w:rPr>
          <w:bCs/>
        </w:rPr>
        <w:instrText xml:space="preserve"> \* MERGEFORMAT </w:instrText>
      </w:r>
      <w:r w:rsidRPr="009E68EA">
        <w:rPr>
          <w:bCs/>
        </w:rPr>
      </w:r>
      <w:r w:rsidRPr="009E68EA">
        <w:rPr>
          <w:bCs/>
        </w:rPr>
        <w:fldChar w:fldCharType="separate"/>
      </w:r>
      <w:r w:rsidR="002E5C6A" w:rsidRPr="00F06646">
        <w:t>Term</w:t>
      </w:r>
      <w:r w:rsidRPr="009E68EA">
        <w:rPr>
          <w:bCs/>
        </w:rPr>
        <w:fldChar w:fldCharType="end"/>
      </w:r>
      <w:r w:rsidRPr="009E68EA">
        <w:rPr>
          <w:bCs/>
        </w:rPr>
        <w:t>”).</w:t>
      </w:r>
    </w:p>
    <w:p w14:paraId="613EDAAE" w14:textId="77777777" w:rsidR="003C3DA7" w:rsidRDefault="49D70CC2" w:rsidP="0058045D">
      <w:pPr>
        <w:pStyle w:val="Heading7"/>
      </w:pPr>
      <w:r w:rsidRPr="009E68EA">
        <w:rPr>
          <w:b/>
          <w:bCs/>
        </w:rPr>
        <w:t>Termination Payment</w:t>
      </w:r>
      <w:r w:rsidRPr="009E68EA">
        <w:t xml:space="preserve"> means a Fixed Termination Amount or an Early Termination Amount.</w:t>
      </w:r>
    </w:p>
    <w:p w14:paraId="7BC2278D" w14:textId="4E69FA55" w:rsidR="001530B4" w:rsidRDefault="001530B4" w:rsidP="008F660B">
      <w:pPr>
        <w:pStyle w:val="Heading7"/>
        <w:numPr>
          <w:ilvl w:val="6"/>
          <w:numId w:val="61"/>
        </w:numPr>
      </w:pPr>
      <w:r>
        <w:rPr>
          <w:b/>
          <w:bCs/>
        </w:rPr>
        <w:t xml:space="preserve">Tested EP Storage Capacity </w:t>
      </w:r>
      <w:r>
        <w:t>has the meaning given under</w:t>
      </w:r>
      <w:r w:rsidR="00C94E99">
        <w:t xml:space="preserve"> item </w:t>
      </w:r>
      <w:r w:rsidR="00532FFE">
        <w:fldChar w:fldCharType="begin"/>
      </w:r>
      <w:r w:rsidR="00532FFE">
        <w:instrText xml:space="preserve"> REF _Ref206529719 \n \h </w:instrText>
      </w:r>
      <w:r w:rsidR="00532FFE">
        <w:fldChar w:fldCharType="separate"/>
      </w:r>
      <w:r w:rsidR="002E5C6A">
        <w:t>5.4</w:t>
      </w:r>
      <w:r w:rsidR="00532FFE">
        <w:fldChar w:fldCharType="end"/>
      </w:r>
      <w:r w:rsidR="00C94E99">
        <w:fldChar w:fldCharType="begin"/>
      </w:r>
      <w:r w:rsidR="00C94E99">
        <w:instrText xml:space="preserve"> REF _Ref206084117 \n \h </w:instrText>
      </w:r>
      <w:r w:rsidR="00C94E99">
        <w:fldChar w:fldCharType="separate"/>
      </w:r>
      <w:r w:rsidR="002E5C6A">
        <w:t>(v)</w:t>
      </w:r>
      <w:r w:rsidR="00C94E99">
        <w:fldChar w:fldCharType="end"/>
      </w:r>
      <w:r>
        <w:t xml:space="preserve"> of </w:t>
      </w:r>
      <w:r>
        <w:rPr>
          <w:bCs/>
        </w:rPr>
        <w:fldChar w:fldCharType="begin"/>
      </w:r>
      <w:r>
        <w:rPr>
          <w:bCs/>
        </w:rPr>
        <w:instrText xml:space="preserve"> REF _Ref103257737 \n \h </w:instrText>
      </w:r>
      <w:r>
        <w:rPr>
          <w:bCs/>
        </w:rPr>
      </w:r>
      <w:r>
        <w:rPr>
          <w:bCs/>
        </w:rPr>
        <w:fldChar w:fldCharType="separate"/>
      </w:r>
      <w:r w:rsidR="002E5C6A">
        <w:rPr>
          <w:bCs/>
        </w:rPr>
        <w:t>Schedule 1</w:t>
      </w:r>
      <w:r>
        <w:rPr>
          <w:bCs/>
        </w:rPr>
        <w:fldChar w:fldCharType="end"/>
      </w:r>
      <w:r>
        <w:rPr>
          <w:bCs/>
        </w:rPr>
        <w:t xml:space="preserve"> </w:t>
      </w:r>
      <w:r>
        <w:t>(“</w:t>
      </w:r>
      <w:r>
        <w:fldChar w:fldCharType="begin"/>
      </w:r>
      <w:r>
        <w:instrText xml:space="preserve"> REF _Ref467052756 \h  \* MERGEFORMAT </w:instrText>
      </w:r>
      <w:r>
        <w:fldChar w:fldCharType="separate"/>
      </w:r>
      <w:r w:rsidR="002E5C6A">
        <w:t>Support terms</w:t>
      </w:r>
      <w:r>
        <w:fldChar w:fldCharType="end"/>
      </w:r>
      <w:r>
        <w:t xml:space="preserve">”). </w:t>
      </w:r>
    </w:p>
    <w:p w14:paraId="627448D4" w14:textId="6AEC0D67" w:rsidR="001530B4" w:rsidRDefault="001530B4" w:rsidP="001530B4">
      <w:pPr>
        <w:pStyle w:val="Heading7"/>
        <w:numPr>
          <w:ilvl w:val="0"/>
          <w:numId w:val="0"/>
        </w:numPr>
        <w:ind w:left="737"/>
      </w:pPr>
      <w:r>
        <w:rPr>
          <w:b/>
          <w:bCs/>
        </w:rPr>
        <w:t xml:space="preserve">Tested Storage Capacity </w:t>
      </w:r>
      <w:r>
        <w:t>has the meaning given under section</w:t>
      </w:r>
      <w:r w:rsidR="00C94E99">
        <w:t xml:space="preserve"> </w:t>
      </w:r>
      <w:r w:rsidR="00532FFE">
        <w:fldChar w:fldCharType="begin"/>
      </w:r>
      <w:r w:rsidR="00532FFE">
        <w:instrText xml:space="preserve"> REF _Ref206529719 \n \h </w:instrText>
      </w:r>
      <w:r w:rsidR="00532FFE">
        <w:fldChar w:fldCharType="separate"/>
      </w:r>
      <w:r w:rsidR="002E5C6A">
        <w:t>5.4</w:t>
      </w:r>
      <w:r w:rsidR="00532FFE">
        <w:fldChar w:fldCharType="end"/>
      </w:r>
      <w:r w:rsidR="00C94E99">
        <w:fldChar w:fldCharType="begin"/>
      </w:r>
      <w:r w:rsidR="00C94E99">
        <w:instrText xml:space="preserve"> REF _Ref206084155 \n \h </w:instrText>
      </w:r>
      <w:r w:rsidR="00C94E99">
        <w:fldChar w:fldCharType="separate"/>
      </w:r>
      <w:r w:rsidR="002E5C6A">
        <w:t>(iv)</w:t>
      </w:r>
      <w:r w:rsidR="00C94E99">
        <w:fldChar w:fldCharType="end"/>
      </w:r>
      <w:r>
        <w:t xml:space="preserve"> of </w:t>
      </w:r>
      <w:r>
        <w:rPr>
          <w:bCs/>
        </w:rPr>
        <w:fldChar w:fldCharType="begin"/>
      </w:r>
      <w:r>
        <w:rPr>
          <w:bCs/>
        </w:rPr>
        <w:instrText xml:space="preserve"> REF _Ref103257737 \n \h </w:instrText>
      </w:r>
      <w:r>
        <w:rPr>
          <w:bCs/>
        </w:rPr>
      </w:r>
      <w:r>
        <w:rPr>
          <w:bCs/>
        </w:rPr>
        <w:fldChar w:fldCharType="separate"/>
      </w:r>
      <w:r w:rsidR="002E5C6A">
        <w:rPr>
          <w:bCs/>
        </w:rPr>
        <w:t>Schedule 1</w:t>
      </w:r>
      <w:r>
        <w:rPr>
          <w:bCs/>
        </w:rPr>
        <w:fldChar w:fldCharType="end"/>
      </w:r>
      <w:r>
        <w:rPr>
          <w:bCs/>
        </w:rPr>
        <w:t xml:space="preserve"> </w:t>
      </w:r>
      <w:r>
        <w:t>(“</w:t>
      </w:r>
      <w:r>
        <w:fldChar w:fldCharType="begin"/>
      </w:r>
      <w:r>
        <w:instrText xml:space="preserve"> REF _Ref467052756 \h  \* MERGEFORMAT </w:instrText>
      </w:r>
      <w:r>
        <w:fldChar w:fldCharType="separate"/>
      </w:r>
      <w:r w:rsidR="002E5C6A">
        <w:t>Support terms</w:t>
      </w:r>
      <w:r>
        <w:fldChar w:fldCharType="end"/>
      </w:r>
      <w:r>
        <w:t xml:space="preserve">”). </w:t>
      </w:r>
    </w:p>
    <w:p w14:paraId="3DE0599A" w14:textId="6A0E349A" w:rsidR="00066698" w:rsidRDefault="00360CD0" w:rsidP="00066698">
      <w:pPr>
        <w:pStyle w:val="Heading7"/>
        <w:numPr>
          <w:ilvl w:val="6"/>
          <w:numId w:val="0"/>
        </w:numPr>
        <w:ind w:left="737"/>
      </w:pPr>
      <w:bookmarkStart w:id="160" w:name="_Hlk170299067"/>
      <w:r>
        <w:rPr>
          <w:b/>
          <w:bCs/>
        </w:rPr>
        <w:t>T</w:t>
      </w:r>
      <w:r w:rsidR="00066698">
        <w:rPr>
          <w:b/>
          <w:bCs/>
        </w:rPr>
        <w:t xml:space="preserve">hose </w:t>
      </w:r>
      <w:r>
        <w:rPr>
          <w:b/>
          <w:bCs/>
        </w:rPr>
        <w:t>I</w:t>
      </w:r>
      <w:r w:rsidR="00066698">
        <w:rPr>
          <w:b/>
          <w:bCs/>
        </w:rPr>
        <w:t xml:space="preserve">ndemnified </w:t>
      </w:r>
      <w:r w:rsidR="00066698">
        <w:t xml:space="preserve">has the meaning given in clause </w:t>
      </w:r>
      <w:r w:rsidR="008B4729">
        <w:fldChar w:fldCharType="begin"/>
      </w:r>
      <w:r w:rsidR="008B4729">
        <w:instrText xml:space="preserve"> REF _Ref114133705 \r \h </w:instrText>
      </w:r>
      <w:r w:rsidR="008B4729">
        <w:fldChar w:fldCharType="separate"/>
      </w:r>
      <w:r w:rsidR="002E5C6A">
        <w:t>24.4(a)</w:t>
      </w:r>
      <w:r w:rsidR="008B4729">
        <w:fldChar w:fldCharType="end"/>
      </w:r>
      <w:r w:rsidR="00066698">
        <w:t>.</w:t>
      </w:r>
    </w:p>
    <w:p w14:paraId="43583FCB" w14:textId="62DA3BE4" w:rsidR="00397A27" w:rsidRPr="00DB29A5" w:rsidRDefault="49D70CC2" w:rsidP="0058045D">
      <w:pPr>
        <w:pStyle w:val="Heading7"/>
        <w:keepNext/>
      </w:pPr>
      <w:r w:rsidRPr="00DB29A5">
        <w:rPr>
          <w:b/>
          <w:bCs/>
        </w:rPr>
        <w:t xml:space="preserve">Tier 1 Planning Approvals </w:t>
      </w:r>
      <w:r w:rsidRPr="00DB29A5">
        <w:t>means:</w:t>
      </w:r>
      <w:r w:rsidR="00DC1D20">
        <w:t xml:space="preserve"> </w:t>
      </w:r>
    </w:p>
    <w:p w14:paraId="2B942EE1" w14:textId="77777777" w:rsidR="00397A27" w:rsidRPr="00DB29A5" w:rsidRDefault="00397A27" w:rsidP="008F660B">
      <w:pPr>
        <w:pStyle w:val="Heading8"/>
        <w:numPr>
          <w:ilvl w:val="7"/>
          <w:numId w:val="132"/>
        </w:numPr>
        <w:tabs>
          <w:tab w:val="clear" w:pos="1474"/>
          <w:tab w:val="num" w:pos="968"/>
        </w:tabs>
      </w:pPr>
      <w:r w:rsidRPr="00DB29A5">
        <w:t xml:space="preserve">development </w:t>
      </w:r>
      <w:r w:rsidR="00295466">
        <w:t>approval</w:t>
      </w:r>
      <w:r w:rsidR="00295466" w:rsidRPr="00DB29A5">
        <w:t xml:space="preserve"> </w:t>
      </w:r>
      <w:r w:rsidRPr="00DB29A5">
        <w:t xml:space="preserve">under </w:t>
      </w:r>
      <w:r w:rsidR="003C0F6D">
        <w:t xml:space="preserve">the </w:t>
      </w:r>
      <w:r w:rsidR="003C0F6D" w:rsidRPr="008F660B">
        <w:rPr>
          <w:i/>
          <w:iCs/>
        </w:rPr>
        <w:t xml:space="preserve">Planning and Development Act 2005 </w:t>
      </w:r>
      <w:r w:rsidRPr="00DB29A5">
        <w:t>(</w:t>
      </w:r>
      <w:r w:rsidR="0081309E">
        <w:t>WA</w:t>
      </w:r>
      <w:r w:rsidRPr="00DB29A5">
        <w:t>);</w:t>
      </w:r>
    </w:p>
    <w:p w14:paraId="6ED7494C" w14:textId="77777777" w:rsidR="00397A27" w:rsidRPr="00DB29A5" w:rsidRDefault="00397A27" w:rsidP="008F660B">
      <w:pPr>
        <w:numPr>
          <w:ilvl w:val="7"/>
          <w:numId w:val="63"/>
        </w:numPr>
        <w:tabs>
          <w:tab w:val="clear" w:pos="1474"/>
          <w:tab w:val="num" w:pos="968"/>
        </w:tabs>
        <w:spacing w:after="240"/>
        <w:outlineLvl w:val="7"/>
      </w:pPr>
      <w:r w:rsidRPr="00DB29A5">
        <w:rPr>
          <w:bCs/>
        </w:rPr>
        <w:t>if required, a</w:t>
      </w:r>
      <w:r w:rsidR="005A43B0">
        <w:rPr>
          <w:bCs/>
        </w:rPr>
        <w:t xml:space="preserve">ny applicable approval, permit or licence under </w:t>
      </w:r>
      <w:r w:rsidRPr="00DB29A5">
        <w:rPr>
          <w:bCs/>
        </w:rPr>
        <w:t xml:space="preserve">the </w:t>
      </w:r>
      <w:r w:rsidRPr="00DB29A5">
        <w:rPr>
          <w:bCs/>
          <w:i/>
          <w:iCs/>
        </w:rPr>
        <w:t>Environment</w:t>
      </w:r>
      <w:r w:rsidR="0081309E">
        <w:rPr>
          <w:bCs/>
          <w:i/>
          <w:iCs/>
        </w:rPr>
        <w:t>al Protection</w:t>
      </w:r>
      <w:r w:rsidRPr="00DB29A5">
        <w:rPr>
          <w:bCs/>
          <w:i/>
          <w:iCs/>
        </w:rPr>
        <w:t xml:space="preserve"> Act </w:t>
      </w:r>
      <w:r w:rsidR="0081309E">
        <w:rPr>
          <w:bCs/>
          <w:i/>
          <w:iCs/>
        </w:rPr>
        <w:t xml:space="preserve">1986 </w:t>
      </w:r>
      <w:r w:rsidRPr="00DB29A5">
        <w:rPr>
          <w:bCs/>
        </w:rPr>
        <w:t>(W</w:t>
      </w:r>
      <w:r w:rsidR="0081309E">
        <w:rPr>
          <w:bCs/>
        </w:rPr>
        <w:t>A</w:t>
      </w:r>
      <w:r w:rsidRPr="00DB29A5">
        <w:rPr>
          <w:bCs/>
        </w:rPr>
        <w:t>); and</w:t>
      </w:r>
    </w:p>
    <w:p w14:paraId="5423E776" w14:textId="77777777" w:rsidR="00397A27" w:rsidRPr="00DB29A5" w:rsidRDefault="00397A27" w:rsidP="008F660B">
      <w:pPr>
        <w:numPr>
          <w:ilvl w:val="7"/>
          <w:numId w:val="63"/>
        </w:numPr>
        <w:tabs>
          <w:tab w:val="clear" w:pos="1474"/>
          <w:tab w:val="num" w:pos="968"/>
        </w:tabs>
        <w:spacing w:after="240"/>
        <w:outlineLvl w:val="7"/>
      </w:pPr>
      <w:r w:rsidRPr="00DB29A5">
        <w:t xml:space="preserve">if required, approval under the </w:t>
      </w:r>
      <w:r w:rsidRPr="00DB29A5">
        <w:rPr>
          <w:i/>
          <w:iCs/>
        </w:rPr>
        <w:t xml:space="preserve">Environment Protection and Biodiversity Conservation Act 1999 </w:t>
      </w:r>
      <w:r w:rsidRPr="00DB29A5">
        <w:t>(Cth).</w:t>
      </w:r>
    </w:p>
    <w:bookmarkEnd w:id="160"/>
    <w:p w14:paraId="1B38ED70" w14:textId="3BFCFB7F" w:rsidR="00881C85" w:rsidRPr="00280585" w:rsidRDefault="00881C85" w:rsidP="00881C85">
      <w:pPr>
        <w:pStyle w:val="Heading7"/>
      </w:pPr>
      <w:r w:rsidRPr="00184C18">
        <w:rPr>
          <w:b/>
          <w:bCs/>
        </w:rPr>
        <w:t xml:space="preserve">Total Project Headcount </w:t>
      </w:r>
      <w:r w:rsidRPr="00280585">
        <w:t>means the total number of unique individuals (including employees, contractors and subcontractors) engaged by Project Operator and its Key Subcontractors to perform work on the [Hybrid] Project during the relevant reporting period, regardless of their employment status (e.g. full-time, part-time, casual, or labour hire).</w:t>
      </w:r>
      <w:r>
        <w:t xml:space="preserve"> [</w:t>
      </w:r>
      <w:r w:rsidRPr="00280585">
        <w:rPr>
          <w:b/>
          <w:bCs/>
          <w:i/>
          <w:iCs/>
          <w:highlight w:val="lightGray"/>
        </w:rPr>
        <w:t>Note: the words in square brackets are to be included for all Hybrid Projects only.</w:t>
      </w:r>
      <w:r>
        <w:t>]</w:t>
      </w:r>
    </w:p>
    <w:p w14:paraId="6B275606" w14:textId="5E92D817" w:rsidR="00D37462" w:rsidRDefault="00D37462" w:rsidP="00D77B1D">
      <w:pPr>
        <w:pStyle w:val="Heading7"/>
        <w:numPr>
          <w:ilvl w:val="0"/>
          <w:numId w:val="0"/>
        </w:numPr>
        <w:ind w:left="737"/>
      </w:pPr>
      <w:r>
        <w:rPr>
          <w:b/>
          <w:bCs/>
        </w:rPr>
        <w:t>Trading Day</w:t>
      </w:r>
      <w:r>
        <w:t xml:space="preserve"> has the meaning given in the </w:t>
      </w:r>
      <w:r w:rsidR="004A1236">
        <w:t>ESM Rules</w:t>
      </w:r>
      <w:r>
        <w:t>.</w:t>
      </w:r>
    </w:p>
    <w:p w14:paraId="5F1C0DE7" w14:textId="4278D714" w:rsidR="00D37462" w:rsidRPr="00131021" w:rsidRDefault="00D37462" w:rsidP="00D77B1D">
      <w:pPr>
        <w:pStyle w:val="Heading7"/>
        <w:numPr>
          <w:ilvl w:val="0"/>
          <w:numId w:val="0"/>
        </w:numPr>
        <w:ind w:left="737"/>
      </w:pPr>
      <w:r>
        <w:rPr>
          <w:b/>
          <w:bCs/>
        </w:rPr>
        <w:t xml:space="preserve">Trading Interval </w:t>
      </w:r>
      <w:r>
        <w:t xml:space="preserve">has the meaning given in the </w:t>
      </w:r>
      <w:r w:rsidR="004A1236">
        <w:t>ESM Rules</w:t>
      </w:r>
      <w:r>
        <w:t>.</w:t>
      </w:r>
    </w:p>
    <w:p w14:paraId="524E47AF" w14:textId="2AEAD437" w:rsidR="00030F01" w:rsidRDefault="00030F01" w:rsidP="00D77B1D">
      <w:pPr>
        <w:pStyle w:val="Heading7"/>
        <w:numPr>
          <w:ilvl w:val="0"/>
          <w:numId w:val="0"/>
        </w:numPr>
        <w:ind w:left="737"/>
        <w:rPr>
          <w:bCs/>
        </w:rPr>
      </w:pPr>
      <w:r w:rsidRPr="00716FCD">
        <w:rPr>
          <w:b/>
          <w:bCs/>
        </w:rPr>
        <w:t>Trading Protocol</w:t>
      </w:r>
      <w:r w:rsidRPr="00716FCD">
        <w:t xml:space="preserve"> means a protocol setting out in reasonable detail the processes and strategy </w:t>
      </w:r>
      <w:r w:rsidR="005A5C3F">
        <w:t>that</w:t>
      </w:r>
      <w:r w:rsidR="005A5C3F" w:rsidRPr="00716FCD">
        <w:t xml:space="preserve"> </w:t>
      </w:r>
      <w:r>
        <w:t>Project</w:t>
      </w:r>
      <w:r w:rsidRPr="00716FCD">
        <w:t xml:space="preserve"> Operator uses to generate revenue directly or indirectly from the Project</w:t>
      </w:r>
      <w:r w:rsidR="001530B4">
        <w:t xml:space="preserve"> [and the [Associated/Existing] Project</w:t>
      </w:r>
      <w:r w:rsidRPr="00716FCD">
        <w:t>, which as a minimum must be prepared in accordance with Good Industry Practice</w:t>
      </w:r>
      <w:r>
        <w:t>.</w:t>
      </w:r>
      <w:r w:rsidR="001530B4">
        <w:t xml:space="preserve"> </w:t>
      </w:r>
      <w:r w:rsidR="001530B4">
        <w:rPr>
          <w:highlight w:val="lightGray"/>
        </w:rPr>
        <w:t>[</w:t>
      </w:r>
      <w:r w:rsidR="001530B4">
        <w:rPr>
          <w:b/>
          <w:bCs/>
          <w:i/>
          <w:iCs/>
          <w:highlight w:val="lightGray"/>
        </w:rPr>
        <w:t>Note: words in square brackets to be inserted for all Staged Projects and all Hybrid Projects (as applicable).</w:t>
      </w:r>
      <w:r w:rsidR="001530B4">
        <w:rPr>
          <w:highlight w:val="lightGray"/>
        </w:rPr>
        <w:t>]</w:t>
      </w:r>
    </w:p>
    <w:p w14:paraId="2020EC94" w14:textId="250D019F" w:rsidR="00AD04A3" w:rsidRPr="009E68EA" w:rsidRDefault="00AD04A3" w:rsidP="0058045D">
      <w:pPr>
        <w:pStyle w:val="Heading7"/>
      </w:pPr>
      <w:bookmarkStart w:id="161" w:name="_Hlk114136759"/>
      <w:r w:rsidRPr="009E68EA">
        <w:rPr>
          <w:b/>
          <w:bCs/>
        </w:rPr>
        <w:t xml:space="preserve">Tripartite Deed </w:t>
      </w:r>
      <w:r w:rsidRPr="009E68EA">
        <w:t xml:space="preserve">means </w:t>
      </w:r>
      <w:r w:rsidR="00A97B24">
        <w:t>a</w:t>
      </w:r>
      <w:r w:rsidR="00A97B24" w:rsidRPr="009E68EA">
        <w:t xml:space="preserve"> </w:t>
      </w:r>
      <w:r w:rsidRPr="009E68EA">
        <w:t xml:space="preserve">tripartite deed with financiers of Project Operator </w:t>
      </w:r>
      <w:r w:rsidR="00A97B24">
        <w:t xml:space="preserve">that, if required, must be </w:t>
      </w:r>
      <w:r w:rsidRPr="009E68EA">
        <w:t xml:space="preserve">substantially in the form </w:t>
      </w:r>
      <w:r w:rsidR="00A97B24">
        <w:t xml:space="preserve">set out </w:t>
      </w:r>
      <w:r w:rsidRPr="009E68EA">
        <w:t xml:space="preserve">in </w:t>
      </w:r>
      <w:r w:rsidRPr="009E68EA">
        <w:fldChar w:fldCharType="begin"/>
      </w:r>
      <w:r w:rsidRPr="009E68EA">
        <w:instrText xml:space="preserve"> REF _Ref101534647 \w \h  \* MERGEFORMAT </w:instrText>
      </w:r>
      <w:r w:rsidRPr="009E68EA">
        <w:fldChar w:fldCharType="separate"/>
      </w:r>
      <w:r w:rsidR="002E5C6A">
        <w:t>Annexure A</w:t>
      </w:r>
      <w:r w:rsidRPr="009E68EA">
        <w:fldChar w:fldCharType="end"/>
      </w:r>
      <w:r w:rsidRPr="009E68EA">
        <w:t xml:space="preserve"> (“</w:t>
      </w:r>
      <w:r w:rsidRPr="009E68EA">
        <w:fldChar w:fldCharType="begin"/>
      </w:r>
      <w:r w:rsidRPr="009E68EA">
        <w:instrText xml:space="preserve"> REF _Ref165043794 \h  \* MERGEFORMAT </w:instrText>
      </w:r>
      <w:r w:rsidRPr="009E68EA">
        <w:fldChar w:fldCharType="separate"/>
      </w:r>
      <w:r w:rsidR="002E5C6A">
        <w:t>Form of Tripartite Deed</w:t>
      </w:r>
      <w:r w:rsidRPr="009E68EA">
        <w:fldChar w:fldCharType="end"/>
      </w:r>
      <w:r w:rsidRPr="009E68EA">
        <w:t xml:space="preserve">”). </w:t>
      </w:r>
    </w:p>
    <w:p w14:paraId="2A20A1BD" w14:textId="7FFF4F4A" w:rsidR="00924CAB" w:rsidRPr="009E68EA" w:rsidRDefault="2BC382E4" w:rsidP="0058045D">
      <w:pPr>
        <w:pStyle w:val="Heading7"/>
      </w:pPr>
      <w:r w:rsidRPr="009E68EA">
        <w:t>[</w:t>
      </w:r>
      <w:r w:rsidRPr="009E68EA">
        <w:rPr>
          <w:b/>
          <w:bCs/>
        </w:rPr>
        <w:t>Trust</w:t>
      </w:r>
      <w:r w:rsidRPr="009E68EA">
        <w:t xml:space="preserve"> means</w:t>
      </w:r>
      <w:r w:rsidR="00F37A21">
        <w:t xml:space="preserve"> </w:t>
      </w:r>
      <w:r w:rsidR="007942CE">
        <w:t>[</w:t>
      </w:r>
      <w:r w:rsidR="007942CE" w:rsidRPr="008C2E11">
        <w:rPr>
          <w:highlight w:val="yellow"/>
        </w:rPr>
        <w:t xml:space="preserve">insert details of relevant </w:t>
      </w:r>
      <w:r w:rsidR="00A52111" w:rsidRPr="008C2E11">
        <w:rPr>
          <w:highlight w:val="yellow"/>
        </w:rPr>
        <w:t>t</w:t>
      </w:r>
      <w:r w:rsidR="007942CE" w:rsidRPr="008C2E11">
        <w:rPr>
          <w:highlight w:val="yellow"/>
        </w:rPr>
        <w:t>rust</w:t>
      </w:r>
      <w:r w:rsidR="007942CE">
        <w:t>]</w:t>
      </w:r>
      <w:r w:rsidRPr="009E68EA">
        <w:t>.</w:t>
      </w:r>
    </w:p>
    <w:p w14:paraId="40E99D70" w14:textId="77777777" w:rsidR="0063492B" w:rsidRPr="009E68EA" w:rsidRDefault="2BC382E4" w:rsidP="0058045D">
      <w:pPr>
        <w:pStyle w:val="Heading7"/>
        <w:numPr>
          <w:ilvl w:val="6"/>
          <w:numId w:val="0"/>
        </w:numPr>
        <w:ind w:left="737"/>
      </w:pPr>
      <w:bookmarkStart w:id="162" w:name="_Hlk134638672"/>
      <w:r w:rsidRPr="009E68EA">
        <w:rPr>
          <w:b/>
          <w:bCs/>
        </w:rPr>
        <w:t>Trust Deed</w:t>
      </w:r>
      <w:r w:rsidRPr="009E68EA">
        <w:t xml:space="preserve"> means the trust deed establishing the Trust.</w:t>
      </w:r>
    </w:p>
    <w:bookmarkEnd w:id="161"/>
    <w:bookmarkEnd w:id="162"/>
    <w:p w14:paraId="5D4999FE" w14:textId="67193CC7" w:rsidR="00F5213C" w:rsidRPr="009E68EA" w:rsidRDefault="2BC382E4" w:rsidP="0058045D">
      <w:pPr>
        <w:pStyle w:val="Heading7"/>
      </w:pPr>
      <w:r w:rsidRPr="009E68EA">
        <w:rPr>
          <w:b/>
          <w:bCs/>
        </w:rPr>
        <w:t xml:space="preserve">Trust Property </w:t>
      </w:r>
      <w:r w:rsidRPr="009E68EA">
        <w:t>means all of the assets of the Trust.]</w:t>
      </w:r>
    </w:p>
    <w:p w14:paraId="6BA589FA" w14:textId="2A3DF967" w:rsidR="0063492B" w:rsidRPr="00FB7EB2" w:rsidRDefault="2BC382E4" w:rsidP="00AD4EA6">
      <w:pPr>
        <w:pStyle w:val="Heading7"/>
        <w:shd w:val="clear" w:color="auto" w:fill="FFFFFF" w:themeFill="background1"/>
      </w:pPr>
      <w:r w:rsidRPr="00FB7EB2">
        <w:t>[</w:t>
      </w:r>
      <w:r w:rsidRPr="00AD4EA6">
        <w:rPr>
          <w:b/>
          <w:bCs/>
          <w:i/>
          <w:iCs/>
          <w:highlight w:val="lightGray"/>
        </w:rPr>
        <w:t xml:space="preserve">Note: </w:t>
      </w:r>
      <w:r w:rsidR="001530B4">
        <w:rPr>
          <w:b/>
          <w:bCs/>
          <w:i/>
          <w:iCs/>
          <w:highlight w:val="lightGray"/>
        </w:rPr>
        <w:t xml:space="preserve">the square bracketed terms are </w:t>
      </w:r>
      <w:r w:rsidRPr="00AD4EA6">
        <w:rPr>
          <w:b/>
          <w:bCs/>
          <w:i/>
          <w:iCs/>
          <w:highlight w:val="lightGray"/>
        </w:rPr>
        <w:t>to be included if Project Operator is trustee of a trust.</w:t>
      </w:r>
      <w:r w:rsidRPr="00FB7EB2">
        <w:t>]</w:t>
      </w:r>
    </w:p>
    <w:p w14:paraId="48AB1A74" w14:textId="11BBCB53" w:rsidR="00652C71" w:rsidRDefault="2BC382E4" w:rsidP="0058045D">
      <w:pPr>
        <w:pStyle w:val="Heading7"/>
      </w:pPr>
      <w:r w:rsidRPr="009E68EA">
        <w:rPr>
          <w:b/>
          <w:bCs/>
        </w:rPr>
        <w:t xml:space="preserve">Ultimate Holding Company </w:t>
      </w:r>
      <w:r w:rsidRPr="009E68EA">
        <w:t>has the meaning given in the Corporations Act, but on the basis that ‘subsidiary’ has the meaning given to Subsidiary in this agreement and that ‘body corporate’ includes any entity and a trust</w:t>
      </w:r>
      <w:r w:rsidR="001530B4">
        <w:t>ee</w:t>
      </w:r>
      <w:r w:rsidRPr="009E68EA">
        <w:t>.</w:t>
      </w:r>
    </w:p>
    <w:p w14:paraId="52A0391B" w14:textId="58A76CA9" w:rsidR="001530B4" w:rsidRDefault="001530B4" w:rsidP="008F660B">
      <w:pPr>
        <w:pStyle w:val="Heading7"/>
        <w:numPr>
          <w:ilvl w:val="6"/>
          <w:numId w:val="61"/>
        </w:numPr>
      </w:pPr>
      <w:r>
        <w:rPr>
          <w:b/>
          <w:bCs/>
        </w:rPr>
        <w:t xml:space="preserve">Unremedied Breach Event </w:t>
      </w:r>
      <w:r>
        <w:t xml:space="preserve">has the meaning given </w:t>
      </w:r>
      <w:r w:rsidRPr="000B5694">
        <w:t xml:space="preserve">in clause </w:t>
      </w:r>
      <w:r w:rsidR="00CF45F0" w:rsidRPr="000B5694">
        <w:fldChar w:fldCharType="begin"/>
      </w:r>
      <w:r w:rsidR="00CF45F0" w:rsidRPr="000B5694">
        <w:instrText xml:space="preserve"> REF _Ref181186291 \r \h </w:instrText>
      </w:r>
      <w:r w:rsidR="00F731E4" w:rsidRPr="008F660B">
        <w:instrText xml:space="preserve"> \* MERGEFORMAT </w:instrText>
      </w:r>
      <w:r w:rsidR="00CF45F0" w:rsidRPr="000B5694">
        <w:fldChar w:fldCharType="separate"/>
      </w:r>
      <w:r w:rsidR="002E5C6A">
        <w:t>14.3(f)</w:t>
      </w:r>
      <w:r w:rsidR="00CF45F0" w:rsidRPr="000B5694">
        <w:fldChar w:fldCharType="end"/>
      </w:r>
      <w:r w:rsidRPr="000B5694">
        <w:t>.</w:t>
      </w:r>
    </w:p>
    <w:p w14:paraId="6722BDDD" w14:textId="6DDA6891" w:rsidR="00C85F3C" w:rsidRDefault="2BC382E4" w:rsidP="0058045D">
      <w:pPr>
        <w:pStyle w:val="Heading7"/>
      </w:pPr>
      <w:r w:rsidRPr="009E68EA">
        <w:rPr>
          <w:b/>
          <w:bCs/>
        </w:rPr>
        <w:t>Warranted Materials</w:t>
      </w:r>
      <w:r w:rsidRPr="009E68EA">
        <w:t xml:space="preserve"> has the meaning given in clause</w:t>
      </w:r>
      <w:r w:rsidR="008B4729">
        <w:t xml:space="preserve"> </w:t>
      </w:r>
      <w:r w:rsidR="008B4729">
        <w:fldChar w:fldCharType="begin"/>
      </w:r>
      <w:r w:rsidR="008B4729">
        <w:instrText xml:space="preserve"> REF _Ref205751706 \r \h </w:instrText>
      </w:r>
      <w:r w:rsidR="008B4729">
        <w:fldChar w:fldCharType="separate"/>
      </w:r>
      <w:r w:rsidR="002E5C6A">
        <w:t>29.4(a)</w:t>
      </w:r>
      <w:r w:rsidR="008B4729">
        <w:fldChar w:fldCharType="end"/>
      </w:r>
      <w:r w:rsidR="003E6114">
        <w:t>.</w:t>
      </w:r>
      <w:r w:rsidRPr="009E68EA">
        <w:t xml:space="preserve"> </w:t>
      </w:r>
    </w:p>
    <w:p w14:paraId="3ADAAC70" w14:textId="16BA4A4F" w:rsidR="008F1DB4" w:rsidRDefault="008F1DB4" w:rsidP="008F1DB4">
      <w:pPr>
        <w:pStyle w:val="Heading7"/>
      </w:pPr>
      <w:r>
        <w:rPr>
          <w:b/>
          <w:bCs/>
        </w:rPr>
        <w:t>W</w:t>
      </w:r>
      <w:r w:rsidRPr="2BC382E4">
        <w:rPr>
          <w:b/>
          <w:bCs/>
        </w:rPr>
        <w:t>EM</w:t>
      </w:r>
      <w:r>
        <w:t xml:space="preserve"> means the Wholesale Electricity Market administered by AEMO in accordance with the </w:t>
      </w:r>
      <w:r w:rsidR="004A1236">
        <w:t>ESM Rules</w:t>
      </w:r>
      <w:r>
        <w:t>.</w:t>
      </w:r>
    </w:p>
    <w:p w14:paraId="56DA247D" w14:textId="77777777" w:rsidR="004E523B" w:rsidRPr="009E68EA" w:rsidRDefault="004E523B" w:rsidP="00A0771D">
      <w:pPr>
        <w:pStyle w:val="Heading7"/>
      </w:pPr>
      <w:r w:rsidRPr="00131021">
        <w:rPr>
          <w:b/>
          <w:bCs/>
        </w:rPr>
        <w:t>Western Power</w:t>
      </w:r>
      <w:r>
        <w:t xml:space="preserve"> means the Electricity Networks Corporation trading as Western Power, being the body established by section 4(1)(b) of the </w:t>
      </w:r>
      <w:r w:rsidRPr="00131021">
        <w:rPr>
          <w:i/>
          <w:iCs/>
        </w:rPr>
        <w:t>Electricity Corporations Act 2005</w:t>
      </w:r>
      <w:r>
        <w:t xml:space="preserve"> (WA) or any entity which succeeds the Electricity Networks Corporation as the network operator of the SWIS.</w:t>
      </w:r>
    </w:p>
    <w:p w14:paraId="09B6AFD9" w14:textId="77777777" w:rsidR="00264B50" w:rsidRPr="009E68EA" w:rsidRDefault="2BC382E4" w:rsidP="0058045D">
      <w:pPr>
        <w:pStyle w:val="Heading8"/>
        <w:numPr>
          <w:ilvl w:val="7"/>
          <w:numId w:val="0"/>
        </w:numPr>
        <w:ind w:left="737"/>
        <w:rPr>
          <w:bCs/>
        </w:rPr>
      </w:pPr>
      <w:r w:rsidRPr="009E68EA">
        <w:rPr>
          <w:b/>
          <w:bCs/>
        </w:rPr>
        <w:t xml:space="preserve">WHS Act </w:t>
      </w:r>
      <w:r w:rsidRPr="009E68EA">
        <w:t xml:space="preserve">means the </w:t>
      </w:r>
      <w:r w:rsidRPr="009E68EA">
        <w:rPr>
          <w:i/>
          <w:iCs/>
        </w:rPr>
        <w:t>Workplace Health and Safety Act 2011</w:t>
      </w:r>
      <w:r w:rsidRPr="009E68EA">
        <w:t xml:space="preserve"> (Cth).</w:t>
      </w:r>
    </w:p>
    <w:p w14:paraId="4084C28B" w14:textId="48A3DFEB" w:rsidR="003D1F7F" w:rsidRPr="009E68EA" w:rsidRDefault="2BC382E4" w:rsidP="0058045D">
      <w:pPr>
        <w:pStyle w:val="Heading8"/>
        <w:numPr>
          <w:ilvl w:val="7"/>
          <w:numId w:val="0"/>
        </w:numPr>
        <w:ind w:left="737"/>
      </w:pPr>
      <w:bookmarkStart w:id="163" w:name="_Hlk166852088"/>
      <w:r w:rsidRPr="009E68EA">
        <w:rPr>
          <w:b/>
          <w:bCs/>
        </w:rPr>
        <w:t xml:space="preserve">WHS Laws </w:t>
      </w:r>
      <w:r w:rsidRPr="009E68EA">
        <w:t xml:space="preserve">means the WHS Act and any </w:t>
      </w:r>
      <w:r w:rsidR="000729F6">
        <w:t>‘</w:t>
      </w:r>
      <w:r w:rsidRPr="009E68EA">
        <w:t xml:space="preserve">corresponding </w:t>
      </w:r>
      <w:r w:rsidR="000729F6">
        <w:t>WHS</w:t>
      </w:r>
      <w:r w:rsidRPr="009E68EA">
        <w:t xml:space="preserve"> law</w:t>
      </w:r>
      <w:r w:rsidR="000729F6">
        <w:t>’</w:t>
      </w:r>
      <w:r w:rsidRPr="009E68EA">
        <w:t xml:space="preserve"> as defined in section </w:t>
      </w:r>
      <w:r w:rsidR="00FE66B2">
        <w:t>4</w:t>
      </w:r>
      <w:r w:rsidRPr="009E68EA">
        <w:t xml:space="preserve"> of the WHS Act.</w:t>
      </w:r>
    </w:p>
    <w:p w14:paraId="40281681" w14:textId="77777777" w:rsidR="004B6CF2" w:rsidRDefault="2BC382E4" w:rsidP="0058045D">
      <w:pPr>
        <w:pStyle w:val="Heading8"/>
        <w:keepNext/>
        <w:numPr>
          <w:ilvl w:val="7"/>
          <w:numId w:val="0"/>
        </w:numPr>
        <w:ind w:left="737"/>
      </w:pPr>
      <w:r w:rsidRPr="009E68EA">
        <w:rPr>
          <w:b/>
          <w:bCs/>
        </w:rPr>
        <w:t>Workplace Laws</w:t>
      </w:r>
      <w:r w:rsidRPr="009E68EA">
        <w:t xml:space="preserve"> means all WHS Laws, all employment</w:t>
      </w:r>
      <w:r>
        <w:t xml:space="preserve"> or industrial relations Laws, including: </w:t>
      </w:r>
    </w:p>
    <w:p w14:paraId="5CF41BB1" w14:textId="77777777" w:rsidR="004B6CF2" w:rsidRPr="004B6CF2" w:rsidRDefault="004B6CF2" w:rsidP="008F660B">
      <w:pPr>
        <w:pStyle w:val="Heading8"/>
        <w:numPr>
          <w:ilvl w:val="7"/>
          <w:numId w:val="71"/>
        </w:numPr>
        <w:tabs>
          <w:tab w:val="clear" w:pos="1474"/>
          <w:tab w:val="num" w:pos="968"/>
        </w:tabs>
      </w:pPr>
      <w:r>
        <w:t xml:space="preserve">the </w:t>
      </w:r>
      <w:r w:rsidRPr="0036687D">
        <w:rPr>
          <w:i/>
          <w:iCs/>
        </w:rPr>
        <w:t>Fair Work Act 2009</w:t>
      </w:r>
      <w:r>
        <w:t xml:space="preserve"> (Cth) and any corresponding regulations or other instruments;</w:t>
      </w:r>
    </w:p>
    <w:p w14:paraId="1BD7446C" w14:textId="77777777" w:rsidR="004B6CF2" w:rsidRPr="004B6CF2" w:rsidRDefault="00AD023D" w:rsidP="008F660B">
      <w:pPr>
        <w:numPr>
          <w:ilvl w:val="7"/>
          <w:numId w:val="63"/>
        </w:numPr>
        <w:tabs>
          <w:tab w:val="clear" w:pos="1474"/>
          <w:tab w:val="num" w:pos="968"/>
        </w:tabs>
        <w:spacing w:after="240"/>
        <w:outlineLvl w:val="7"/>
        <w:rPr>
          <w:bCs/>
        </w:rPr>
      </w:pPr>
      <w:r>
        <w:t>workers’ compensation</w:t>
      </w:r>
      <w:r w:rsidRPr="000C482A">
        <w:t xml:space="preserve"> </w:t>
      </w:r>
      <w:r>
        <w:t>Laws</w:t>
      </w:r>
      <w:r w:rsidR="004B6CF2">
        <w:t>;</w:t>
      </w:r>
      <w:r>
        <w:t xml:space="preserve"> </w:t>
      </w:r>
    </w:p>
    <w:p w14:paraId="2C68A506" w14:textId="77777777" w:rsidR="004B6CF2" w:rsidRPr="004B6CF2" w:rsidRDefault="004B6CF2" w:rsidP="008F660B">
      <w:pPr>
        <w:numPr>
          <w:ilvl w:val="7"/>
          <w:numId w:val="63"/>
        </w:numPr>
        <w:tabs>
          <w:tab w:val="clear" w:pos="1474"/>
          <w:tab w:val="num" w:pos="968"/>
        </w:tabs>
        <w:spacing w:after="240"/>
        <w:outlineLvl w:val="7"/>
      </w:pPr>
      <w:r>
        <w:t>labour hire Laws;</w:t>
      </w:r>
    </w:p>
    <w:p w14:paraId="458F9D16" w14:textId="45E20CE7" w:rsidR="004B6CF2" w:rsidRPr="004B6CF2" w:rsidRDefault="004B6CF2" w:rsidP="008F660B">
      <w:pPr>
        <w:numPr>
          <w:ilvl w:val="7"/>
          <w:numId w:val="63"/>
        </w:numPr>
        <w:tabs>
          <w:tab w:val="clear" w:pos="1474"/>
          <w:tab w:val="num" w:pos="968"/>
        </w:tabs>
        <w:spacing w:after="240"/>
        <w:outlineLvl w:val="7"/>
      </w:pPr>
      <w:r>
        <w:t>minimum wage Laws;</w:t>
      </w:r>
      <w:r w:rsidR="000729F6">
        <w:t xml:space="preserve"> and </w:t>
      </w:r>
    </w:p>
    <w:p w14:paraId="318A40E4" w14:textId="77777777" w:rsidR="004B6CF2" w:rsidRPr="004B6CF2" w:rsidRDefault="004B6CF2" w:rsidP="008F660B">
      <w:pPr>
        <w:pStyle w:val="Heading8"/>
        <w:numPr>
          <w:ilvl w:val="7"/>
          <w:numId w:val="63"/>
        </w:numPr>
        <w:tabs>
          <w:tab w:val="clear" w:pos="1474"/>
          <w:tab w:val="num" w:pos="968"/>
        </w:tabs>
      </w:pPr>
      <w:r>
        <w:t xml:space="preserve">anti-discrimination and equal opportunity Laws including the </w:t>
      </w:r>
      <w:r w:rsidRPr="0036687D">
        <w:rPr>
          <w:i/>
          <w:iCs/>
        </w:rPr>
        <w:t>Sex Discrimination Act 1984</w:t>
      </w:r>
      <w:r>
        <w:t xml:space="preserve"> (Cth),</w:t>
      </w:r>
    </w:p>
    <w:p w14:paraId="1FE833E3" w14:textId="43CDE195" w:rsidR="00AD023D" w:rsidRPr="003D1F7F" w:rsidRDefault="00AD023D" w:rsidP="0058045D">
      <w:pPr>
        <w:spacing w:after="240"/>
        <w:ind w:left="737"/>
        <w:outlineLvl w:val="7"/>
        <w:rPr>
          <w:bCs/>
        </w:rPr>
      </w:pPr>
      <w:r>
        <w:t>that are applicable to the Project, the Project site</w:t>
      </w:r>
      <w:r w:rsidR="00A97B24">
        <w:t>,</w:t>
      </w:r>
      <w:r>
        <w:t xml:space="preserve"> Project Operator</w:t>
      </w:r>
      <w:r w:rsidR="00A97B24">
        <w:t>, or any Key Subcontractors</w:t>
      </w:r>
      <w:r w:rsidRPr="000C482A">
        <w:t>.</w:t>
      </w:r>
    </w:p>
    <w:p w14:paraId="2A1B42C3" w14:textId="77777777" w:rsidR="00907F1C" w:rsidRDefault="49D70CC2" w:rsidP="0058045D">
      <w:pPr>
        <w:pStyle w:val="Heading2"/>
      </w:pPr>
      <w:bookmarkStart w:id="164" w:name="_Toc492504654"/>
      <w:bookmarkStart w:id="165" w:name="_Toc515358757"/>
      <w:bookmarkStart w:id="166" w:name="_Toc207309549"/>
      <w:bookmarkEnd w:id="163"/>
      <w:r>
        <w:t>Interpretation provisions</w:t>
      </w:r>
      <w:bookmarkEnd w:id="164"/>
      <w:bookmarkEnd w:id="165"/>
      <w:bookmarkEnd w:id="166"/>
    </w:p>
    <w:p w14:paraId="72DD0EA0" w14:textId="7735096C" w:rsidR="00652C71" w:rsidRDefault="2BC382E4" w:rsidP="00B5506F">
      <w:pPr>
        <w:pStyle w:val="Heading3"/>
        <w:keepNext/>
        <w:numPr>
          <w:ilvl w:val="0"/>
          <w:numId w:val="0"/>
        </w:numPr>
        <w:ind w:left="737"/>
      </w:pPr>
      <w:bookmarkStart w:id="167" w:name="_Toc515358758"/>
      <w:bookmarkStart w:id="168" w:name="_Toc515358769"/>
      <w:r>
        <w:t>Headings are for convenience only and do not affect interpretation. Unless the contrary intention appears, in this agreement:</w:t>
      </w:r>
      <w:bookmarkEnd w:id="167"/>
    </w:p>
    <w:p w14:paraId="2586FD86" w14:textId="77777777" w:rsidR="00652C71" w:rsidRDefault="00652C71" w:rsidP="0058045D">
      <w:pPr>
        <w:pStyle w:val="Heading3"/>
      </w:pPr>
      <w:bookmarkStart w:id="169" w:name="_Toc515358759"/>
      <w:r>
        <w:t>labels used for definitions are for convenience only and do not affect interpretation;</w:t>
      </w:r>
      <w:bookmarkEnd w:id="169"/>
    </w:p>
    <w:p w14:paraId="46B8B8A6" w14:textId="77777777" w:rsidR="00652C71" w:rsidRDefault="00652C71" w:rsidP="0058045D">
      <w:pPr>
        <w:pStyle w:val="Heading3"/>
      </w:pPr>
      <w:bookmarkStart w:id="170" w:name="_Toc515358760"/>
      <w:r w:rsidRPr="00354E1C">
        <w:t>the singular includes the plural and vice versa</w:t>
      </w:r>
      <w:r>
        <w:t>;</w:t>
      </w:r>
      <w:bookmarkEnd w:id="170"/>
    </w:p>
    <w:p w14:paraId="37909045" w14:textId="77777777" w:rsidR="00652C71" w:rsidRDefault="00652C71" w:rsidP="0058045D">
      <w:pPr>
        <w:pStyle w:val="Heading3"/>
      </w:pPr>
      <w:bookmarkStart w:id="171" w:name="_Toc515358761"/>
      <w:r w:rsidRPr="00354E1C">
        <w:t>the meaning of general words is not limited by specific examples introduced by “including”, “for example”</w:t>
      </w:r>
      <w:r>
        <w:t>,</w:t>
      </w:r>
      <w:r w:rsidRPr="00354E1C">
        <w:t xml:space="preserve"> “such as” or similar expressions</w:t>
      </w:r>
      <w:r>
        <w:t>;</w:t>
      </w:r>
      <w:bookmarkEnd w:id="171"/>
    </w:p>
    <w:p w14:paraId="3FFB8A59" w14:textId="77777777" w:rsidR="00652C71" w:rsidRDefault="00652C71" w:rsidP="0058045D">
      <w:pPr>
        <w:pStyle w:val="Heading3"/>
      </w:pPr>
      <w:bookmarkStart w:id="172" w:name="_Toc515358762"/>
      <w:r w:rsidRPr="00354E1C">
        <w:t>a reference to a document also includes any variation, replacement or novation of it</w:t>
      </w:r>
      <w:r>
        <w:t>;</w:t>
      </w:r>
      <w:bookmarkEnd w:id="172"/>
    </w:p>
    <w:p w14:paraId="2FF745A9" w14:textId="64FED36D" w:rsidR="00652C71" w:rsidRDefault="00652C71" w:rsidP="0058045D">
      <w:pPr>
        <w:pStyle w:val="Heading3"/>
      </w:pPr>
      <w:bookmarkStart w:id="173" w:name="_Toc515358763"/>
      <w:r w:rsidRPr="00354E1C">
        <w:t xml:space="preserve">a reference to </w:t>
      </w:r>
      <w:r>
        <w:t>“</w:t>
      </w:r>
      <w:r w:rsidRPr="00354E1C">
        <w:rPr>
          <w:b/>
        </w:rPr>
        <w:t>person</w:t>
      </w:r>
      <w:r w:rsidRPr="00B04671">
        <w:t>”</w:t>
      </w:r>
      <w:r w:rsidRPr="00354E1C">
        <w:t xml:space="preserve"> includes an individual, a body corporate, a partnership, a joint venture, an unincorporated association and an authority</w:t>
      </w:r>
      <w:r>
        <w:t xml:space="preserve"> </w:t>
      </w:r>
      <w:r w:rsidRPr="00354E1C">
        <w:t>or any other entity or organisation</w:t>
      </w:r>
      <w:r w:rsidR="009D047A">
        <w:t xml:space="preserve"> (including a trust, as represented by its trustee)</w:t>
      </w:r>
      <w:r>
        <w:t>;</w:t>
      </w:r>
    </w:p>
    <w:p w14:paraId="3C382941" w14:textId="77777777" w:rsidR="00652C71" w:rsidRDefault="00652C71" w:rsidP="0058045D">
      <w:pPr>
        <w:pStyle w:val="Heading3"/>
      </w:pPr>
      <w:r w:rsidRPr="00354E1C">
        <w:t>a reference to a particular person includes the person’s executors, administrators, successors, substitutes (including persons taking by novation) and assigns</w:t>
      </w:r>
      <w:r>
        <w:t>;</w:t>
      </w:r>
      <w:bookmarkEnd w:id="173"/>
    </w:p>
    <w:p w14:paraId="519379AE" w14:textId="25F67CF4" w:rsidR="00652C71" w:rsidRDefault="00652C71" w:rsidP="0058045D">
      <w:pPr>
        <w:pStyle w:val="Heading3"/>
      </w:pPr>
      <w:bookmarkStart w:id="174" w:name="_Toc515358764"/>
      <w:r w:rsidRPr="00354E1C">
        <w:t xml:space="preserve">a reference to a time of day is a reference to </w:t>
      </w:r>
      <w:r w:rsidR="005A5C3F">
        <w:t>Perth</w:t>
      </w:r>
      <w:r w:rsidR="005A5C3F" w:rsidRPr="00354E1C">
        <w:t xml:space="preserve"> </w:t>
      </w:r>
      <w:r w:rsidRPr="00354E1C">
        <w:t>time</w:t>
      </w:r>
      <w:r>
        <w:t>;</w:t>
      </w:r>
      <w:bookmarkEnd w:id="174"/>
    </w:p>
    <w:p w14:paraId="21AFE49A" w14:textId="77777777" w:rsidR="00652C71" w:rsidRDefault="00652C71" w:rsidP="0058045D">
      <w:pPr>
        <w:pStyle w:val="Heading3"/>
      </w:pPr>
      <w:bookmarkStart w:id="175" w:name="_Toc515358765"/>
      <w:r w:rsidRPr="00354E1C">
        <w:t xml:space="preserve">a reference to </w:t>
      </w:r>
      <w:r w:rsidR="001A4CCE">
        <w:t xml:space="preserve">AUD, </w:t>
      </w:r>
      <w:r w:rsidRPr="00354E1C">
        <w:t>dollars, $ or A$ is a reference to the currency of Australia</w:t>
      </w:r>
      <w:r>
        <w:t>;</w:t>
      </w:r>
      <w:bookmarkEnd w:id="175"/>
    </w:p>
    <w:p w14:paraId="73E199FF" w14:textId="6C03E30A" w:rsidR="00652C71" w:rsidRPr="00354E1C" w:rsidRDefault="00652C71" w:rsidP="0058045D">
      <w:pPr>
        <w:pStyle w:val="Heading3"/>
      </w:pPr>
      <w:r w:rsidRPr="00354E1C">
        <w:t xml:space="preserve">a reference to any legislation includes regulations </w:t>
      </w:r>
      <w:r w:rsidR="00A97B24">
        <w:t xml:space="preserve">made </w:t>
      </w:r>
      <w:r w:rsidRPr="00354E1C">
        <w:t xml:space="preserve">under it and any consolidations, amendments, re-enactments or replacements of </w:t>
      </w:r>
      <w:r w:rsidR="00A97B24">
        <w:t>that legislation or those regulations</w:t>
      </w:r>
      <w:r w:rsidRPr="00354E1C">
        <w:t>;</w:t>
      </w:r>
    </w:p>
    <w:p w14:paraId="30DDB25D" w14:textId="1AB0329F" w:rsidR="00652C71" w:rsidRDefault="00652C71" w:rsidP="0058045D">
      <w:pPr>
        <w:pStyle w:val="Heading3"/>
      </w:pPr>
      <w:bookmarkStart w:id="176" w:name="_Toc515358767"/>
      <w:r w:rsidRPr="00354E1C">
        <w:t xml:space="preserve">a reference to </w:t>
      </w:r>
      <w:r>
        <w:t>“</w:t>
      </w:r>
      <w:r w:rsidRPr="00354E1C">
        <w:rPr>
          <w:b/>
        </w:rPr>
        <w:t>regulations</w:t>
      </w:r>
      <w:r>
        <w:t>”</w:t>
      </w:r>
      <w:r w:rsidRPr="00354E1C">
        <w:t xml:space="preserve"> includes instruments of a legislative character </w:t>
      </w:r>
      <w:r w:rsidR="00A97B24">
        <w:t xml:space="preserve">made </w:t>
      </w:r>
      <w:r w:rsidRPr="00354E1C">
        <w:t>under legislation (such as regulations, rules, by-laws, ordinances and proclamations)</w:t>
      </w:r>
      <w:r>
        <w:t>;</w:t>
      </w:r>
    </w:p>
    <w:bookmarkEnd w:id="176"/>
    <w:p w14:paraId="441074D3" w14:textId="6296953D" w:rsidR="00652C71" w:rsidRDefault="00652C71" w:rsidP="0058045D">
      <w:pPr>
        <w:pStyle w:val="Heading3"/>
      </w:pPr>
      <w:r w:rsidRPr="00354E1C">
        <w:t xml:space="preserve">a reference to a group of persons is a reference to any </w:t>
      </w:r>
      <w:r w:rsidR="00A97B24">
        <w:t>two (</w:t>
      </w:r>
      <w:r w:rsidRPr="00354E1C">
        <w:t>2</w:t>
      </w:r>
      <w:r w:rsidR="00A97B24">
        <w:t>)</w:t>
      </w:r>
      <w:r w:rsidRPr="00354E1C">
        <w:t xml:space="preserve"> or more of them jointly and to each of them individually</w:t>
      </w:r>
      <w:r>
        <w:t>;</w:t>
      </w:r>
    </w:p>
    <w:p w14:paraId="465E90BA" w14:textId="77777777" w:rsidR="00652C71" w:rsidRDefault="2C388DF0" w:rsidP="0058045D">
      <w:pPr>
        <w:pStyle w:val="Heading3"/>
      </w:pPr>
      <w:r>
        <w:t>a reference to any</w:t>
      </w:r>
      <w:r w:rsidR="00652C71">
        <w:t xml:space="preserve"> </w:t>
      </w:r>
      <w:r>
        <w:t>thing (including an amount) is a reference to the whole and each part of it;</w:t>
      </w:r>
    </w:p>
    <w:p w14:paraId="34E313C0" w14:textId="34F47247" w:rsidR="00652C71" w:rsidRDefault="00652C71" w:rsidP="0058045D">
      <w:pPr>
        <w:pStyle w:val="Heading3"/>
      </w:pPr>
      <w:r>
        <w:t>a period of time dating from</w:t>
      </w:r>
      <w:r w:rsidR="009D047A">
        <w:t xml:space="preserve"> or to</w:t>
      </w:r>
      <w:r>
        <w:t xml:space="preserve"> a given day</w:t>
      </w:r>
      <w:r w:rsidR="009D047A">
        <w:t>,</w:t>
      </w:r>
      <w:r>
        <w:t xml:space="preserve"> or</w:t>
      </w:r>
      <w:r w:rsidR="009D047A">
        <w:t xml:space="preserve"> from or to</w:t>
      </w:r>
      <w:r>
        <w:t xml:space="preserve"> the day of an act or event is to be calculated exclusive of that day;</w:t>
      </w:r>
    </w:p>
    <w:p w14:paraId="067980F9" w14:textId="49757E80" w:rsidR="00652C71" w:rsidRPr="001E04E3" w:rsidRDefault="00652C71" w:rsidP="0058045D">
      <w:pPr>
        <w:pStyle w:val="Heading3"/>
        <w:rPr>
          <w:rStyle w:val="CommentReference"/>
          <w:sz w:val="20"/>
          <w:szCs w:val="20"/>
        </w:rPr>
      </w:pPr>
      <w:r w:rsidRPr="00487197">
        <w:t>if a</w:t>
      </w:r>
      <w:r>
        <w:t xml:space="preserve"> party must do something under this agreement </w:t>
      </w:r>
      <w:r w:rsidRPr="00487197">
        <w:t xml:space="preserve">on or by a given day </w:t>
      </w:r>
      <w:r w:rsidR="005A5C3F">
        <w:t xml:space="preserve">(other than in respect of a Trading Day) </w:t>
      </w:r>
      <w:r>
        <w:t xml:space="preserve">and it </w:t>
      </w:r>
      <w:r w:rsidRPr="00487197">
        <w:t xml:space="preserve">is done after 5.00pm on that day, </w:t>
      </w:r>
      <w:r w:rsidR="00B807DD">
        <w:t xml:space="preserve">then </w:t>
      </w:r>
      <w:r w:rsidRPr="00487197">
        <w:t xml:space="preserve">it is taken to be done on the next </w:t>
      </w:r>
      <w:r>
        <w:t>Business Day</w:t>
      </w:r>
      <w:r>
        <w:rPr>
          <w:rStyle w:val="CommentReference"/>
        </w:rPr>
        <w:t xml:space="preserve">; </w:t>
      </w:r>
    </w:p>
    <w:p w14:paraId="7E558A39" w14:textId="628D187D" w:rsidR="00652C71" w:rsidRDefault="00652C71" w:rsidP="0058045D">
      <w:pPr>
        <w:pStyle w:val="Heading3"/>
      </w:pPr>
      <w:r>
        <w:t xml:space="preserve">if </w:t>
      </w:r>
      <w:r w:rsidRPr="008C1E8B">
        <w:t>the day on</w:t>
      </w:r>
      <w:r w:rsidR="009D047A">
        <w:t xml:space="preserve"> or by</w:t>
      </w:r>
      <w:r w:rsidRPr="008C1E8B">
        <w:t xml:space="preserve"> which </w:t>
      </w:r>
      <w:r>
        <w:t xml:space="preserve">a party must do something under this agreement </w:t>
      </w:r>
      <w:r w:rsidRPr="008C1E8B">
        <w:t>is not a Business Day</w:t>
      </w:r>
      <w:r w:rsidR="005A5C3F">
        <w:t xml:space="preserve"> (other than in respect of a Trading Day)</w:t>
      </w:r>
      <w:r w:rsidRPr="008C1E8B">
        <w:t xml:space="preserve">, </w:t>
      </w:r>
      <w:r w:rsidR="00B807DD">
        <w:t xml:space="preserve">then </w:t>
      </w:r>
      <w:r w:rsidRPr="008C1E8B">
        <w:t>the p</w:t>
      </w:r>
      <w:r>
        <w:t>arty</w:t>
      </w:r>
      <w:r w:rsidRPr="008C1E8B">
        <w:t xml:space="preserve"> must do it on the</w:t>
      </w:r>
      <w:r>
        <w:t xml:space="preserve"> </w:t>
      </w:r>
      <w:r w:rsidRPr="008C1E8B">
        <w:t>next</w:t>
      </w:r>
      <w:r w:rsidRPr="006969BB">
        <w:t xml:space="preserve"> </w:t>
      </w:r>
      <w:r w:rsidRPr="008C1E8B">
        <w:t>Business</w:t>
      </w:r>
      <w:r>
        <w:t xml:space="preserve"> Day; </w:t>
      </w:r>
    </w:p>
    <w:p w14:paraId="32A4AEA2" w14:textId="4B5DA6A8" w:rsidR="00FE79EE" w:rsidRPr="00FB7EB2" w:rsidRDefault="00FE79EE" w:rsidP="0058045D">
      <w:pPr>
        <w:pStyle w:val="Heading3"/>
      </w:pPr>
      <w:r w:rsidRPr="00FB7EB2">
        <w:t xml:space="preserve">a reference to a clause, paragraph, subparagraph, section, schedule or annexure </w:t>
      </w:r>
      <w:r w:rsidR="005A5C3F" w:rsidRPr="00FB7EB2">
        <w:t>is</w:t>
      </w:r>
      <w:r w:rsidR="00972916" w:rsidRPr="00FB7EB2">
        <w:t xml:space="preserve"> </w:t>
      </w:r>
      <w:r w:rsidRPr="00FB7EB2">
        <w:t xml:space="preserve">a reference to a clause, paragraph, subparagraph </w:t>
      </w:r>
      <w:r w:rsidR="005A5C3F" w:rsidRPr="00FB7EB2">
        <w:t xml:space="preserve">or </w:t>
      </w:r>
      <w:r w:rsidRPr="00FB7EB2">
        <w:t>section</w:t>
      </w:r>
      <w:r w:rsidR="005A5C3F" w:rsidRPr="00FB7EB2">
        <w:t xml:space="preserve"> of</w:t>
      </w:r>
      <w:r w:rsidRPr="00FB7EB2">
        <w:t xml:space="preserve">, </w:t>
      </w:r>
      <w:r w:rsidR="005A5C3F" w:rsidRPr="00FB7EB2">
        <w:t xml:space="preserve">or a </w:t>
      </w:r>
      <w:r w:rsidRPr="00FB7EB2">
        <w:t>schedule or annexure to</w:t>
      </w:r>
      <w:r w:rsidR="005A5C3F" w:rsidRPr="00FB7EB2">
        <w:t>,</w:t>
      </w:r>
      <w:r w:rsidRPr="00FB7EB2">
        <w:t xml:space="preserve"> this agreement; </w:t>
      </w:r>
      <w:r w:rsidR="005A5C3F" w:rsidRPr="00FB7EB2">
        <w:t>and</w:t>
      </w:r>
    </w:p>
    <w:p w14:paraId="72CC557D" w14:textId="07973F09" w:rsidR="00A054BE" w:rsidRDefault="2C388DF0" w:rsidP="0058045D">
      <w:pPr>
        <w:pStyle w:val="Heading3"/>
      </w:pPr>
      <w:r>
        <w:t xml:space="preserve">the Details, Reference Details, </w:t>
      </w:r>
      <w:r w:rsidR="00812DEF">
        <w:t xml:space="preserve">Notes, </w:t>
      </w:r>
      <w:r>
        <w:t>schedules and annexures to this agreement form part of this agreement.</w:t>
      </w:r>
      <w:bookmarkEnd w:id="168"/>
    </w:p>
    <w:p w14:paraId="23F8980B" w14:textId="77777777" w:rsidR="00652C71" w:rsidRDefault="2BC382E4" w:rsidP="0058045D">
      <w:pPr>
        <w:pStyle w:val="Heading2"/>
      </w:pPr>
      <w:bookmarkStart w:id="177" w:name="_Toc94798071"/>
      <w:bookmarkStart w:id="178" w:name="_Toc94871996"/>
      <w:bookmarkStart w:id="179" w:name="_Toc94885218"/>
      <w:bookmarkStart w:id="180" w:name="_Toc94885654"/>
      <w:bookmarkStart w:id="181" w:name="_Toc94886091"/>
      <w:bookmarkStart w:id="182" w:name="_Toc99723193"/>
      <w:bookmarkStart w:id="183" w:name="_Toc94798072"/>
      <w:bookmarkStart w:id="184" w:name="_Toc94871997"/>
      <w:bookmarkStart w:id="185" w:name="_Toc94885219"/>
      <w:bookmarkStart w:id="186" w:name="_Toc94885655"/>
      <w:bookmarkStart w:id="187" w:name="_Toc94886092"/>
      <w:bookmarkStart w:id="188" w:name="_Toc99723194"/>
      <w:bookmarkStart w:id="189" w:name="_Toc159511690"/>
      <w:bookmarkStart w:id="190" w:name="_Toc159511691"/>
      <w:bookmarkStart w:id="191" w:name="_Ref104383442"/>
      <w:bookmarkStart w:id="192" w:name="_Toc207309550"/>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t>Legislation definition change</w:t>
      </w:r>
      <w:bookmarkEnd w:id="191"/>
      <w:bookmarkEnd w:id="192"/>
    </w:p>
    <w:p w14:paraId="12EDACC0" w14:textId="77777777" w:rsidR="00652C71" w:rsidRDefault="00652C71" w:rsidP="0058045D">
      <w:pPr>
        <w:pStyle w:val="Indent2"/>
        <w:keepNext/>
      </w:pPr>
      <w:r>
        <w:t>If:</w:t>
      </w:r>
    </w:p>
    <w:p w14:paraId="4308F18E" w14:textId="3646FC81" w:rsidR="00652C71" w:rsidRDefault="00652C71" w:rsidP="0058045D">
      <w:pPr>
        <w:pStyle w:val="Heading3"/>
      </w:pPr>
      <w:r>
        <w:t xml:space="preserve">a term used in this agreement (including as a result of a prior application of this clause </w:t>
      </w:r>
      <w:r>
        <w:fldChar w:fldCharType="begin"/>
      </w:r>
      <w:r>
        <w:instrText xml:space="preserve"> REF _Ref104383442 \n \h </w:instrText>
      </w:r>
      <w:r>
        <w:fldChar w:fldCharType="separate"/>
      </w:r>
      <w:r w:rsidR="002E5C6A">
        <w:t>1.3</w:t>
      </w:r>
      <w:r>
        <w:fldChar w:fldCharType="end"/>
      </w:r>
      <w:r>
        <w:t xml:space="preserve">) has the meaning given to it in </w:t>
      </w:r>
      <w:r w:rsidR="001A4CCE">
        <w:t xml:space="preserve">legislation (including </w:t>
      </w:r>
      <w:r>
        <w:t xml:space="preserve">the </w:t>
      </w:r>
      <w:r w:rsidR="004A1236">
        <w:t>ESM Rules</w:t>
      </w:r>
      <w:r w:rsidR="00D46830">
        <w:t xml:space="preserve"> </w:t>
      </w:r>
      <w:r w:rsidR="001A4CCE">
        <w:t>and the Corporations Act)</w:t>
      </w:r>
      <w:r>
        <w:t>; and</w:t>
      </w:r>
    </w:p>
    <w:p w14:paraId="4927AA14" w14:textId="77777777" w:rsidR="00434DD2" w:rsidRDefault="00434DD2" w:rsidP="00B5506F">
      <w:pPr>
        <w:pStyle w:val="Heading3"/>
        <w:keepNext/>
      </w:pPr>
      <w:r>
        <w:t xml:space="preserve">the term in the </w:t>
      </w:r>
      <w:r w:rsidR="001A4CCE">
        <w:t>relevant legislation</w:t>
      </w:r>
      <w:r>
        <w:t xml:space="preserve"> is subsequently renamed or replaced with another term of similar effect,</w:t>
      </w:r>
    </w:p>
    <w:p w14:paraId="11B4A4C6" w14:textId="12E28207" w:rsidR="00D92A95" w:rsidRDefault="2BC382E4" w:rsidP="0058045D">
      <w:pPr>
        <w:pStyle w:val="Heading3"/>
        <w:numPr>
          <w:ilvl w:val="0"/>
          <w:numId w:val="0"/>
        </w:numPr>
        <w:ind w:left="737"/>
      </w:pPr>
      <w:r>
        <w:t xml:space="preserve">then the new term will be used in place of the term </w:t>
      </w:r>
      <w:r w:rsidR="005A5C3F">
        <w:t xml:space="preserve">that </w:t>
      </w:r>
      <w:r>
        <w:t>was renamed or replaced.</w:t>
      </w:r>
    </w:p>
    <w:p w14:paraId="5A21FBCC" w14:textId="77777777" w:rsidR="00B67596" w:rsidRPr="00B67596" w:rsidRDefault="2BC382E4" w:rsidP="0058045D">
      <w:pPr>
        <w:pStyle w:val="Heading2"/>
      </w:pPr>
      <w:bookmarkStart w:id="193" w:name="_Toc159511693"/>
      <w:bookmarkStart w:id="194" w:name="_Toc159511694"/>
      <w:bookmarkStart w:id="195" w:name="_Toc159511695"/>
      <w:bookmarkStart w:id="196" w:name="_Toc159511696"/>
      <w:bookmarkStart w:id="197" w:name="_Ref165035089"/>
      <w:bookmarkStart w:id="198" w:name="_Toc207309551"/>
      <w:bookmarkStart w:id="199" w:name="_Toc105762514"/>
      <w:bookmarkEnd w:id="193"/>
      <w:bookmarkEnd w:id="194"/>
      <w:bookmarkEnd w:id="195"/>
      <w:bookmarkEnd w:id="196"/>
      <w:r>
        <w:t>Appointment of agent</w:t>
      </w:r>
      <w:bookmarkEnd w:id="197"/>
      <w:bookmarkEnd w:id="198"/>
      <w:r>
        <w:t xml:space="preserve"> </w:t>
      </w:r>
      <w:bookmarkEnd w:id="199"/>
    </w:p>
    <w:p w14:paraId="64C59FF7" w14:textId="434356A4" w:rsidR="001A4CCE" w:rsidRDefault="00C26CD7" w:rsidP="0058045D">
      <w:pPr>
        <w:pStyle w:val="Heading3"/>
      </w:pPr>
      <w:r>
        <w:t>Project</w:t>
      </w:r>
      <w:r w:rsidR="00C65F76">
        <w:t xml:space="preserve"> Operator acknowledges that </w:t>
      </w:r>
      <w:r>
        <w:t>the Commonwealth</w:t>
      </w:r>
      <w:r w:rsidR="00C65F76">
        <w:t xml:space="preserve"> may, in its sole discretion and from time to time, appoint </w:t>
      </w:r>
      <w:r w:rsidR="001A4CCE">
        <w:t xml:space="preserve">in writing </w:t>
      </w:r>
      <w:r w:rsidR="00C65F76">
        <w:t xml:space="preserve">one or more persons as </w:t>
      </w:r>
      <w:r>
        <w:t>the Commonwealth</w:t>
      </w:r>
      <w:r w:rsidR="00C65F76">
        <w:t xml:space="preserve">’s agent in respect of or in connection with </w:t>
      </w:r>
      <w:r w:rsidR="00F50159">
        <w:t xml:space="preserve">the performance of </w:t>
      </w:r>
      <w:r w:rsidR="00C65F76">
        <w:t xml:space="preserve">some or all of </w:t>
      </w:r>
      <w:r>
        <w:t>the Commonwealth</w:t>
      </w:r>
      <w:r w:rsidR="00C65F76">
        <w:t xml:space="preserve">’s rights or obligations under this agreement. </w:t>
      </w:r>
    </w:p>
    <w:p w14:paraId="0C96C54A" w14:textId="77777777" w:rsidR="001A4CCE" w:rsidRDefault="001A4CCE" w:rsidP="0058045D">
      <w:pPr>
        <w:pStyle w:val="Heading3"/>
      </w:pPr>
      <w:r>
        <w:t>In making such an appointment, the Commonwealth may advise Project Operator in writing of any limitations on that appointment and, if the Commonwealth does so, Project Operator must comply with any such limitations of which it has been advised.</w:t>
      </w:r>
    </w:p>
    <w:p w14:paraId="0F1B5358" w14:textId="42D6C6B5" w:rsidR="00C65F76" w:rsidRDefault="00C65F76" w:rsidP="0058045D">
      <w:pPr>
        <w:pStyle w:val="Heading3"/>
      </w:pPr>
      <w:r>
        <w:t xml:space="preserve">Nothing in this clause </w:t>
      </w:r>
      <w:r w:rsidR="001A4CCE">
        <w:fldChar w:fldCharType="begin"/>
      </w:r>
      <w:r w:rsidR="001A4CCE">
        <w:instrText xml:space="preserve"> REF _Ref165035089 \w \h </w:instrText>
      </w:r>
      <w:r w:rsidR="001A4CCE">
        <w:fldChar w:fldCharType="separate"/>
      </w:r>
      <w:r w:rsidR="002E5C6A">
        <w:t>1.4</w:t>
      </w:r>
      <w:r w:rsidR="001A4CCE">
        <w:fldChar w:fldCharType="end"/>
      </w:r>
      <w:r w:rsidR="001A4CCE">
        <w:t xml:space="preserve"> </w:t>
      </w:r>
      <w:r>
        <w:t xml:space="preserve">relieves </w:t>
      </w:r>
      <w:r w:rsidR="00C26CD7">
        <w:t>the Commonwealth</w:t>
      </w:r>
      <w:r>
        <w:t xml:space="preserve"> of its obligations</w:t>
      </w:r>
      <w:r w:rsidR="001A4CCE">
        <w:t>, or reduces its rights,</w:t>
      </w:r>
      <w:r>
        <w:t xml:space="preserve"> under this agreement.</w:t>
      </w:r>
    </w:p>
    <w:p w14:paraId="265917EF" w14:textId="77777777" w:rsidR="00484112" w:rsidRDefault="2BC382E4" w:rsidP="0058045D">
      <w:pPr>
        <w:pStyle w:val="Heading2"/>
      </w:pPr>
      <w:bookmarkStart w:id="200" w:name="_Ref108176271"/>
      <w:bookmarkStart w:id="201" w:name="_Toc110941030"/>
      <w:bookmarkStart w:id="202" w:name="_Ref113622146"/>
      <w:bookmarkStart w:id="203" w:name="_Toc207309552"/>
      <w:r>
        <w:t>Adjustment for indexation</w:t>
      </w:r>
      <w:bookmarkEnd w:id="200"/>
      <w:bookmarkEnd w:id="201"/>
      <w:bookmarkEnd w:id="202"/>
      <w:bookmarkEnd w:id="203"/>
    </w:p>
    <w:p w14:paraId="42F7F1CF" w14:textId="77777777" w:rsidR="001E0337" w:rsidRDefault="2BC382E4" w:rsidP="00B5506F">
      <w:pPr>
        <w:pStyle w:val="Heading3"/>
        <w:keepNext/>
        <w:numPr>
          <w:ilvl w:val="0"/>
          <w:numId w:val="0"/>
        </w:numPr>
        <w:ind w:left="737"/>
      </w:pPr>
      <w:r>
        <w:t>On each Adjustment Date, each of:</w:t>
      </w:r>
    </w:p>
    <w:p w14:paraId="3D045EB4" w14:textId="77777777" w:rsidR="001E0337" w:rsidRDefault="001F012E" w:rsidP="0058045D">
      <w:pPr>
        <w:pStyle w:val="Heading3"/>
      </w:pPr>
      <w:r>
        <w:t xml:space="preserve">the </w:t>
      </w:r>
      <w:r w:rsidR="00E538BB">
        <w:t>Cost Change Threshold</w:t>
      </w:r>
      <w:r w:rsidR="001E0337">
        <w:t>;</w:t>
      </w:r>
    </w:p>
    <w:p w14:paraId="6BB1E453" w14:textId="63D9D5C5" w:rsidR="003260A3" w:rsidRDefault="003260A3" w:rsidP="0058045D">
      <w:pPr>
        <w:pStyle w:val="Heading3"/>
      </w:pPr>
      <w:r>
        <w:t>the limitation of liability applying to the Commonwealth under clause</w:t>
      </w:r>
      <w:r w:rsidR="005A5C3F">
        <w:t>s</w:t>
      </w:r>
      <w:r w:rsidR="00795F0F">
        <w:t> </w:t>
      </w:r>
      <w:r>
        <w:fldChar w:fldCharType="begin"/>
      </w:r>
      <w:r>
        <w:instrText xml:space="preserve"> REF _Ref161847352 \w \h </w:instrText>
      </w:r>
      <w:r>
        <w:fldChar w:fldCharType="separate"/>
      </w:r>
      <w:r w:rsidR="002E5C6A">
        <w:t>24.2(a)(i)</w:t>
      </w:r>
      <w:r>
        <w:fldChar w:fldCharType="end"/>
      </w:r>
      <w:r>
        <w:t xml:space="preserve"> and </w:t>
      </w:r>
      <w:r>
        <w:fldChar w:fldCharType="begin"/>
      </w:r>
      <w:r>
        <w:instrText xml:space="preserve"> REF _Ref161847354 \w \h </w:instrText>
      </w:r>
      <w:r>
        <w:fldChar w:fldCharType="separate"/>
      </w:r>
      <w:r w:rsidR="002E5C6A">
        <w:t>24.2(a)(ii)</w:t>
      </w:r>
      <w:r>
        <w:fldChar w:fldCharType="end"/>
      </w:r>
      <w:r>
        <w:t>;</w:t>
      </w:r>
    </w:p>
    <w:p w14:paraId="22912231" w14:textId="4F262D7C" w:rsidR="004622A0" w:rsidRDefault="003260A3" w:rsidP="0058045D">
      <w:pPr>
        <w:pStyle w:val="Heading3"/>
      </w:pPr>
      <w:r>
        <w:t>the limitation of liability applying to Project Operator under clause</w:t>
      </w:r>
      <w:r w:rsidR="005A5C3F">
        <w:t>s</w:t>
      </w:r>
      <w:r w:rsidR="00795F0F">
        <w:t> </w:t>
      </w:r>
      <w:r>
        <w:fldChar w:fldCharType="begin"/>
      </w:r>
      <w:r>
        <w:instrText xml:space="preserve"> REF _Ref161847356 \w \h </w:instrText>
      </w:r>
      <w:r>
        <w:fldChar w:fldCharType="separate"/>
      </w:r>
      <w:r w:rsidR="002E5C6A">
        <w:t>24.2(b)(i)</w:t>
      </w:r>
      <w:r>
        <w:fldChar w:fldCharType="end"/>
      </w:r>
      <w:r>
        <w:t xml:space="preserve"> and </w:t>
      </w:r>
      <w:r>
        <w:fldChar w:fldCharType="begin"/>
      </w:r>
      <w:r>
        <w:instrText xml:space="preserve"> REF _Ref161847359 \w \h </w:instrText>
      </w:r>
      <w:r>
        <w:fldChar w:fldCharType="separate"/>
      </w:r>
      <w:r w:rsidR="002E5C6A">
        <w:t>24.2(b)(ii)</w:t>
      </w:r>
      <w:r>
        <w:fldChar w:fldCharType="end"/>
      </w:r>
      <w:r w:rsidR="004622A0">
        <w:t xml:space="preserve">; and </w:t>
      </w:r>
    </w:p>
    <w:p w14:paraId="34D963C7" w14:textId="1CF6CDF0" w:rsidR="001E0337" w:rsidRDefault="005A5C3F" w:rsidP="0058045D">
      <w:pPr>
        <w:pStyle w:val="Heading3"/>
      </w:pPr>
      <w:r>
        <w:t xml:space="preserve">the figure of </w:t>
      </w:r>
      <w:r w:rsidR="004622A0">
        <w:t xml:space="preserve">$4 million referred to in section </w:t>
      </w:r>
      <w:r w:rsidR="004622A0">
        <w:fldChar w:fldCharType="begin"/>
      </w:r>
      <w:r w:rsidR="004622A0">
        <w:instrText xml:space="preserve"> REF _Ref151189965 \n \h </w:instrText>
      </w:r>
      <w:r w:rsidR="004622A0">
        <w:fldChar w:fldCharType="separate"/>
      </w:r>
      <w:r w:rsidR="002E5C6A">
        <w:t>1.3</w:t>
      </w:r>
      <w:r w:rsidR="004622A0">
        <w:fldChar w:fldCharType="end"/>
      </w:r>
      <w:r w:rsidR="004622A0">
        <w:fldChar w:fldCharType="begin"/>
      </w:r>
      <w:r w:rsidR="004622A0">
        <w:instrText xml:space="preserve"> REF _Ref164693563 \n \h </w:instrText>
      </w:r>
      <w:r w:rsidR="004622A0">
        <w:fldChar w:fldCharType="separate"/>
      </w:r>
      <w:r w:rsidR="002E5C6A">
        <w:t>(c)</w:t>
      </w:r>
      <w:r w:rsidR="004622A0">
        <w:fldChar w:fldCharType="end"/>
      </w:r>
      <w:r w:rsidR="004622A0">
        <w:t xml:space="preserve"> of </w:t>
      </w:r>
      <w:r w:rsidR="004622A0">
        <w:fldChar w:fldCharType="begin"/>
      </w:r>
      <w:r w:rsidR="004622A0">
        <w:instrText xml:space="preserve"> REF _Ref159420596 \w \h </w:instrText>
      </w:r>
      <w:r w:rsidR="004622A0">
        <w:fldChar w:fldCharType="separate"/>
      </w:r>
      <w:r w:rsidR="002E5C6A">
        <w:t>Schedule 6</w:t>
      </w:r>
      <w:r w:rsidR="004622A0">
        <w:fldChar w:fldCharType="end"/>
      </w:r>
      <w:r w:rsidR="003E6114">
        <w:t>,</w:t>
      </w:r>
      <w:r w:rsidR="003260A3">
        <w:t xml:space="preserve"> </w:t>
      </w:r>
    </w:p>
    <w:p w14:paraId="12D5A90E" w14:textId="77777777" w:rsidR="00484112" w:rsidRDefault="2BC382E4" w:rsidP="00B5506F">
      <w:pPr>
        <w:pStyle w:val="Heading3"/>
        <w:keepNext/>
        <w:numPr>
          <w:ilvl w:val="0"/>
          <w:numId w:val="0"/>
        </w:numPr>
        <w:ind w:left="737"/>
      </w:pPr>
      <w:r>
        <w:t xml:space="preserve">will be adjusted in accordance with the following formula: </w:t>
      </w:r>
    </w:p>
    <w:p w14:paraId="29C336CF" w14:textId="77777777" w:rsidR="00484112" w:rsidRPr="00795F0F" w:rsidRDefault="0057509B" w:rsidP="0058045D">
      <w:pPr>
        <w:pStyle w:val="Heading3"/>
        <w:numPr>
          <w:ilvl w:val="0"/>
          <w:numId w:val="0"/>
        </w:numPr>
        <w:ind w:left="737"/>
        <w:rPr>
          <w:bCs/>
        </w:rPr>
      </w:pPr>
      <m:oMathPara>
        <m:oMathParaPr>
          <m:jc m:val="left"/>
        </m:oMathParaPr>
        <m:oMath>
          <m:sSub>
            <m:sSubPr>
              <m:ctrlPr>
                <w:rPr>
                  <w:rFonts w:ascii="Cambria Math" w:hAnsi="Cambria Math"/>
                  <w:bCs/>
                </w:rPr>
              </m:ctrlPr>
            </m:sSubPr>
            <m:e>
              <m:r>
                <m:rPr>
                  <m:sty m:val="bi"/>
                </m:rPr>
                <w:rPr>
                  <w:rFonts w:ascii="Cambria Math" w:hAnsi="Cambria Math"/>
                </w:rPr>
                <m:t>P</m:t>
              </m:r>
            </m:e>
            <m:sub>
              <m:r>
                <m:rPr>
                  <m:sty m:val="bi"/>
                </m:rPr>
                <w:rPr>
                  <w:rFonts w:ascii="Cambria Math" w:hAnsi="Cambria Math"/>
                </w:rPr>
                <m:t>n</m:t>
              </m:r>
            </m:sub>
          </m:sSub>
          <m:r>
            <m:rPr>
              <m:sty m:val="p"/>
            </m:rPr>
            <w:rPr>
              <w:rFonts w:ascii="Cambria Math" w:hAnsi="Cambria Math"/>
            </w:rPr>
            <m:t>=</m:t>
          </m:r>
          <m:sSub>
            <m:sSubPr>
              <m:ctrlPr>
                <w:rPr>
                  <w:rFonts w:ascii="Cambria Math" w:hAnsi="Cambria Math"/>
                  <w:bCs/>
                </w:rPr>
              </m:ctrlPr>
            </m:sSubPr>
            <m:e>
              <m:r>
                <m:rPr>
                  <m:sty m:val="bi"/>
                </m:rPr>
                <w:rPr>
                  <w:rFonts w:ascii="Cambria Math" w:hAnsi="Cambria Math"/>
                </w:rPr>
                <m:t>P</m:t>
              </m:r>
            </m:e>
            <m:sub>
              <m:r>
                <m:rPr>
                  <m:sty m:val="bi"/>
                </m:rPr>
                <w:rPr>
                  <w:rFonts w:ascii="Cambria Math" w:hAnsi="Cambria Math"/>
                </w:rPr>
                <m:t>b</m:t>
              </m:r>
            </m:sub>
          </m:sSub>
          <m:r>
            <m:rPr>
              <m:sty m:val="p"/>
            </m:rPr>
            <w:rPr>
              <w:rFonts w:ascii="Cambria Math" w:hAnsi="Cambria Math"/>
            </w:rPr>
            <m:t>×</m:t>
          </m:r>
          <m:r>
            <m:rPr>
              <m:sty m:val="b"/>
            </m:rPr>
            <w:rPr>
              <w:rFonts w:ascii="Cambria Math" w:hAnsi="Cambria Math"/>
            </w:rPr>
            <m:t>1</m:t>
          </m:r>
          <m:r>
            <m:rPr>
              <m:sty m:val="p"/>
            </m:rPr>
            <w:rPr>
              <w:rFonts w:ascii="Cambria Math" w:hAnsi="Cambria Math"/>
            </w:rPr>
            <m:t>.</m:t>
          </m:r>
          <m:r>
            <m:rPr>
              <m:sty m:val="b"/>
            </m:rPr>
            <w:rPr>
              <w:rFonts w:ascii="Cambria Math" w:hAnsi="Cambria Math"/>
            </w:rPr>
            <m:t>025</m:t>
          </m:r>
        </m:oMath>
      </m:oMathPara>
    </w:p>
    <w:p w14:paraId="411A69EF" w14:textId="77777777" w:rsidR="00484112" w:rsidRPr="00677545" w:rsidRDefault="2BC382E4" w:rsidP="0058045D">
      <w:pPr>
        <w:pStyle w:val="Heading3"/>
        <w:numPr>
          <w:ilvl w:val="0"/>
          <w:numId w:val="0"/>
        </w:numPr>
        <w:ind w:left="737"/>
      </w:pPr>
      <w:r>
        <w:t xml:space="preserve">where: </w:t>
      </w:r>
    </w:p>
    <w:p w14:paraId="2D5EBB49" w14:textId="77777777" w:rsidR="00484112" w:rsidRPr="00677545" w:rsidRDefault="00484112" w:rsidP="0058045D">
      <w:pPr>
        <w:pStyle w:val="Indent3"/>
        <w:tabs>
          <w:tab w:val="left" w:pos="1134"/>
        </w:tabs>
        <w:ind w:left="1498" w:hanging="737"/>
      </w:pPr>
      <w:r w:rsidRPr="00677545">
        <w:t>P</w:t>
      </w:r>
      <w:r w:rsidRPr="00677545">
        <w:rPr>
          <w:vertAlign w:val="subscript"/>
        </w:rPr>
        <w:t>n</w:t>
      </w:r>
      <w:r>
        <w:rPr>
          <w:vertAlign w:val="subscript"/>
        </w:rPr>
        <w:tab/>
      </w:r>
      <w:r>
        <w:t>=</w:t>
      </w:r>
      <w:r>
        <w:tab/>
      </w:r>
      <w:r w:rsidRPr="00677545">
        <w:t xml:space="preserve">the </w:t>
      </w:r>
      <w:r>
        <w:t>relevant amount</w:t>
      </w:r>
      <w:r w:rsidRPr="00677545">
        <w:t xml:space="preserve"> on and from the Adjustment Date;</w:t>
      </w:r>
      <w:r>
        <w:t xml:space="preserve"> </w:t>
      </w:r>
      <w:r w:rsidR="00E538BB">
        <w:t>and</w:t>
      </w:r>
    </w:p>
    <w:p w14:paraId="2643A19C" w14:textId="77777777" w:rsidR="00484112" w:rsidRDefault="00484112" w:rsidP="0058045D">
      <w:pPr>
        <w:pStyle w:val="Indent3"/>
        <w:tabs>
          <w:tab w:val="left" w:pos="1134"/>
        </w:tabs>
        <w:ind w:left="1498" w:hanging="737"/>
      </w:pPr>
      <w:r w:rsidRPr="00677545">
        <w:t>P</w:t>
      </w:r>
      <w:r w:rsidRPr="00677545">
        <w:rPr>
          <w:vertAlign w:val="subscript"/>
        </w:rPr>
        <w:t>b</w:t>
      </w:r>
      <w:r w:rsidRPr="00677545">
        <w:t xml:space="preserve"> </w:t>
      </w:r>
      <w:r w:rsidRPr="00677545">
        <w:tab/>
      </w:r>
      <w:r>
        <w:t>=</w:t>
      </w:r>
      <w:r>
        <w:tab/>
      </w:r>
      <w:r w:rsidRPr="00677545">
        <w:t xml:space="preserve">the </w:t>
      </w:r>
      <w:r>
        <w:t xml:space="preserve">relevant amount immediately before </w:t>
      </w:r>
      <w:r w:rsidRPr="00677545">
        <w:t xml:space="preserve">the </w:t>
      </w:r>
      <w:r>
        <w:t xml:space="preserve">Adjustment </w:t>
      </w:r>
      <w:r w:rsidRPr="00677545">
        <w:t>Date</w:t>
      </w:r>
      <w:r w:rsidR="00E538BB">
        <w:t>.</w:t>
      </w:r>
      <w:r>
        <w:t xml:space="preserve"> </w:t>
      </w:r>
    </w:p>
    <w:p w14:paraId="0B9B9918" w14:textId="77777777" w:rsidR="00D541ED" w:rsidRPr="00F06646" w:rsidRDefault="2BC382E4" w:rsidP="0058045D">
      <w:pPr>
        <w:pStyle w:val="Heading2"/>
      </w:pPr>
      <w:bookmarkStart w:id="204" w:name="_Ref163722455"/>
      <w:bookmarkStart w:id="205" w:name="_Toc207309553"/>
      <w:r w:rsidRPr="00F06646">
        <w:t>Adjustment for partial periods</w:t>
      </w:r>
      <w:bookmarkEnd w:id="204"/>
      <w:bookmarkEnd w:id="205"/>
      <w:r w:rsidRPr="00F06646">
        <w:t xml:space="preserve"> </w:t>
      </w:r>
    </w:p>
    <w:p w14:paraId="6B4CE2C4" w14:textId="77777777" w:rsidR="00D541ED" w:rsidRPr="00F06646" w:rsidRDefault="2BC382E4" w:rsidP="00B5506F">
      <w:pPr>
        <w:pStyle w:val="Heading4"/>
        <w:keepNext/>
        <w:numPr>
          <w:ilvl w:val="0"/>
          <w:numId w:val="0"/>
        </w:numPr>
        <w:ind w:left="737"/>
      </w:pPr>
      <w:r w:rsidRPr="00F06646">
        <w:t xml:space="preserve">In respect of the Final </w:t>
      </w:r>
      <w:r w:rsidR="007755B2">
        <w:t>Support</w:t>
      </w:r>
      <w:r w:rsidR="007755B2" w:rsidRPr="00F06646">
        <w:t xml:space="preserve"> </w:t>
      </w:r>
      <w:r w:rsidRPr="00F06646">
        <w:t>Year,</w:t>
      </w:r>
      <w:r w:rsidR="00311EDE">
        <w:t xml:space="preserve"> </w:t>
      </w:r>
      <w:r w:rsidR="00D541ED" w:rsidRPr="00F06646">
        <w:t>the Annual Payment Cap</w:t>
      </w:r>
      <w:r w:rsidR="00311EDE">
        <w:t xml:space="preserve"> </w:t>
      </w:r>
      <w:r w:rsidRPr="00F06646">
        <w:t>will be adjusted in accordance with the following formula:</w:t>
      </w:r>
    </w:p>
    <w:p w14:paraId="7FA46A1E" w14:textId="6F57E132" w:rsidR="00D541ED" w:rsidRPr="00F06646" w:rsidRDefault="00D541ED" w:rsidP="0058045D">
      <w:pPr>
        <w:pStyle w:val="Heading4"/>
        <w:numPr>
          <w:ilvl w:val="0"/>
          <w:numId w:val="0"/>
        </w:numPr>
        <w:ind w:left="737"/>
        <w:rPr>
          <w:bCs/>
        </w:rPr>
      </w:pPr>
      <m:oMathPara>
        <m:oMathParaPr>
          <m:jc m:val="left"/>
        </m:oMathParaPr>
        <m:oMath>
          <m:r>
            <m:rPr>
              <m:sty m:val="bi"/>
            </m:rPr>
            <w:rPr>
              <w:rFonts w:ascii="Cambria Math" w:hAnsi="Cambria Math"/>
            </w:rPr>
            <m:t>X</m:t>
          </m:r>
          <m:r>
            <m:rPr>
              <m:sty m:val="p"/>
            </m:rPr>
            <w:rPr>
              <w:rFonts w:ascii="Cambria Math" w:hAnsi="Cambria Math"/>
            </w:rPr>
            <m:t>=</m:t>
          </m:r>
          <m:f>
            <m:fPr>
              <m:ctrlPr>
                <w:rPr>
                  <w:rFonts w:ascii="Cambria Math" w:hAnsi="Cambria Math"/>
                  <w:bCs/>
                </w:rPr>
              </m:ctrlPr>
            </m:fPr>
            <m:num>
              <m:r>
                <m:rPr>
                  <m:sty m:val="bi"/>
                </m:rPr>
                <w:rPr>
                  <w:rFonts w:ascii="Cambria Math" w:hAnsi="Cambria Math"/>
                </w:rPr>
                <m:t>Y</m:t>
              </m:r>
            </m:num>
            <m:den>
              <m:r>
                <m:rPr>
                  <m:sty m:val="b"/>
                </m:rPr>
                <w:rPr>
                  <w:rFonts w:ascii="Cambria Math" w:hAnsi="Cambria Math"/>
                </w:rPr>
                <m:t>N</m:t>
              </m:r>
            </m:den>
          </m:f>
          <m:r>
            <m:rPr>
              <m:sty m:val="p"/>
            </m:rPr>
            <w:rPr>
              <w:rFonts w:ascii="Cambria Math" w:hAnsi="Cambria Math"/>
            </w:rPr>
            <m:t>×</m:t>
          </m:r>
          <m:r>
            <m:rPr>
              <m:sty m:val="bi"/>
            </m:rPr>
            <w:rPr>
              <w:rFonts w:ascii="Cambria Math" w:hAnsi="Cambria Math"/>
            </w:rPr>
            <m:t>Z</m:t>
          </m:r>
        </m:oMath>
      </m:oMathPara>
    </w:p>
    <w:p w14:paraId="6187F6E9" w14:textId="77777777" w:rsidR="00D541ED" w:rsidRPr="00F06646" w:rsidRDefault="00D541ED" w:rsidP="0058045D">
      <w:pPr>
        <w:pStyle w:val="Indent2"/>
        <w:keepNext/>
      </w:pPr>
      <w:r w:rsidRPr="00F06646">
        <w:t xml:space="preserve">where: </w:t>
      </w:r>
    </w:p>
    <w:p w14:paraId="381825C8" w14:textId="77777777" w:rsidR="00D541ED" w:rsidRPr="00F06646" w:rsidRDefault="00D541ED" w:rsidP="0058045D">
      <w:pPr>
        <w:pStyle w:val="Indent2"/>
        <w:tabs>
          <w:tab w:val="right" w:pos="1470"/>
        </w:tabs>
        <w:ind w:left="1701" w:hanging="959"/>
      </w:pPr>
      <w:r w:rsidRPr="00F06646">
        <w:t>X</w:t>
      </w:r>
      <w:r w:rsidRPr="00F06646">
        <w:tab/>
        <w:t xml:space="preserve">= </w:t>
      </w:r>
      <w:r w:rsidRPr="00F06646">
        <w:tab/>
        <w:t xml:space="preserve">the adjusted </w:t>
      </w:r>
      <w:r w:rsidR="00DB7C31" w:rsidRPr="00F06646">
        <w:t xml:space="preserve">Annual Payment Cap; </w:t>
      </w:r>
    </w:p>
    <w:p w14:paraId="116E3B08" w14:textId="4F821104" w:rsidR="00F91B0B" w:rsidRDefault="00DB7C31" w:rsidP="0058045D">
      <w:pPr>
        <w:pStyle w:val="Indent2"/>
        <w:tabs>
          <w:tab w:val="right" w:pos="1470"/>
        </w:tabs>
        <w:ind w:left="1701" w:hanging="959"/>
      </w:pPr>
      <w:r w:rsidRPr="00F06646">
        <w:t>Y</w:t>
      </w:r>
      <w:r w:rsidRPr="00F06646">
        <w:tab/>
        <w:t xml:space="preserve">= </w:t>
      </w:r>
      <w:r w:rsidRPr="00F06646">
        <w:tab/>
        <w:t xml:space="preserve">the number of </w:t>
      </w:r>
      <w:r w:rsidR="003B19C4">
        <w:t xml:space="preserve">full days from the start of the Final </w:t>
      </w:r>
      <w:r w:rsidR="007755B2">
        <w:t>Support</w:t>
      </w:r>
      <w:r w:rsidR="003B19C4">
        <w:t xml:space="preserve"> Year until the Final Support </w:t>
      </w:r>
      <w:r w:rsidR="00DF04B1">
        <w:t xml:space="preserve">End </w:t>
      </w:r>
      <w:r w:rsidR="003B19C4">
        <w:t>Date</w:t>
      </w:r>
      <w:r w:rsidR="005A5C3F">
        <w:t>; and</w:t>
      </w:r>
      <w:r w:rsidR="003B19C4" w:rsidRPr="00F06646" w:rsidDel="003B19C4">
        <w:t xml:space="preserve"> </w:t>
      </w:r>
    </w:p>
    <w:p w14:paraId="6018BFF0" w14:textId="47FA8FFF" w:rsidR="00EE31F1" w:rsidRDefault="00EE31F1" w:rsidP="0058045D">
      <w:pPr>
        <w:pStyle w:val="Indent2"/>
        <w:tabs>
          <w:tab w:val="right" w:pos="1470"/>
        </w:tabs>
        <w:ind w:left="1701" w:hanging="959"/>
      </w:pPr>
      <w:r>
        <w:t>N</w:t>
      </w:r>
      <w:r w:rsidRPr="00F06646">
        <w:tab/>
        <w:t xml:space="preserve">= </w:t>
      </w:r>
      <w:r w:rsidRPr="00F06646">
        <w:tab/>
        <w:t>the</w:t>
      </w:r>
      <w:r>
        <w:t xml:space="preserve"> number of days in the financial year in which the start of</w:t>
      </w:r>
      <w:r w:rsidRPr="00F06646">
        <w:t xml:space="preserve"> the Final </w:t>
      </w:r>
      <w:r>
        <w:t xml:space="preserve">Support </w:t>
      </w:r>
      <w:r w:rsidRPr="00F06646">
        <w:t>Year</w:t>
      </w:r>
      <w:r>
        <w:t xml:space="preserve"> falls</w:t>
      </w:r>
      <w:r w:rsidRPr="00F06646">
        <w:t>.</w:t>
      </w:r>
    </w:p>
    <w:p w14:paraId="4CDB5F6C" w14:textId="7428E652" w:rsidR="00DB7C31" w:rsidRDefault="00DB7C31" w:rsidP="0058045D">
      <w:pPr>
        <w:pStyle w:val="Indent2"/>
        <w:tabs>
          <w:tab w:val="right" w:pos="1470"/>
        </w:tabs>
        <w:ind w:left="1701" w:hanging="959"/>
      </w:pPr>
      <w:r w:rsidRPr="00F06646">
        <w:t>Z</w:t>
      </w:r>
      <w:r w:rsidRPr="00F06646">
        <w:tab/>
        <w:t xml:space="preserve">= </w:t>
      </w:r>
      <w:r w:rsidRPr="00F06646">
        <w:tab/>
        <w:t>the Annual Payment Cap for the Fina</w:t>
      </w:r>
      <w:r w:rsidR="002D7F2F" w:rsidRPr="00F06646">
        <w:t>l</w:t>
      </w:r>
      <w:r w:rsidRPr="00F06646">
        <w:t xml:space="preserve"> </w:t>
      </w:r>
      <w:r w:rsidR="007755B2">
        <w:t xml:space="preserve">Support </w:t>
      </w:r>
      <w:r w:rsidRPr="00F06646">
        <w:t>Year.</w:t>
      </w:r>
    </w:p>
    <w:p w14:paraId="16E890F2" w14:textId="77777777" w:rsidR="00B67596" w:rsidRPr="00F41135" w:rsidRDefault="2BC382E4" w:rsidP="0058045D">
      <w:pPr>
        <w:pStyle w:val="Heading2"/>
      </w:pPr>
      <w:bookmarkStart w:id="206" w:name="_Toc153945083"/>
      <w:bookmarkStart w:id="207" w:name="_Toc207309554"/>
      <w:r>
        <w:t>Commonwealth’s rights, duties and functions</w:t>
      </w:r>
      <w:bookmarkEnd w:id="206"/>
      <w:bookmarkEnd w:id="207"/>
    </w:p>
    <w:p w14:paraId="730D5E2A" w14:textId="77777777" w:rsidR="00B67596" w:rsidRDefault="00B67596" w:rsidP="0058045D">
      <w:pPr>
        <w:pStyle w:val="Heading3"/>
      </w:pPr>
      <w:r>
        <w:t xml:space="preserve">Unless otherwise expressly provided in a Project Document, nothing in any Project Document gives rise to any duty on the part of the </w:t>
      </w:r>
      <w:r w:rsidRPr="00EF3418">
        <w:t>Commonwealth</w:t>
      </w:r>
      <w:r>
        <w:t xml:space="preserve"> to consider interests other than its own interests when exercising any of its rights or carrying out any of its obligations under any Project Document.</w:t>
      </w:r>
    </w:p>
    <w:p w14:paraId="62E271AF" w14:textId="77777777" w:rsidR="00B67596" w:rsidRDefault="00B67596" w:rsidP="00B5506F">
      <w:pPr>
        <w:pStyle w:val="Heading3"/>
        <w:keepNext/>
      </w:pPr>
      <w:r>
        <w:t>Notwithstanding anything expressly provided or implied in any Project Document to the contrary:</w:t>
      </w:r>
    </w:p>
    <w:p w14:paraId="24302D4E" w14:textId="77777777" w:rsidR="00B67596" w:rsidRDefault="00B67596" w:rsidP="00B5506F">
      <w:pPr>
        <w:pStyle w:val="Heading4"/>
        <w:keepNext/>
      </w:pPr>
      <w:r w:rsidRPr="00EF3418">
        <w:t>the Commonwealth</w:t>
      </w:r>
      <w:r>
        <w:t xml:space="preserve"> is not obliged: </w:t>
      </w:r>
    </w:p>
    <w:p w14:paraId="6746BDEF" w14:textId="5E286440" w:rsidR="00B67596" w:rsidRPr="00EF3418" w:rsidRDefault="00B67596" w:rsidP="0058045D">
      <w:pPr>
        <w:pStyle w:val="Heading5"/>
      </w:pPr>
      <w:r>
        <w:t xml:space="preserve">to exercise any executive or statutory right, duty or function, or to influence, over-ride, interfere with or direct any part </w:t>
      </w:r>
      <w:r w:rsidRPr="00EF3418">
        <w:t xml:space="preserve">of the Commonwealth or any other Government Authority in the proper exercise and performance of any of its executive or statutory rights, duties or functions; </w:t>
      </w:r>
    </w:p>
    <w:p w14:paraId="1FF1674C" w14:textId="77777777" w:rsidR="00B67596" w:rsidRDefault="00B67596" w:rsidP="0058045D">
      <w:pPr>
        <w:pStyle w:val="Heading5"/>
      </w:pPr>
      <w:bookmarkStart w:id="208" w:name="_Hlk153511783"/>
      <w:r w:rsidRPr="00EF3418">
        <w:t>to develop or implement any new Commonwealth policy or change any Commonwealth</w:t>
      </w:r>
      <w:r>
        <w:t xml:space="preserve"> policy; </w:t>
      </w:r>
    </w:p>
    <w:p w14:paraId="0B14908D" w14:textId="77777777" w:rsidR="00B67596" w:rsidRDefault="00B67596" w:rsidP="0058045D">
      <w:pPr>
        <w:pStyle w:val="Heading5"/>
      </w:pPr>
      <w:r>
        <w:t xml:space="preserve">to enact any new </w:t>
      </w:r>
      <w:r w:rsidR="00B22242">
        <w:t>Law</w:t>
      </w:r>
      <w:r>
        <w:t xml:space="preserve"> or implement a change in </w:t>
      </w:r>
      <w:r w:rsidR="00B22242">
        <w:t xml:space="preserve">any existing </w:t>
      </w:r>
      <w:r>
        <w:t>Law</w:t>
      </w:r>
      <w:r w:rsidR="00B22242">
        <w:t>, including making or revoking</w:t>
      </w:r>
      <w:r>
        <w:t xml:space="preserve"> any regulation</w:t>
      </w:r>
      <w:r w:rsidR="00B22242">
        <w:t>,</w:t>
      </w:r>
      <w:r>
        <w:t xml:space="preserve"> statutory instrument or delegation; or</w:t>
      </w:r>
    </w:p>
    <w:p w14:paraId="2EFA1EB5" w14:textId="77777777" w:rsidR="00B67596" w:rsidRPr="00EF3418" w:rsidRDefault="00B67596" w:rsidP="0058045D">
      <w:pPr>
        <w:pStyle w:val="Heading5"/>
      </w:pPr>
      <w:r>
        <w:t xml:space="preserve">to provide an interpretation of any </w:t>
      </w:r>
      <w:r w:rsidR="00B22242">
        <w:t>Law</w:t>
      </w:r>
      <w:r>
        <w:t xml:space="preserve"> or </w:t>
      </w:r>
      <w:r w:rsidRPr="00EF3418">
        <w:t xml:space="preserve">Commonwealth policy; </w:t>
      </w:r>
      <w:bookmarkEnd w:id="208"/>
      <w:r w:rsidRPr="00EF3418">
        <w:t>and</w:t>
      </w:r>
    </w:p>
    <w:p w14:paraId="4C78C30B" w14:textId="77777777" w:rsidR="00B67596" w:rsidRDefault="2C388DF0" w:rsidP="0058045D">
      <w:pPr>
        <w:pStyle w:val="Heading4"/>
      </w:pPr>
      <w:r>
        <w:t>nothing expressly provided or implied in any Project Document has the effect of constraining the Commonwealth in its exercise of, or of placing any fetter on the Commonwealth’s discretion to exercise or not to exercise, any of its executive or statutory rights, duties or functions.</w:t>
      </w:r>
    </w:p>
    <w:p w14:paraId="4FDF6D2A" w14:textId="77777777" w:rsidR="00B67596" w:rsidRPr="00F41135" w:rsidRDefault="2BC382E4" w:rsidP="0058045D">
      <w:pPr>
        <w:pStyle w:val="Heading2"/>
      </w:pPr>
      <w:bookmarkStart w:id="209" w:name="_Toc153945084"/>
      <w:bookmarkStart w:id="210" w:name="_Toc207309555"/>
      <w:r>
        <w:t xml:space="preserve">Reasonable endeavours of </w:t>
      </w:r>
      <w:bookmarkEnd w:id="209"/>
      <w:r>
        <w:t>the Commonwealth</w:t>
      </w:r>
      <w:bookmarkEnd w:id="210"/>
    </w:p>
    <w:p w14:paraId="496BBAE0" w14:textId="19672185" w:rsidR="00B67596" w:rsidRDefault="00B67596" w:rsidP="0058045D">
      <w:pPr>
        <w:pStyle w:val="Indent2"/>
        <w:keepNext/>
      </w:pPr>
      <w:r>
        <w:t xml:space="preserve">In any Project Document, a requirement </w:t>
      </w:r>
      <w:r w:rsidRPr="00F41135">
        <w:t>for the Commonwealth t</w:t>
      </w:r>
      <w:r>
        <w:t>o use “best endeavours”</w:t>
      </w:r>
      <w:r w:rsidR="009D047A">
        <w:t xml:space="preserve"> or</w:t>
      </w:r>
      <w:r>
        <w:t xml:space="preserve"> “reasonable endeavours”, </w:t>
      </w:r>
      <w:r w:rsidR="009D047A">
        <w:t xml:space="preserve">to </w:t>
      </w:r>
      <w:r>
        <w:t xml:space="preserve">“act reasonably”, to </w:t>
      </w:r>
      <w:r w:rsidR="008F0FA9">
        <w:t>“</w:t>
      </w:r>
      <w:r>
        <w:t>not act unreasonably</w:t>
      </w:r>
      <w:r w:rsidR="008F0FA9">
        <w:t>”</w:t>
      </w:r>
      <w:r>
        <w:t>, to act “</w:t>
      </w:r>
      <w:r w:rsidR="008F0FA9">
        <w:t xml:space="preserve">in </w:t>
      </w:r>
      <w:r>
        <w:t>good faith” or to take “reasonable” or “all reasonable” steps or action</w:t>
      </w:r>
      <w:r w:rsidR="009D047A">
        <w:t>,</w:t>
      </w:r>
      <w:r w:rsidR="005A5C3F" w:rsidRPr="005A5C3F">
        <w:t xml:space="preserve"> </w:t>
      </w:r>
      <w:r w:rsidR="005A5C3F">
        <w:t>or any similar requirement</w:t>
      </w:r>
      <w:r>
        <w:t>,</w:t>
      </w:r>
      <w:r w:rsidR="00F50159">
        <w:t xml:space="preserve"> whether expressed in the Project Document or implied by law</w:t>
      </w:r>
      <w:r>
        <w:t xml:space="preserve"> does not require:</w:t>
      </w:r>
    </w:p>
    <w:p w14:paraId="44ECFC51" w14:textId="77777777" w:rsidR="00B67596" w:rsidRDefault="008F0FA9" w:rsidP="0058045D">
      <w:pPr>
        <w:pStyle w:val="Heading3"/>
      </w:pPr>
      <w:bookmarkStart w:id="211" w:name="_Toc153945085"/>
      <w:r>
        <w:t xml:space="preserve">the </w:t>
      </w:r>
      <w:r w:rsidR="00B67596">
        <w:t>exercise or non-exercise of any executive or statutory discretion, right or power;</w:t>
      </w:r>
    </w:p>
    <w:p w14:paraId="52987A34" w14:textId="77777777" w:rsidR="00B67596" w:rsidRDefault="008F0FA9" w:rsidP="0058045D">
      <w:pPr>
        <w:pStyle w:val="Heading3"/>
      </w:pPr>
      <w:r>
        <w:t xml:space="preserve">the </w:t>
      </w:r>
      <w:r w:rsidR="00B67596">
        <w:t xml:space="preserve">development or implementation of any new Commonwealth policy or change in Commonwealth policy; </w:t>
      </w:r>
    </w:p>
    <w:p w14:paraId="3E95015F" w14:textId="77777777" w:rsidR="00B67596" w:rsidRDefault="008F0FA9" w:rsidP="0058045D">
      <w:pPr>
        <w:pStyle w:val="Heading3"/>
      </w:pPr>
      <w:r>
        <w:t xml:space="preserve">the </w:t>
      </w:r>
      <w:r w:rsidR="00B67596">
        <w:t xml:space="preserve">enactment of any new </w:t>
      </w:r>
      <w:r>
        <w:t>Law</w:t>
      </w:r>
      <w:r w:rsidR="00B67596">
        <w:t xml:space="preserve"> or making of a </w:t>
      </w:r>
      <w:r w:rsidR="00482EF3">
        <w:t>C</w:t>
      </w:r>
      <w:r w:rsidR="00B67596" w:rsidRPr="00035803">
        <w:t>hange in Law</w:t>
      </w:r>
      <w:r>
        <w:t>, including</w:t>
      </w:r>
      <w:r w:rsidR="00B67596">
        <w:t xml:space="preserve"> the making or revocation of any regulation</w:t>
      </w:r>
      <w:r>
        <w:t>,</w:t>
      </w:r>
      <w:r w:rsidR="00B67596">
        <w:t xml:space="preserve"> statutory instrument or delegation; or</w:t>
      </w:r>
    </w:p>
    <w:p w14:paraId="7562633D" w14:textId="4C424EB7" w:rsidR="00B67596" w:rsidRDefault="008F0FA9" w:rsidP="0058045D">
      <w:pPr>
        <w:pStyle w:val="Heading3"/>
      </w:pPr>
      <w:r>
        <w:t xml:space="preserve">the </w:t>
      </w:r>
      <w:r w:rsidR="00B67596">
        <w:t>Commonwealth to act in a way it regards as not in the public interest</w:t>
      </w:r>
      <w:r>
        <w:t xml:space="preserve"> or contrary to </w:t>
      </w:r>
      <w:r w:rsidR="00F50159">
        <w:t xml:space="preserve">any law or </w:t>
      </w:r>
      <w:r>
        <w:t>Commonwealth policy</w:t>
      </w:r>
      <w:r w:rsidR="00B67596">
        <w:t>.</w:t>
      </w:r>
    </w:p>
    <w:p w14:paraId="5A86112C" w14:textId="77777777" w:rsidR="00B67596" w:rsidRPr="00F41135" w:rsidRDefault="2BC382E4" w:rsidP="0058045D">
      <w:pPr>
        <w:pStyle w:val="Heading2"/>
      </w:pPr>
      <w:bookmarkStart w:id="212" w:name="_Toc207309556"/>
      <w:r>
        <w:t>No Commonwealth liability for review and approval</w:t>
      </w:r>
      <w:bookmarkEnd w:id="211"/>
      <w:bookmarkEnd w:id="212"/>
      <w:r>
        <w:t xml:space="preserve"> </w:t>
      </w:r>
    </w:p>
    <w:p w14:paraId="644DA21E" w14:textId="77777777" w:rsidR="00B67596" w:rsidRDefault="000751CB" w:rsidP="0058045D">
      <w:pPr>
        <w:pStyle w:val="Indent2"/>
        <w:keepNext/>
      </w:pPr>
      <w:r>
        <w:t>Except to the extent expressly provided otherwise in this agreement, n</w:t>
      </w:r>
      <w:r w:rsidR="00B67596">
        <w:t xml:space="preserve">o: </w:t>
      </w:r>
    </w:p>
    <w:p w14:paraId="115150A3" w14:textId="6DCD50ED" w:rsidR="00B67596" w:rsidRDefault="00B67596" w:rsidP="0058045D">
      <w:pPr>
        <w:pStyle w:val="Heading3"/>
      </w:pPr>
      <w:r>
        <w:t xml:space="preserve">review of, comment upon, </w:t>
      </w:r>
      <w:r w:rsidR="008F0FA9">
        <w:t xml:space="preserve">or </w:t>
      </w:r>
      <w:r>
        <w:t>acceptance, approval or certification of</w:t>
      </w:r>
      <w:r w:rsidR="008F0FA9">
        <w:t>,</w:t>
      </w:r>
      <w:r>
        <w:t xml:space="preserve"> any document</w:t>
      </w:r>
      <w:r w:rsidR="00566946">
        <w:t>,</w:t>
      </w:r>
      <w:r>
        <w:t xml:space="preserve"> or </w:t>
      </w:r>
      <w:r w:rsidR="00566946">
        <w:t xml:space="preserve">other </w:t>
      </w:r>
      <w:r>
        <w:t>approval</w:t>
      </w:r>
      <w:r w:rsidR="00566946">
        <w:t>,</w:t>
      </w:r>
      <w:r>
        <w:t xml:space="preserve"> </w:t>
      </w:r>
      <w:r w:rsidRPr="00F41135">
        <w:t xml:space="preserve">consent, permission, comment or recommendation, in each case by the </w:t>
      </w:r>
      <w:r w:rsidRPr="00782DC7">
        <w:t>Commonwealth</w:t>
      </w:r>
      <w:r>
        <w:t xml:space="preserve">, </w:t>
      </w:r>
      <w:r w:rsidRPr="00F75565">
        <w:t>its officers, employees, subcontractors or agents</w:t>
      </w:r>
      <w:r w:rsidR="000751CB">
        <w:t>, or deemed approval or consent</w:t>
      </w:r>
      <w:r w:rsidRPr="00782DC7">
        <w:t xml:space="preserve"> </w:t>
      </w:r>
      <w:r>
        <w:t>(or a failure to do so)</w:t>
      </w:r>
      <w:r w:rsidR="005A5C3F">
        <w:t xml:space="preserve"> in connection with the performance of the Project Documents</w:t>
      </w:r>
      <w:r>
        <w:t>; or</w:t>
      </w:r>
    </w:p>
    <w:p w14:paraId="778F3ABA" w14:textId="77777777" w:rsidR="00B67596" w:rsidRDefault="00B67596" w:rsidP="00A96CDC">
      <w:pPr>
        <w:pStyle w:val="Heading3"/>
        <w:keepNext/>
      </w:pPr>
      <w:r>
        <w:t>failure by (or on behalf of</w:t>
      </w:r>
      <w:r w:rsidRPr="00782DC7">
        <w:t>) the Commonwealth</w:t>
      </w:r>
      <w:r>
        <w:t xml:space="preserve">, </w:t>
      </w:r>
      <w:r w:rsidRPr="00F75565">
        <w:t>its officers, employees, subcontractors or agents</w:t>
      </w:r>
      <w:r w:rsidRPr="00782DC7">
        <w:t>, to detect any</w:t>
      </w:r>
      <w:r>
        <w:t xml:space="preserve"> non-compliance by Project Operator with its obligations in accordance with the Project Documents or any Laws;</w:t>
      </w:r>
    </w:p>
    <w:p w14:paraId="4CCCF6A4" w14:textId="77777777" w:rsidR="00B67596" w:rsidRDefault="00B67596" w:rsidP="00A96CDC">
      <w:pPr>
        <w:pStyle w:val="Indent2"/>
        <w:keepNext/>
      </w:pPr>
      <w:r>
        <w:t>will:</w:t>
      </w:r>
    </w:p>
    <w:p w14:paraId="6E1EE231" w14:textId="77777777" w:rsidR="00B67596" w:rsidRDefault="00B67596" w:rsidP="0058045D">
      <w:pPr>
        <w:pStyle w:val="Heading3"/>
      </w:pPr>
      <w:r>
        <w:t>relieve Project Operator from, or alter, affect or modify, its liabilities, obligations or responsibilities whether in accordance with the Project Documents or otherwise according to Law</w:t>
      </w:r>
      <w:r w:rsidR="00566946">
        <w:t>,</w:t>
      </w:r>
      <w:r>
        <w:t xml:space="preserve"> or give rise to </w:t>
      </w:r>
      <w:r w:rsidR="00566946">
        <w:t>a</w:t>
      </w:r>
      <w:r>
        <w:t xml:space="preserve"> right of Project Operator to make a Claim against the </w:t>
      </w:r>
      <w:r w:rsidRPr="00782DC7">
        <w:t>Commonwealth</w:t>
      </w:r>
      <w:r>
        <w:t xml:space="preserve">; </w:t>
      </w:r>
    </w:p>
    <w:p w14:paraId="31D8723B" w14:textId="77777777" w:rsidR="00B67596" w:rsidRDefault="00B67596" w:rsidP="0058045D">
      <w:pPr>
        <w:pStyle w:val="Heading3"/>
      </w:pPr>
      <w:r>
        <w:t xml:space="preserve">constitute a waiver </w:t>
      </w:r>
      <w:r w:rsidR="00566946">
        <w:t xml:space="preserve">of, </w:t>
      </w:r>
      <w:r>
        <w:t xml:space="preserve">or </w:t>
      </w:r>
      <w:r w:rsidR="00950309">
        <w:t xml:space="preserve">otherwise </w:t>
      </w:r>
      <w:r>
        <w:t xml:space="preserve">prejudice the </w:t>
      </w:r>
      <w:r w:rsidRPr="00782DC7">
        <w:t>Commonwealth</w:t>
      </w:r>
      <w:r w:rsidR="005032FF">
        <w:t>’</w:t>
      </w:r>
      <w:r>
        <w:t>s rights against</w:t>
      </w:r>
      <w:r w:rsidR="00566946">
        <w:t>,</w:t>
      </w:r>
      <w:r>
        <w:t xml:space="preserve"> Project Operator</w:t>
      </w:r>
      <w:r w:rsidR="00450203">
        <w:t>,</w:t>
      </w:r>
      <w:r>
        <w:t xml:space="preserve"> whether under the Project Documents or otherwise according to Law; </w:t>
      </w:r>
    </w:p>
    <w:p w14:paraId="57A301CC" w14:textId="27A762FB" w:rsidR="00B67596" w:rsidRDefault="00B67596" w:rsidP="0058045D">
      <w:pPr>
        <w:pStyle w:val="Heading3"/>
      </w:pPr>
      <w:r>
        <w:t xml:space="preserve">constitute an approval or acceptance by the </w:t>
      </w:r>
      <w:r w:rsidRPr="00782DC7">
        <w:t>Commonwealth</w:t>
      </w:r>
      <w:r>
        <w:t xml:space="preserve"> of Project Operator</w:t>
      </w:r>
      <w:r w:rsidR="005032FF">
        <w:t>’</w:t>
      </w:r>
      <w:r>
        <w:t>s performance of its obligations in accordance with the Project Documents or</w:t>
      </w:r>
      <w:r w:rsidR="00F50159">
        <w:t xml:space="preserve"> an approval or</w:t>
      </w:r>
      <w:r>
        <w:t xml:space="preserve"> acceptance of any item or material delivered;</w:t>
      </w:r>
    </w:p>
    <w:p w14:paraId="2388CA13" w14:textId="6FC80590" w:rsidR="00450203" w:rsidRDefault="00B67596" w:rsidP="0058045D">
      <w:pPr>
        <w:pStyle w:val="Heading3"/>
      </w:pPr>
      <w:r>
        <w:t>entitle Project Operator to an adjustment of any date, payment or amount</w:t>
      </w:r>
      <w:r w:rsidR="00F50159">
        <w:t>,</w:t>
      </w:r>
      <w:r>
        <w:t xml:space="preserve"> or</w:t>
      </w:r>
      <w:r w:rsidR="00F50159">
        <w:t xml:space="preserve"> of</w:t>
      </w:r>
      <w:r>
        <w:t xml:space="preserve"> any other obligation arising from or in connection with any Project Document</w:t>
      </w:r>
      <w:r w:rsidR="00450203">
        <w:t>,</w:t>
      </w:r>
      <w:r>
        <w:t xml:space="preserve"> or to Claim from the </w:t>
      </w:r>
      <w:r w:rsidRPr="00782DC7">
        <w:t>Commonwealth</w:t>
      </w:r>
      <w:r>
        <w:t xml:space="preserve"> any liability incurred by Project Operator</w:t>
      </w:r>
      <w:r w:rsidR="00450203">
        <w:t xml:space="preserve">; or </w:t>
      </w:r>
    </w:p>
    <w:p w14:paraId="51BD0202" w14:textId="77777777" w:rsidR="00B67596" w:rsidRDefault="00450203" w:rsidP="0058045D">
      <w:pPr>
        <w:pStyle w:val="Heading3"/>
      </w:pPr>
      <w:r>
        <w:t>constitute an approval under any applicable Law</w:t>
      </w:r>
      <w:r w:rsidR="00B67596">
        <w:t>.</w:t>
      </w:r>
    </w:p>
    <w:p w14:paraId="5B02EF07" w14:textId="77777777" w:rsidR="00B67596" w:rsidRDefault="2BC382E4" w:rsidP="0058045D">
      <w:pPr>
        <w:pStyle w:val="Heading2"/>
      </w:pPr>
      <w:bookmarkStart w:id="213" w:name="_Toc153945086"/>
      <w:bookmarkStart w:id="214" w:name="_Toc207309557"/>
      <w:bookmarkStart w:id="215" w:name="_Hlk151561063"/>
      <w:r>
        <w:t>Prior approval or consent</w:t>
      </w:r>
      <w:bookmarkEnd w:id="213"/>
      <w:bookmarkEnd w:id="214"/>
    </w:p>
    <w:p w14:paraId="1A98B364" w14:textId="5E24CCE8" w:rsidR="00B67596" w:rsidRPr="00F06AE3" w:rsidRDefault="00B67596" w:rsidP="0058045D">
      <w:pPr>
        <w:pStyle w:val="Indent2"/>
      </w:pPr>
      <w:r w:rsidRPr="00F06AE3">
        <w:t xml:space="preserve">If </w:t>
      </w:r>
      <w:r>
        <w:t xml:space="preserve">Project Operator </w:t>
      </w:r>
      <w:r w:rsidRPr="00F06AE3">
        <w:t xml:space="preserve">is required by a Project Document to obtain the </w:t>
      </w:r>
      <w:r>
        <w:t>Commonwealth</w:t>
      </w:r>
      <w:r w:rsidR="005032FF">
        <w:t>’</w:t>
      </w:r>
      <w:r>
        <w:t xml:space="preserve">s </w:t>
      </w:r>
      <w:r w:rsidRPr="00F06AE3">
        <w:t xml:space="preserve">consent or approval to an action, document or thing, </w:t>
      </w:r>
      <w:r w:rsidR="00F50159">
        <w:t xml:space="preserve">then </w:t>
      </w:r>
      <w:r w:rsidRPr="00F06AE3">
        <w:t xml:space="preserve">unless otherwise expressly </w:t>
      </w:r>
      <w:r>
        <w:t>provided</w:t>
      </w:r>
      <w:r w:rsidR="00450203">
        <w:t xml:space="preserve"> in this agreement</w:t>
      </w:r>
      <w:r w:rsidRPr="00F06AE3">
        <w:t>,</w:t>
      </w:r>
      <w:r>
        <w:t xml:space="preserve"> </w:t>
      </w:r>
      <w:r w:rsidRPr="00F06AE3">
        <w:t>that consent or approval must be obtained</w:t>
      </w:r>
      <w:r w:rsidR="005A5C3F">
        <w:t>, in writing,</w:t>
      </w:r>
      <w:r w:rsidRPr="00F06AE3">
        <w:t xml:space="preserve"> as a condition precedent to the action, document or thing occurring or coming into effect.</w:t>
      </w:r>
    </w:p>
    <w:p w14:paraId="6F26C09E" w14:textId="77777777" w:rsidR="00B67596" w:rsidRDefault="2BC382E4" w:rsidP="0058045D">
      <w:pPr>
        <w:pStyle w:val="Heading2"/>
      </w:pPr>
      <w:bookmarkStart w:id="216" w:name="_Toc153945087"/>
      <w:bookmarkStart w:id="217" w:name="_Toc207309558"/>
      <w:r>
        <w:t>Action without delay</w:t>
      </w:r>
      <w:bookmarkEnd w:id="216"/>
      <w:bookmarkEnd w:id="217"/>
    </w:p>
    <w:p w14:paraId="3CB85D91" w14:textId="671EAD2B" w:rsidR="00B67596" w:rsidRDefault="00B67596" w:rsidP="0058045D">
      <w:pPr>
        <w:pStyle w:val="Indent2"/>
      </w:pPr>
      <w:r>
        <w:t xml:space="preserve">Unless there is a provision in a Project Document </w:t>
      </w:r>
      <w:r w:rsidR="005A5C3F">
        <w:t xml:space="preserve">that </w:t>
      </w:r>
      <w:r>
        <w:t xml:space="preserve">specifies a period of time </w:t>
      </w:r>
      <w:r w:rsidR="00F50159">
        <w:t>with</w:t>
      </w:r>
      <w:r>
        <w:t>in which something must be done by Project Operator, all things must be done by Project Operator without undue delay.</w:t>
      </w:r>
    </w:p>
    <w:p w14:paraId="07EA5A5F" w14:textId="77777777" w:rsidR="00B67596" w:rsidRDefault="2BC382E4" w:rsidP="0058045D">
      <w:pPr>
        <w:pStyle w:val="Heading2"/>
      </w:pPr>
      <w:bookmarkStart w:id="218" w:name="_Toc153945088"/>
      <w:bookmarkStart w:id="219" w:name="_Toc207309559"/>
      <w:r>
        <w:t>Provisions limiting or excluding liability, rights or obligations</w:t>
      </w:r>
      <w:bookmarkEnd w:id="218"/>
      <w:bookmarkEnd w:id="219"/>
    </w:p>
    <w:p w14:paraId="4499A80F" w14:textId="77777777" w:rsidR="00B67596" w:rsidRDefault="00B67596" w:rsidP="0058045D">
      <w:pPr>
        <w:pStyle w:val="Heading3"/>
      </w:pPr>
      <w:r>
        <w:t xml:space="preserve">A right or obligation of the Commonwealth or </w:t>
      </w:r>
      <w:r w:rsidR="00C76AD6">
        <w:t xml:space="preserve">Project </w:t>
      </w:r>
      <w:r>
        <w:t xml:space="preserve">Operator under this </w:t>
      </w:r>
      <w:r w:rsidR="00C76AD6">
        <w:t>a</w:t>
      </w:r>
      <w:r>
        <w:t xml:space="preserve">greement will not limit or exclude any other right or obligation of the Commonwealth or </w:t>
      </w:r>
      <w:r w:rsidR="00C76AD6">
        <w:t xml:space="preserve">Project </w:t>
      </w:r>
      <w:r>
        <w:t xml:space="preserve">Operator under this </w:t>
      </w:r>
      <w:r w:rsidR="00C76AD6">
        <w:t>a</w:t>
      </w:r>
      <w:r>
        <w:t>greement unless otherwise expressly provided.</w:t>
      </w:r>
    </w:p>
    <w:p w14:paraId="55D10E1B" w14:textId="77777777" w:rsidR="00B67596" w:rsidRDefault="00B67596" w:rsidP="0058045D">
      <w:pPr>
        <w:pStyle w:val="Heading3"/>
      </w:pPr>
      <w:r>
        <w:t xml:space="preserve">Any provision of this </w:t>
      </w:r>
      <w:r w:rsidR="00C76AD6">
        <w:t>a</w:t>
      </w:r>
      <w:r>
        <w:t xml:space="preserve">greement which seeks, either expressly or by implication, to limit or exclude any </w:t>
      </w:r>
      <w:r w:rsidR="00C76AD6">
        <w:t>l</w:t>
      </w:r>
      <w:r>
        <w:t>iability of a party is to be construed as doing so only to the extent permitted by Law.</w:t>
      </w:r>
    </w:p>
    <w:p w14:paraId="501706A9" w14:textId="77777777" w:rsidR="00B67596" w:rsidRDefault="2BC382E4" w:rsidP="0058045D">
      <w:pPr>
        <w:pStyle w:val="Heading2"/>
      </w:pPr>
      <w:bookmarkStart w:id="220" w:name="_Toc153945089"/>
      <w:bookmarkStart w:id="221" w:name="_Toc207309560"/>
      <w:r>
        <w:t>Relationship of the parties</w:t>
      </w:r>
      <w:bookmarkEnd w:id="220"/>
      <w:bookmarkEnd w:id="221"/>
    </w:p>
    <w:p w14:paraId="1E676DF8" w14:textId="77777777" w:rsidR="00B67596" w:rsidRPr="002C4B6B" w:rsidRDefault="00B67596" w:rsidP="00A96CDC">
      <w:pPr>
        <w:pStyle w:val="Heading3"/>
        <w:keepNext/>
      </w:pPr>
      <w:r w:rsidRPr="002C4B6B">
        <w:t>Nothing in any Project Document:</w:t>
      </w:r>
    </w:p>
    <w:p w14:paraId="00F27E24" w14:textId="2121E324" w:rsidR="00B67596" w:rsidRPr="002C4B6B" w:rsidRDefault="00B67596" w:rsidP="0058045D">
      <w:pPr>
        <w:pStyle w:val="Heading4"/>
      </w:pPr>
      <w:r w:rsidRPr="002C4B6B">
        <w:t xml:space="preserve">creates a partnership, joint venture, fiduciary, employment or agency relationship </w:t>
      </w:r>
      <w:r w:rsidR="005A5C3F">
        <w:t xml:space="preserve">of Project Operator or any other person </w:t>
      </w:r>
      <w:r w:rsidRPr="002C4B6B">
        <w:t xml:space="preserve">with the </w:t>
      </w:r>
      <w:r>
        <w:t>Commonwealth</w:t>
      </w:r>
      <w:r w:rsidRPr="002C4B6B">
        <w:t>; or</w:t>
      </w:r>
    </w:p>
    <w:p w14:paraId="71DDE3A5" w14:textId="77777777" w:rsidR="00B67596" w:rsidRPr="002C4B6B" w:rsidRDefault="00B67596" w:rsidP="0058045D">
      <w:pPr>
        <w:pStyle w:val="Heading4"/>
        <w:keepNext/>
      </w:pPr>
      <w:r w:rsidRPr="002C4B6B">
        <w:t xml:space="preserve">imposes any duty of </w:t>
      </w:r>
      <w:r w:rsidR="00C76AD6">
        <w:t>g</w:t>
      </w:r>
      <w:r w:rsidRPr="002C4B6B">
        <w:t xml:space="preserve">ood </w:t>
      </w:r>
      <w:r w:rsidR="00C76AD6">
        <w:t>f</w:t>
      </w:r>
      <w:r w:rsidRPr="002C4B6B">
        <w:t xml:space="preserve">aith on the </w:t>
      </w:r>
      <w:r>
        <w:t>Commonwealth</w:t>
      </w:r>
      <w:r w:rsidRPr="002C4B6B">
        <w:t>,</w:t>
      </w:r>
    </w:p>
    <w:p w14:paraId="68733676" w14:textId="182F30C7" w:rsidR="00B67596" w:rsidRDefault="2BC382E4" w:rsidP="0058045D">
      <w:pPr>
        <w:pStyle w:val="Heading3"/>
        <w:numPr>
          <w:ilvl w:val="0"/>
          <w:numId w:val="0"/>
        </w:numPr>
        <w:ind w:left="1474"/>
      </w:pPr>
      <w:r>
        <w:t xml:space="preserve">unless otherwise expressly provided. </w:t>
      </w:r>
    </w:p>
    <w:p w14:paraId="26FD4C79" w14:textId="7B942D8F" w:rsidR="00B67596" w:rsidRDefault="00C76AD6" w:rsidP="0058045D">
      <w:pPr>
        <w:pStyle w:val="Heading3"/>
      </w:pPr>
      <w:r>
        <w:t xml:space="preserve">Project </w:t>
      </w:r>
      <w:r w:rsidR="00B67596">
        <w:t xml:space="preserve">Operator acknowledges that the Commonwealth may enter into arrangements </w:t>
      </w:r>
      <w:r w:rsidR="005A5C3F">
        <w:t xml:space="preserve">that </w:t>
      </w:r>
      <w:r w:rsidR="00B67596">
        <w:t xml:space="preserve">are the same </w:t>
      </w:r>
      <w:r w:rsidR="005A5C3F">
        <w:t xml:space="preserve">as, </w:t>
      </w:r>
      <w:r w:rsidR="00B67596">
        <w:t>or similar to</w:t>
      </w:r>
      <w:r w:rsidR="005A5C3F">
        <w:t>,</w:t>
      </w:r>
      <w:r w:rsidR="00B67596">
        <w:t xml:space="preserve"> those set out in the Project Documents with other persons. </w:t>
      </w:r>
      <w:bookmarkEnd w:id="215"/>
    </w:p>
    <w:p w14:paraId="5E6B7E3E" w14:textId="77777777" w:rsidR="00814368" w:rsidRDefault="00814368" w:rsidP="00814368">
      <w:pPr>
        <w:pStyle w:val="Heading2"/>
      </w:pPr>
      <w:bookmarkStart w:id="222" w:name="_Ref171501340"/>
      <w:bookmarkStart w:id="223" w:name="_Ref206691349"/>
      <w:bookmarkStart w:id="224" w:name="_Toc207309561"/>
      <w:r>
        <w:t>Early commencement of the First Support Year</w:t>
      </w:r>
      <w:bookmarkEnd w:id="222"/>
      <w:bookmarkEnd w:id="223"/>
      <w:bookmarkEnd w:id="224"/>
    </w:p>
    <w:p w14:paraId="5CD70AE1" w14:textId="77777777" w:rsidR="00DB5ECD" w:rsidRDefault="00E23C66" w:rsidP="00314F33">
      <w:pPr>
        <w:pStyle w:val="Indent2"/>
        <w:keepNext/>
      </w:pPr>
      <w:r>
        <w:t>Notwithstanding any other term of this agreement</w:t>
      </w:r>
      <w:r w:rsidR="00DB5ECD">
        <w:t>, if:</w:t>
      </w:r>
    </w:p>
    <w:p w14:paraId="40C94B54" w14:textId="77777777" w:rsidR="00DB5ECD" w:rsidRDefault="00DB5ECD" w:rsidP="00DB5ECD">
      <w:pPr>
        <w:pStyle w:val="Heading3"/>
      </w:pPr>
      <w:r>
        <w:t>AEMO has assigned Peak Capacity Credits to Project Operator for the Project; and</w:t>
      </w:r>
    </w:p>
    <w:p w14:paraId="055BBD72" w14:textId="77777777" w:rsidR="00DB5ECD" w:rsidRDefault="00E23C66" w:rsidP="00A96CDC">
      <w:pPr>
        <w:pStyle w:val="Heading3"/>
        <w:keepNext/>
      </w:pPr>
      <w:r>
        <w:t xml:space="preserve">Reserve Capacity Obligations </w:t>
      </w:r>
      <w:r w:rsidR="00C55ECB">
        <w:t>for Project Operator apply</w:t>
      </w:r>
      <w:r w:rsidR="00DB5ECD">
        <w:t>,</w:t>
      </w:r>
    </w:p>
    <w:p w14:paraId="2B7F6F6B" w14:textId="4E0EAAC9" w:rsidR="00814368" w:rsidRDefault="00DB5ECD" w:rsidP="00A96CDC">
      <w:pPr>
        <w:pStyle w:val="Heading3"/>
        <w:keepNext/>
        <w:numPr>
          <w:ilvl w:val="0"/>
          <w:numId w:val="0"/>
        </w:numPr>
        <w:ind w:left="737"/>
      </w:pPr>
      <w:r>
        <w:t xml:space="preserve">in each case, </w:t>
      </w:r>
      <w:r w:rsidR="00C55ECB">
        <w:t xml:space="preserve">from the Trading Day commencing 1 June in accordance with clause 4.1.26 of the </w:t>
      </w:r>
      <w:r w:rsidR="004A1236">
        <w:t>ESM Rules</w:t>
      </w:r>
      <w:r w:rsidR="00C55ECB">
        <w:t xml:space="preserve"> </w:t>
      </w:r>
      <w:r>
        <w:t>then:</w:t>
      </w:r>
    </w:p>
    <w:p w14:paraId="52E22DC4" w14:textId="77777777" w:rsidR="00DB5ECD" w:rsidRDefault="00DB5ECD" w:rsidP="00DB5ECD">
      <w:pPr>
        <w:pStyle w:val="Heading3"/>
      </w:pPr>
      <w:r>
        <w:t xml:space="preserve">the Support </w:t>
      </w:r>
      <w:r w:rsidR="00D65445">
        <w:t>Start Date will be deemed to be that 1 June;</w:t>
      </w:r>
    </w:p>
    <w:p w14:paraId="4A02A67F" w14:textId="77777777" w:rsidR="00D65445" w:rsidRDefault="00D65445" w:rsidP="00DB5ECD">
      <w:pPr>
        <w:pStyle w:val="Heading3"/>
      </w:pPr>
      <w:r>
        <w:t>the First Support Year will be deemed to commence at the start of the Trading Day commencing on</w:t>
      </w:r>
      <w:r w:rsidR="00552781">
        <w:t xml:space="preserve"> that</w:t>
      </w:r>
      <w:r>
        <w:t xml:space="preserve"> 1 June and end at the end of the last Trading Day of the Capacity Year</w:t>
      </w:r>
      <w:r w:rsidR="00575B0E">
        <w:t xml:space="preserve"> ending in the following calendar year (such that the First Support Year may be a period exceeding 12 calendar months);</w:t>
      </w:r>
    </w:p>
    <w:p w14:paraId="62BA3E5C" w14:textId="77777777" w:rsidR="00575B0E" w:rsidRPr="00F06646" w:rsidRDefault="00575B0E" w:rsidP="00935643">
      <w:pPr>
        <w:pStyle w:val="Heading3"/>
        <w:keepNext/>
      </w:pPr>
      <w:r w:rsidRPr="00F06646">
        <w:t>the Annual Payment Cap</w:t>
      </w:r>
      <w:r>
        <w:t xml:space="preserve"> for the First Support Year </w:t>
      </w:r>
      <w:r w:rsidRPr="00F06646">
        <w:t>will be adjusted in accordance with the following formula:</w:t>
      </w:r>
    </w:p>
    <w:p w14:paraId="1DF742AA" w14:textId="23BABD7C" w:rsidR="00575B0E" w:rsidRPr="00F06646" w:rsidRDefault="00575B0E" w:rsidP="00935643">
      <w:pPr>
        <w:pStyle w:val="Heading4"/>
        <w:keepNext/>
        <w:numPr>
          <w:ilvl w:val="0"/>
          <w:numId w:val="0"/>
        </w:numPr>
        <w:ind w:left="1474"/>
        <w:rPr>
          <w:bCs/>
        </w:rPr>
      </w:pPr>
      <m:oMathPara>
        <m:oMathParaPr>
          <m:jc m:val="left"/>
        </m:oMathParaPr>
        <m:oMath>
          <m:r>
            <m:rPr>
              <m:sty m:val="bi"/>
            </m:rPr>
            <w:rPr>
              <w:rFonts w:ascii="Cambria Math" w:hAnsi="Cambria Math"/>
            </w:rPr>
            <m:t>X</m:t>
          </m:r>
          <m:r>
            <m:rPr>
              <m:sty m:val="p"/>
            </m:rPr>
            <w:rPr>
              <w:rFonts w:ascii="Cambria Math" w:hAnsi="Cambria Math"/>
            </w:rPr>
            <m:t>=</m:t>
          </m:r>
          <m:f>
            <m:fPr>
              <m:ctrlPr>
                <w:rPr>
                  <w:rFonts w:ascii="Cambria Math" w:hAnsi="Cambria Math"/>
                  <w:bCs/>
                </w:rPr>
              </m:ctrlPr>
            </m:fPr>
            <m:num>
              <m:r>
                <m:rPr>
                  <m:sty m:val="bi"/>
                </m:rPr>
                <w:rPr>
                  <w:rFonts w:ascii="Cambria Math" w:hAnsi="Cambria Math"/>
                </w:rPr>
                <m:t>Y</m:t>
              </m:r>
            </m:num>
            <m:den>
              <m:r>
                <m:rPr>
                  <m:sty m:val="b"/>
                </m:rPr>
                <w:rPr>
                  <w:rFonts w:ascii="Cambria Math" w:hAnsi="Cambria Math"/>
                </w:rPr>
                <m:t>N</m:t>
              </m:r>
            </m:den>
          </m:f>
          <m:r>
            <m:rPr>
              <m:sty m:val="p"/>
            </m:rPr>
            <w:rPr>
              <w:rFonts w:ascii="Cambria Math" w:hAnsi="Cambria Math"/>
            </w:rPr>
            <m:t>×</m:t>
          </m:r>
          <m:r>
            <m:rPr>
              <m:sty m:val="bi"/>
            </m:rPr>
            <w:rPr>
              <w:rFonts w:ascii="Cambria Math" w:hAnsi="Cambria Math"/>
            </w:rPr>
            <m:t>Z</m:t>
          </m:r>
        </m:oMath>
      </m:oMathPara>
    </w:p>
    <w:p w14:paraId="31C5352C" w14:textId="77777777" w:rsidR="00575B0E" w:rsidRPr="00F06646" w:rsidRDefault="00575B0E" w:rsidP="00131021">
      <w:pPr>
        <w:pStyle w:val="Indent2"/>
        <w:keepNext/>
        <w:ind w:left="1474"/>
      </w:pPr>
      <w:r w:rsidRPr="00F06646">
        <w:t xml:space="preserve">where: </w:t>
      </w:r>
    </w:p>
    <w:p w14:paraId="7595A269" w14:textId="77777777" w:rsidR="00575B0E" w:rsidRPr="00F06646" w:rsidRDefault="00575B0E" w:rsidP="00131021">
      <w:pPr>
        <w:pStyle w:val="Indent2"/>
        <w:tabs>
          <w:tab w:val="right" w:pos="1470"/>
        </w:tabs>
        <w:ind w:left="2127" w:hanging="657"/>
      </w:pPr>
      <w:r w:rsidRPr="00F06646">
        <w:t>X</w:t>
      </w:r>
      <w:r w:rsidRPr="00F06646">
        <w:tab/>
        <w:t xml:space="preserve">= </w:t>
      </w:r>
      <w:r w:rsidRPr="00F06646">
        <w:tab/>
        <w:t xml:space="preserve">the adjusted Annual Payment Cap; </w:t>
      </w:r>
    </w:p>
    <w:p w14:paraId="088496A6" w14:textId="77777777" w:rsidR="00285710" w:rsidRDefault="00575B0E" w:rsidP="00131021">
      <w:pPr>
        <w:pStyle w:val="Indent2"/>
        <w:tabs>
          <w:tab w:val="right" w:pos="1470"/>
        </w:tabs>
        <w:ind w:left="2127" w:hanging="657"/>
      </w:pPr>
      <w:r w:rsidRPr="00F06646">
        <w:t>Y</w:t>
      </w:r>
      <w:r w:rsidR="00285710">
        <w:t xml:space="preserve"> </w:t>
      </w:r>
      <w:r w:rsidR="00285710">
        <w:tab/>
      </w:r>
      <w:r w:rsidRPr="00F06646">
        <w:t xml:space="preserve">= </w:t>
      </w:r>
      <w:r w:rsidRPr="00F06646">
        <w:tab/>
        <w:t xml:space="preserve">the </w:t>
      </w:r>
      <w:r w:rsidR="00285710" w:rsidRPr="00F06646">
        <w:t xml:space="preserve">Annual Payment Cap for the </w:t>
      </w:r>
      <w:r w:rsidR="00285710">
        <w:t>First</w:t>
      </w:r>
      <w:r w:rsidR="00285710" w:rsidRPr="00F06646">
        <w:t xml:space="preserve"> </w:t>
      </w:r>
      <w:r w:rsidR="00285710">
        <w:t xml:space="preserve">Support </w:t>
      </w:r>
      <w:r w:rsidR="00285710" w:rsidRPr="00F06646">
        <w:t>Year</w:t>
      </w:r>
      <w:r w:rsidR="00285710">
        <w:t>; and</w:t>
      </w:r>
    </w:p>
    <w:p w14:paraId="0347A9FD" w14:textId="25057B45" w:rsidR="00B93906" w:rsidRDefault="00B93906" w:rsidP="00B93906">
      <w:pPr>
        <w:pStyle w:val="Indent2"/>
        <w:tabs>
          <w:tab w:val="right" w:pos="1470"/>
        </w:tabs>
        <w:ind w:left="2130" w:hanging="660"/>
      </w:pPr>
      <w:r>
        <w:t>N</w:t>
      </w:r>
      <w:r w:rsidRPr="00F06646">
        <w:tab/>
        <w:t xml:space="preserve">= </w:t>
      </w:r>
      <w:r w:rsidRPr="00F06646">
        <w:tab/>
        <w:t>the</w:t>
      </w:r>
      <w:r>
        <w:t xml:space="preserve"> number of days in the financial year in which the </w:t>
      </w:r>
      <w:r>
        <w:tab/>
      </w:r>
      <w:r>
        <w:tab/>
        <w:t>start of</w:t>
      </w:r>
      <w:r w:rsidRPr="00F06646">
        <w:t xml:space="preserve"> the</w:t>
      </w:r>
      <w:r>
        <w:t xml:space="preserve"> First</w:t>
      </w:r>
      <w:r w:rsidRPr="00F06646">
        <w:t xml:space="preserve"> </w:t>
      </w:r>
      <w:r>
        <w:t xml:space="preserve">Support </w:t>
      </w:r>
      <w:r w:rsidRPr="00F06646">
        <w:t>Year</w:t>
      </w:r>
      <w:r>
        <w:t xml:space="preserve"> falls</w:t>
      </w:r>
      <w:r w:rsidRPr="00F06646">
        <w:t>.</w:t>
      </w:r>
    </w:p>
    <w:p w14:paraId="6194258F" w14:textId="77777777" w:rsidR="00575B0E" w:rsidRPr="00814368" w:rsidRDefault="00285710" w:rsidP="00131021">
      <w:pPr>
        <w:pStyle w:val="Indent2"/>
        <w:tabs>
          <w:tab w:val="right" w:pos="1470"/>
        </w:tabs>
        <w:ind w:left="2127" w:hanging="657"/>
      </w:pPr>
      <w:r>
        <w:t>Z</w:t>
      </w:r>
      <w:r>
        <w:tab/>
        <w:t>=</w:t>
      </w:r>
      <w:r>
        <w:tab/>
      </w:r>
      <w:r w:rsidR="00575B0E" w:rsidRPr="00F06646">
        <w:t xml:space="preserve">number of </w:t>
      </w:r>
      <w:r w:rsidR="00575B0E">
        <w:t xml:space="preserve">full days </w:t>
      </w:r>
      <w:r>
        <w:t>in the First Support Year</w:t>
      </w:r>
      <w:r w:rsidR="000524E4">
        <w:t>.</w:t>
      </w:r>
    </w:p>
    <w:p w14:paraId="0B71D531" w14:textId="77777777" w:rsidR="003C6447" w:rsidRPr="00F06646" w:rsidRDefault="00DE129A" w:rsidP="0058045D">
      <w:pPr>
        <w:pStyle w:val="Heading1"/>
      </w:pPr>
      <w:bookmarkStart w:id="225" w:name="_Toc108425404"/>
      <w:bookmarkStart w:id="226" w:name="_Ref493324294"/>
      <w:bookmarkStart w:id="227" w:name="_Toc515358771"/>
      <w:bookmarkStart w:id="228" w:name="_Toc515470176"/>
      <w:bookmarkStart w:id="229" w:name="_Toc207309562"/>
      <w:bookmarkEnd w:id="225"/>
      <w:r w:rsidRPr="00F06646">
        <w:t>Term</w:t>
      </w:r>
      <w:bookmarkEnd w:id="226"/>
      <w:bookmarkEnd w:id="227"/>
      <w:bookmarkEnd w:id="228"/>
      <w:bookmarkEnd w:id="229"/>
    </w:p>
    <w:p w14:paraId="290C5E0B" w14:textId="77777777" w:rsidR="00405F0E" w:rsidRPr="00792B2E" w:rsidRDefault="00405F0E" w:rsidP="00EF6FF8">
      <w:pPr>
        <w:pStyle w:val="Heading2"/>
      </w:pPr>
      <w:bookmarkStart w:id="230" w:name="_Toc492494170"/>
      <w:bookmarkStart w:id="231" w:name="_Toc207309563"/>
      <w:bookmarkStart w:id="232" w:name="_Toc515358772"/>
      <w:bookmarkStart w:id="233" w:name="_Toc515358792"/>
      <w:bookmarkStart w:id="234" w:name="_Toc515470185"/>
      <w:bookmarkEnd w:id="230"/>
      <w:r w:rsidRPr="00792B2E">
        <w:t>Term</w:t>
      </w:r>
      <w:bookmarkEnd w:id="231"/>
    </w:p>
    <w:p w14:paraId="5A808A09" w14:textId="4E03F711" w:rsidR="00567C64" w:rsidRPr="00F06646" w:rsidRDefault="2BC382E4" w:rsidP="008E4A1B">
      <w:pPr>
        <w:pStyle w:val="Indent2"/>
      </w:pPr>
      <w:r w:rsidRPr="00F06646">
        <w:t>This agreement commences on the Signing Date and, unless terminated earlier, continues</w:t>
      </w:r>
      <w:r w:rsidR="0085658B">
        <w:t xml:space="preserve"> </w:t>
      </w:r>
      <w:r w:rsidRPr="00F06646">
        <w:t>until the Final Support End Date (“</w:t>
      </w:r>
      <w:r w:rsidRPr="00F06646">
        <w:rPr>
          <w:b/>
          <w:bCs/>
        </w:rPr>
        <w:t>Term</w:t>
      </w:r>
      <w:r w:rsidRPr="00F06646">
        <w:t>”).</w:t>
      </w:r>
      <w:bookmarkEnd w:id="232"/>
    </w:p>
    <w:p w14:paraId="103C6466" w14:textId="77777777" w:rsidR="00405F0E" w:rsidRPr="00792B2E" w:rsidRDefault="00405F0E" w:rsidP="008E4A1B">
      <w:pPr>
        <w:pStyle w:val="Heading2"/>
      </w:pPr>
      <w:bookmarkStart w:id="235" w:name="_Toc207309564"/>
      <w:r w:rsidRPr="00792B2E">
        <w:t>Legal Opinion</w:t>
      </w:r>
      <w:bookmarkEnd w:id="235"/>
    </w:p>
    <w:p w14:paraId="77E44A75" w14:textId="59A461EC" w:rsidR="00405F0E" w:rsidRPr="00FB7EB2" w:rsidRDefault="00405F0E" w:rsidP="00D33D24">
      <w:pPr>
        <w:keepNext/>
        <w:spacing w:before="120"/>
        <w:ind w:left="737"/>
      </w:pPr>
      <w:r w:rsidRPr="00FB7EB2">
        <w:t xml:space="preserve">On the </w:t>
      </w:r>
      <w:r w:rsidR="00DD5C90" w:rsidRPr="00FB7EB2">
        <w:t>S</w:t>
      </w:r>
      <w:r w:rsidRPr="00FB7EB2">
        <w:t xml:space="preserve">igning </w:t>
      </w:r>
      <w:r w:rsidR="00DD5C90" w:rsidRPr="00FB7EB2">
        <w:t>D</w:t>
      </w:r>
      <w:r w:rsidRPr="00FB7EB2">
        <w:t xml:space="preserve">ate, Project Operator </w:t>
      </w:r>
      <w:r w:rsidR="00C0080E">
        <w:t>must</w:t>
      </w:r>
      <w:r w:rsidR="00C0080E" w:rsidRPr="00FB7EB2">
        <w:t xml:space="preserve"> </w:t>
      </w:r>
      <w:r w:rsidRPr="00FB7EB2">
        <w:t>provide to the Commonwealth</w:t>
      </w:r>
      <w:r w:rsidR="00E229D4" w:rsidRPr="00FB7EB2">
        <w:t xml:space="preserve"> </w:t>
      </w:r>
      <w:r w:rsidR="00C0080E">
        <w:t xml:space="preserve">(at Project Operator’s sole cost) </w:t>
      </w:r>
      <w:r w:rsidR="00E229D4" w:rsidRPr="00FB7EB2">
        <w:t>a</w:t>
      </w:r>
      <w:r w:rsidRPr="00FB7EB2">
        <w:t xml:space="preserve"> legal opinion given for the benefit of the Commonwealth in form and substance satisfactory to the Commonwealth (acting reasonably) from an </w:t>
      </w:r>
      <w:r w:rsidR="00C34F7F" w:rsidRPr="00FB7EB2">
        <w:t>external law firm</w:t>
      </w:r>
      <w:r w:rsidRPr="00FB7EB2">
        <w:t xml:space="preserve"> appointed by </w:t>
      </w:r>
      <w:r w:rsidR="00D97552" w:rsidRPr="00FB7EB2">
        <w:t>Project Operator</w:t>
      </w:r>
      <w:r w:rsidRPr="00FB7EB2">
        <w:t xml:space="preserve"> as to: </w:t>
      </w:r>
    </w:p>
    <w:p w14:paraId="0C096D8F" w14:textId="23376129" w:rsidR="00405F0E" w:rsidRPr="00FB7EB2" w:rsidRDefault="00405F0E" w:rsidP="0058045D">
      <w:pPr>
        <w:pStyle w:val="Heading3"/>
        <w:spacing w:before="240"/>
      </w:pPr>
      <w:r w:rsidRPr="00FB7EB2">
        <w:t xml:space="preserve">the legal capacity and corporate power of </w:t>
      </w:r>
      <w:r w:rsidR="005E14A9" w:rsidRPr="00FB7EB2">
        <w:t>Project Operator</w:t>
      </w:r>
      <w:r w:rsidRPr="00FB7EB2">
        <w:t xml:space="preserve"> to enter into and perform its relevant obligations under </w:t>
      </w:r>
      <w:r w:rsidR="00C70193" w:rsidRPr="00FB7EB2">
        <w:t xml:space="preserve">each of </w:t>
      </w:r>
      <w:r w:rsidRPr="00FB7EB2">
        <w:t xml:space="preserve">the Project Documents; </w:t>
      </w:r>
    </w:p>
    <w:p w14:paraId="60BCAE96" w14:textId="52AFD6C3" w:rsidR="00405F0E" w:rsidRPr="00FB7EB2" w:rsidRDefault="00405F0E" w:rsidP="0058045D">
      <w:pPr>
        <w:pStyle w:val="Heading3"/>
      </w:pPr>
      <w:r w:rsidRPr="00FB7EB2">
        <w:t xml:space="preserve">due execution by </w:t>
      </w:r>
      <w:r w:rsidR="009158C4" w:rsidRPr="00FB7EB2">
        <w:t>Project Operator</w:t>
      </w:r>
      <w:r w:rsidRPr="00FB7EB2">
        <w:t xml:space="preserve"> of </w:t>
      </w:r>
      <w:r w:rsidR="00942481" w:rsidRPr="00FB7EB2">
        <w:t xml:space="preserve">each of </w:t>
      </w:r>
      <w:r w:rsidRPr="00FB7EB2">
        <w:t xml:space="preserve">the Project Documents; and </w:t>
      </w:r>
    </w:p>
    <w:p w14:paraId="41828DB4" w14:textId="19087ADC" w:rsidR="00405F0E" w:rsidRPr="00FB7EB2" w:rsidRDefault="2BC382E4" w:rsidP="006C1C7A">
      <w:pPr>
        <w:pStyle w:val="Heading3"/>
      </w:pPr>
      <w:r w:rsidRPr="00FB7EB2">
        <w:t xml:space="preserve">the enforceability against </w:t>
      </w:r>
      <w:r w:rsidR="004B5782" w:rsidRPr="00FB7EB2">
        <w:t>Project Operator</w:t>
      </w:r>
      <w:r w:rsidRPr="00FB7EB2">
        <w:t xml:space="preserve"> of </w:t>
      </w:r>
      <w:r w:rsidR="003E3DD9" w:rsidRPr="00FB7EB2">
        <w:t xml:space="preserve">each of </w:t>
      </w:r>
      <w:r w:rsidRPr="00FB7EB2">
        <w:t>the Project Documents</w:t>
      </w:r>
      <w:r w:rsidR="00D33D24">
        <w:t>,</w:t>
      </w:r>
    </w:p>
    <w:p w14:paraId="43A4D6A4" w14:textId="0C43324E" w:rsidR="00CA0393" w:rsidRDefault="00CA0393" w:rsidP="0054012C">
      <w:pPr>
        <w:pStyle w:val="Heading3"/>
        <w:numPr>
          <w:ilvl w:val="0"/>
          <w:numId w:val="0"/>
        </w:numPr>
        <w:ind w:left="737"/>
      </w:pPr>
      <w:r w:rsidRPr="00FB7EB2">
        <w:t>provided</w:t>
      </w:r>
      <w:r w:rsidR="009D047A">
        <w:t>,</w:t>
      </w:r>
      <w:r w:rsidRPr="00FB7EB2">
        <w:t xml:space="preserve"> however,</w:t>
      </w:r>
      <w:r w:rsidR="009D047A">
        <w:t xml:space="preserve"> that</w:t>
      </w:r>
      <w:r w:rsidRPr="00FB7EB2">
        <w:t xml:space="preserve"> Project Operator is not required to provide such a legal opinion regarding a Project Document </w:t>
      </w:r>
      <w:r w:rsidR="005A5C3F" w:rsidRPr="00FB7EB2">
        <w:t>if</w:t>
      </w:r>
      <w:r w:rsidRPr="00FB7EB2">
        <w:t xml:space="preserve"> Project Operator executes that Project Document pursuant to section 127 of the Corporations Act and the governing law of the relevant Project Document </w:t>
      </w:r>
      <w:r w:rsidR="009D047A">
        <w:t xml:space="preserve">is and </w:t>
      </w:r>
      <w:r w:rsidRPr="00FB7EB2">
        <w:t>remains the law of the Relevant Jurisdiction.</w:t>
      </w:r>
      <w:r>
        <w:t xml:space="preserve"> </w:t>
      </w:r>
    </w:p>
    <w:p w14:paraId="48830ABB" w14:textId="77777777" w:rsidR="0004122B" w:rsidRPr="00991FDD" w:rsidRDefault="2C388DF0" w:rsidP="0058045D">
      <w:pPr>
        <w:pStyle w:val="Heading1"/>
      </w:pPr>
      <w:bookmarkStart w:id="236" w:name="_Toc163496096"/>
      <w:bookmarkStart w:id="237" w:name="_Toc163496097"/>
      <w:bookmarkStart w:id="238" w:name="_Toc163496098"/>
      <w:bookmarkStart w:id="239" w:name="_Toc163496099"/>
      <w:bookmarkStart w:id="240" w:name="_Toc163496100"/>
      <w:bookmarkStart w:id="241" w:name="_Toc163496101"/>
      <w:bookmarkStart w:id="242" w:name="_Toc163496102"/>
      <w:bookmarkStart w:id="243" w:name="_Toc163496103"/>
      <w:bookmarkStart w:id="244" w:name="_Toc163496104"/>
      <w:bookmarkStart w:id="245" w:name="_Toc163496105"/>
      <w:bookmarkStart w:id="246" w:name="_Toc163496106"/>
      <w:bookmarkStart w:id="247" w:name="_Toc163496107"/>
      <w:bookmarkStart w:id="248" w:name="_Toc163496108"/>
      <w:bookmarkStart w:id="249" w:name="_Toc163496109"/>
      <w:bookmarkStart w:id="250" w:name="_Toc163496110"/>
      <w:bookmarkStart w:id="251" w:name="_Toc163496111"/>
      <w:bookmarkStart w:id="252" w:name="_Toc114579748"/>
      <w:bookmarkStart w:id="253" w:name="_Toc114579925"/>
      <w:bookmarkStart w:id="254" w:name="_Toc114580687"/>
      <w:bookmarkStart w:id="255" w:name="_Toc106118449"/>
      <w:bookmarkStart w:id="256" w:name="_Toc106290363"/>
      <w:bookmarkStart w:id="257" w:name="_Toc94623536"/>
      <w:bookmarkStart w:id="258" w:name="_Toc94623850"/>
      <w:bookmarkStart w:id="259" w:name="_Toc94781120"/>
      <w:bookmarkStart w:id="260" w:name="_Toc94782030"/>
      <w:bookmarkStart w:id="261" w:name="_Toc94782352"/>
      <w:bookmarkStart w:id="262" w:name="_Toc94798076"/>
      <w:bookmarkStart w:id="263" w:name="_Toc94872001"/>
      <w:bookmarkStart w:id="264" w:name="_Toc94885223"/>
      <w:bookmarkStart w:id="265" w:name="_Toc94885659"/>
      <w:bookmarkStart w:id="266" w:name="_Toc94886097"/>
      <w:bookmarkStart w:id="267" w:name="_Toc99723199"/>
      <w:bookmarkStart w:id="268" w:name="_Toc94623537"/>
      <w:bookmarkStart w:id="269" w:name="_Toc94623851"/>
      <w:bookmarkStart w:id="270" w:name="_Toc94781121"/>
      <w:bookmarkStart w:id="271" w:name="_Toc94782031"/>
      <w:bookmarkStart w:id="272" w:name="_Toc94782353"/>
      <w:bookmarkStart w:id="273" w:name="_Toc94798077"/>
      <w:bookmarkStart w:id="274" w:name="_Toc94872002"/>
      <w:bookmarkStart w:id="275" w:name="_Toc94885224"/>
      <w:bookmarkStart w:id="276" w:name="_Toc94885660"/>
      <w:bookmarkStart w:id="277" w:name="_Toc94886098"/>
      <w:bookmarkStart w:id="278" w:name="_Toc99723200"/>
      <w:bookmarkStart w:id="279" w:name="_Toc94623538"/>
      <w:bookmarkStart w:id="280" w:name="_Toc94623852"/>
      <w:bookmarkStart w:id="281" w:name="_Toc94781122"/>
      <w:bookmarkStart w:id="282" w:name="_Toc94782032"/>
      <w:bookmarkStart w:id="283" w:name="_Toc94782354"/>
      <w:bookmarkStart w:id="284" w:name="_Toc94798078"/>
      <w:bookmarkStart w:id="285" w:name="_Toc94872003"/>
      <w:bookmarkStart w:id="286" w:name="_Toc94885225"/>
      <w:bookmarkStart w:id="287" w:name="_Toc94885661"/>
      <w:bookmarkStart w:id="288" w:name="_Toc94886099"/>
      <w:bookmarkStart w:id="289" w:name="_Toc99723201"/>
      <w:bookmarkStart w:id="290" w:name="_Toc94623539"/>
      <w:bookmarkStart w:id="291" w:name="_Toc94623853"/>
      <w:bookmarkStart w:id="292" w:name="_Toc94781123"/>
      <w:bookmarkStart w:id="293" w:name="_Toc94782033"/>
      <w:bookmarkStart w:id="294" w:name="_Toc94782355"/>
      <w:bookmarkStart w:id="295" w:name="_Toc94798079"/>
      <w:bookmarkStart w:id="296" w:name="_Toc94872004"/>
      <w:bookmarkStart w:id="297" w:name="_Toc94885226"/>
      <w:bookmarkStart w:id="298" w:name="_Toc94885662"/>
      <w:bookmarkStart w:id="299" w:name="_Toc94886100"/>
      <w:bookmarkStart w:id="300" w:name="_Toc99723202"/>
      <w:bookmarkStart w:id="301" w:name="_Toc94623540"/>
      <w:bookmarkStart w:id="302" w:name="_Toc94623854"/>
      <w:bookmarkStart w:id="303" w:name="_Toc94781124"/>
      <w:bookmarkStart w:id="304" w:name="_Toc94782034"/>
      <w:bookmarkStart w:id="305" w:name="_Toc94782356"/>
      <w:bookmarkStart w:id="306" w:name="_Toc94798080"/>
      <w:bookmarkStart w:id="307" w:name="_Toc94872005"/>
      <w:bookmarkStart w:id="308" w:name="_Toc94885227"/>
      <w:bookmarkStart w:id="309" w:name="_Toc94885663"/>
      <w:bookmarkStart w:id="310" w:name="_Toc94886101"/>
      <w:bookmarkStart w:id="311" w:name="_Toc99723203"/>
      <w:bookmarkStart w:id="312" w:name="_Toc94623541"/>
      <w:bookmarkStart w:id="313" w:name="_Toc94623855"/>
      <w:bookmarkStart w:id="314" w:name="_Toc94781125"/>
      <w:bookmarkStart w:id="315" w:name="_Toc94782035"/>
      <w:bookmarkStart w:id="316" w:name="_Toc94782357"/>
      <w:bookmarkStart w:id="317" w:name="_Toc94798081"/>
      <w:bookmarkStart w:id="318" w:name="_Toc94872006"/>
      <w:bookmarkStart w:id="319" w:name="_Toc94885228"/>
      <w:bookmarkStart w:id="320" w:name="_Toc94885664"/>
      <w:bookmarkStart w:id="321" w:name="_Toc94886102"/>
      <w:bookmarkStart w:id="322" w:name="_Toc99723204"/>
      <w:bookmarkStart w:id="323" w:name="_Toc94623542"/>
      <w:bookmarkStart w:id="324" w:name="_Toc94623856"/>
      <w:bookmarkStart w:id="325" w:name="_Toc94781126"/>
      <w:bookmarkStart w:id="326" w:name="_Toc94782036"/>
      <w:bookmarkStart w:id="327" w:name="_Toc94782358"/>
      <w:bookmarkStart w:id="328" w:name="_Toc94798082"/>
      <w:bookmarkStart w:id="329" w:name="_Toc94872007"/>
      <w:bookmarkStart w:id="330" w:name="_Toc94885229"/>
      <w:bookmarkStart w:id="331" w:name="_Toc94885665"/>
      <w:bookmarkStart w:id="332" w:name="_Toc94886103"/>
      <w:bookmarkStart w:id="333" w:name="_Toc99723205"/>
      <w:bookmarkStart w:id="334" w:name="_Toc94623555"/>
      <w:bookmarkStart w:id="335" w:name="_Toc94623869"/>
      <w:bookmarkStart w:id="336" w:name="_Toc94781139"/>
      <w:bookmarkStart w:id="337" w:name="_Toc94782049"/>
      <w:bookmarkStart w:id="338" w:name="_Toc94782371"/>
      <w:bookmarkStart w:id="339" w:name="_Toc94798095"/>
      <w:bookmarkStart w:id="340" w:name="_Toc94872020"/>
      <w:bookmarkStart w:id="341" w:name="_Toc94885242"/>
      <w:bookmarkStart w:id="342" w:name="_Toc94885678"/>
      <w:bookmarkStart w:id="343" w:name="_Toc94886116"/>
      <w:bookmarkStart w:id="344" w:name="_Toc99723218"/>
      <w:bookmarkStart w:id="345" w:name="_Toc94623556"/>
      <w:bookmarkStart w:id="346" w:name="_Toc94623870"/>
      <w:bookmarkStart w:id="347" w:name="_Toc94781140"/>
      <w:bookmarkStart w:id="348" w:name="_Toc94782050"/>
      <w:bookmarkStart w:id="349" w:name="_Toc94782372"/>
      <w:bookmarkStart w:id="350" w:name="_Toc94798096"/>
      <w:bookmarkStart w:id="351" w:name="_Toc94872021"/>
      <w:bookmarkStart w:id="352" w:name="_Toc94885243"/>
      <w:bookmarkStart w:id="353" w:name="_Toc94885679"/>
      <w:bookmarkStart w:id="354" w:name="_Toc94886117"/>
      <w:bookmarkStart w:id="355" w:name="_Toc99723219"/>
      <w:bookmarkStart w:id="356" w:name="_Toc94623557"/>
      <w:bookmarkStart w:id="357" w:name="_Toc94623871"/>
      <w:bookmarkStart w:id="358" w:name="_Toc94781141"/>
      <w:bookmarkStart w:id="359" w:name="_Toc94782051"/>
      <w:bookmarkStart w:id="360" w:name="_Toc94782373"/>
      <w:bookmarkStart w:id="361" w:name="_Toc94798097"/>
      <w:bookmarkStart w:id="362" w:name="_Toc94872022"/>
      <w:bookmarkStart w:id="363" w:name="_Toc94885244"/>
      <w:bookmarkStart w:id="364" w:name="_Toc94885680"/>
      <w:bookmarkStart w:id="365" w:name="_Toc94886118"/>
      <w:bookmarkStart w:id="366" w:name="_Toc99723220"/>
      <w:bookmarkStart w:id="367" w:name="_Toc94623558"/>
      <w:bookmarkStart w:id="368" w:name="_Toc94623872"/>
      <w:bookmarkStart w:id="369" w:name="_Toc94781142"/>
      <w:bookmarkStart w:id="370" w:name="_Toc94782052"/>
      <w:bookmarkStart w:id="371" w:name="_Toc94782374"/>
      <w:bookmarkStart w:id="372" w:name="_Toc94798098"/>
      <w:bookmarkStart w:id="373" w:name="_Toc94872023"/>
      <w:bookmarkStart w:id="374" w:name="_Toc94885245"/>
      <w:bookmarkStart w:id="375" w:name="_Toc94885681"/>
      <w:bookmarkStart w:id="376" w:name="_Toc94886119"/>
      <w:bookmarkStart w:id="377" w:name="_Toc99723221"/>
      <w:bookmarkStart w:id="378" w:name="_Toc94623559"/>
      <w:bookmarkStart w:id="379" w:name="_Toc94623873"/>
      <w:bookmarkStart w:id="380" w:name="_Toc94781143"/>
      <w:bookmarkStart w:id="381" w:name="_Toc94782053"/>
      <w:bookmarkStart w:id="382" w:name="_Toc94782375"/>
      <w:bookmarkStart w:id="383" w:name="_Toc94798099"/>
      <w:bookmarkStart w:id="384" w:name="_Toc94872024"/>
      <w:bookmarkStart w:id="385" w:name="_Toc94885246"/>
      <w:bookmarkStart w:id="386" w:name="_Toc94885682"/>
      <w:bookmarkStart w:id="387" w:name="_Toc94886120"/>
      <w:bookmarkStart w:id="388" w:name="_Toc99723222"/>
      <w:bookmarkStart w:id="389" w:name="_Toc94623560"/>
      <w:bookmarkStart w:id="390" w:name="_Toc94623874"/>
      <w:bookmarkStart w:id="391" w:name="_Toc94781144"/>
      <w:bookmarkStart w:id="392" w:name="_Toc94782054"/>
      <w:bookmarkStart w:id="393" w:name="_Toc94782376"/>
      <w:bookmarkStart w:id="394" w:name="_Toc94798100"/>
      <w:bookmarkStart w:id="395" w:name="_Toc94872025"/>
      <w:bookmarkStart w:id="396" w:name="_Toc94885247"/>
      <w:bookmarkStart w:id="397" w:name="_Toc94885683"/>
      <w:bookmarkStart w:id="398" w:name="_Toc94886121"/>
      <w:bookmarkStart w:id="399" w:name="_Toc99723223"/>
      <w:bookmarkStart w:id="400" w:name="_Toc94623561"/>
      <w:bookmarkStart w:id="401" w:name="_Toc94623875"/>
      <w:bookmarkStart w:id="402" w:name="_Toc94781145"/>
      <w:bookmarkStart w:id="403" w:name="_Toc94782055"/>
      <w:bookmarkStart w:id="404" w:name="_Toc94782377"/>
      <w:bookmarkStart w:id="405" w:name="_Toc94798101"/>
      <w:bookmarkStart w:id="406" w:name="_Toc94872026"/>
      <w:bookmarkStart w:id="407" w:name="_Toc94885248"/>
      <w:bookmarkStart w:id="408" w:name="_Toc94885684"/>
      <w:bookmarkStart w:id="409" w:name="_Toc94886122"/>
      <w:bookmarkStart w:id="410" w:name="_Toc99723224"/>
      <w:bookmarkStart w:id="411" w:name="_Toc94623562"/>
      <w:bookmarkStart w:id="412" w:name="_Toc94623876"/>
      <w:bookmarkStart w:id="413" w:name="_Toc94781146"/>
      <w:bookmarkStart w:id="414" w:name="_Toc94782056"/>
      <w:bookmarkStart w:id="415" w:name="_Toc94782378"/>
      <w:bookmarkStart w:id="416" w:name="_Toc94798102"/>
      <w:bookmarkStart w:id="417" w:name="_Toc94872027"/>
      <w:bookmarkStart w:id="418" w:name="_Toc94885249"/>
      <w:bookmarkStart w:id="419" w:name="_Toc94885685"/>
      <w:bookmarkStart w:id="420" w:name="_Toc94886123"/>
      <w:bookmarkStart w:id="421" w:name="_Toc99723225"/>
      <w:bookmarkStart w:id="422" w:name="_Toc94623563"/>
      <w:bookmarkStart w:id="423" w:name="_Toc94623877"/>
      <w:bookmarkStart w:id="424" w:name="_Toc94781147"/>
      <w:bookmarkStart w:id="425" w:name="_Toc94782057"/>
      <w:bookmarkStart w:id="426" w:name="_Toc94782379"/>
      <w:bookmarkStart w:id="427" w:name="_Toc94798103"/>
      <w:bookmarkStart w:id="428" w:name="_Toc94872028"/>
      <w:bookmarkStart w:id="429" w:name="_Toc94885250"/>
      <w:bookmarkStart w:id="430" w:name="_Toc94885686"/>
      <w:bookmarkStart w:id="431" w:name="_Toc94886124"/>
      <w:bookmarkStart w:id="432" w:name="_Toc99723226"/>
      <w:bookmarkStart w:id="433" w:name="_Toc94623564"/>
      <w:bookmarkStart w:id="434" w:name="_Toc94623878"/>
      <w:bookmarkStart w:id="435" w:name="_Toc94781148"/>
      <w:bookmarkStart w:id="436" w:name="_Toc94782058"/>
      <w:bookmarkStart w:id="437" w:name="_Toc94782380"/>
      <w:bookmarkStart w:id="438" w:name="_Toc94798104"/>
      <w:bookmarkStart w:id="439" w:name="_Toc94872029"/>
      <w:bookmarkStart w:id="440" w:name="_Toc94885251"/>
      <w:bookmarkStart w:id="441" w:name="_Toc94885687"/>
      <w:bookmarkStart w:id="442" w:name="_Toc94886125"/>
      <w:bookmarkStart w:id="443" w:name="_Toc99723227"/>
      <w:bookmarkStart w:id="444" w:name="_Toc94623565"/>
      <w:bookmarkStart w:id="445" w:name="_Toc94623879"/>
      <w:bookmarkStart w:id="446" w:name="_Toc94781149"/>
      <w:bookmarkStart w:id="447" w:name="_Toc94782059"/>
      <w:bookmarkStart w:id="448" w:name="_Toc94782381"/>
      <w:bookmarkStart w:id="449" w:name="_Toc94798105"/>
      <w:bookmarkStart w:id="450" w:name="_Toc94872030"/>
      <w:bookmarkStart w:id="451" w:name="_Toc94885252"/>
      <w:bookmarkStart w:id="452" w:name="_Toc94885688"/>
      <w:bookmarkStart w:id="453" w:name="_Toc94886126"/>
      <w:bookmarkStart w:id="454" w:name="_Toc99723228"/>
      <w:bookmarkStart w:id="455" w:name="_Toc94623566"/>
      <w:bookmarkStart w:id="456" w:name="_Toc94623880"/>
      <w:bookmarkStart w:id="457" w:name="_Toc94781150"/>
      <w:bookmarkStart w:id="458" w:name="_Toc94782060"/>
      <w:bookmarkStart w:id="459" w:name="_Toc94782382"/>
      <w:bookmarkStart w:id="460" w:name="_Toc94798106"/>
      <w:bookmarkStart w:id="461" w:name="_Toc94872031"/>
      <w:bookmarkStart w:id="462" w:name="_Toc94885253"/>
      <w:bookmarkStart w:id="463" w:name="_Toc94885689"/>
      <w:bookmarkStart w:id="464" w:name="_Toc94886127"/>
      <w:bookmarkStart w:id="465" w:name="_Toc99723229"/>
      <w:bookmarkStart w:id="466" w:name="_Toc94623567"/>
      <w:bookmarkStart w:id="467" w:name="_Toc94623881"/>
      <w:bookmarkStart w:id="468" w:name="_Toc94781151"/>
      <w:bookmarkStart w:id="469" w:name="_Toc94782061"/>
      <w:bookmarkStart w:id="470" w:name="_Toc94782383"/>
      <w:bookmarkStart w:id="471" w:name="_Toc94798107"/>
      <w:bookmarkStart w:id="472" w:name="_Toc94872032"/>
      <w:bookmarkStart w:id="473" w:name="_Toc94885254"/>
      <w:bookmarkStart w:id="474" w:name="_Toc94885690"/>
      <w:bookmarkStart w:id="475" w:name="_Toc94886128"/>
      <w:bookmarkStart w:id="476" w:name="_Toc99723230"/>
      <w:bookmarkStart w:id="477" w:name="_Toc94623568"/>
      <w:bookmarkStart w:id="478" w:name="_Toc94623882"/>
      <w:bookmarkStart w:id="479" w:name="_Toc94781152"/>
      <w:bookmarkStart w:id="480" w:name="_Toc94782062"/>
      <w:bookmarkStart w:id="481" w:name="_Toc94782384"/>
      <w:bookmarkStart w:id="482" w:name="_Toc94798108"/>
      <w:bookmarkStart w:id="483" w:name="_Toc94872033"/>
      <w:bookmarkStart w:id="484" w:name="_Toc94885255"/>
      <w:bookmarkStart w:id="485" w:name="_Toc94885691"/>
      <w:bookmarkStart w:id="486" w:name="_Toc94886129"/>
      <w:bookmarkStart w:id="487" w:name="_Toc99723231"/>
      <w:bookmarkStart w:id="488" w:name="_Toc94623569"/>
      <w:bookmarkStart w:id="489" w:name="_Toc94623883"/>
      <w:bookmarkStart w:id="490" w:name="_Toc94781153"/>
      <w:bookmarkStart w:id="491" w:name="_Toc94782063"/>
      <w:bookmarkStart w:id="492" w:name="_Toc94782385"/>
      <w:bookmarkStart w:id="493" w:name="_Toc94798109"/>
      <w:bookmarkStart w:id="494" w:name="_Toc94872034"/>
      <w:bookmarkStart w:id="495" w:name="_Toc94885256"/>
      <w:bookmarkStart w:id="496" w:name="_Toc94885692"/>
      <w:bookmarkStart w:id="497" w:name="_Toc94886130"/>
      <w:bookmarkStart w:id="498" w:name="_Toc99723232"/>
      <w:bookmarkStart w:id="499" w:name="_Toc94623570"/>
      <w:bookmarkStart w:id="500" w:name="_Toc94623884"/>
      <w:bookmarkStart w:id="501" w:name="_Toc94781154"/>
      <w:bookmarkStart w:id="502" w:name="_Toc94782064"/>
      <w:bookmarkStart w:id="503" w:name="_Toc94782386"/>
      <w:bookmarkStart w:id="504" w:name="_Toc94798110"/>
      <w:bookmarkStart w:id="505" w:name="_Toc94872035"/>
      <w:bookmarkStart w:id="506" w:name="_Toc94885257"/>
      <w:bookmarkStart w:id="507" w:name="_Toc94885693"/>
      <w:bookmarkStart w:id="508" w:name="_Toc94886131"/>
      <w:bookmarkStart w:id="509" w:name="_Toc99723233"/>
      <w:bookmarkStart w:id="510" w:name="_Toc94623571"/>
      <w:bookmarkStart w:id="511" w:name="_Toc94623885"/>
      <w:bookmarkStart w:id="512" w:name="_Toc94781155"/>
      <w:bookmarkStart w:id="513" w:name="_Toc94782065"/>
      <w:bookmarkStart w:id="514" w:name="_Toc94782387"/>
      <w:bookmarkStart w:id="515" w:name="_Toc94798111"/>
      <w:bookmarkStart w:id="516" w:name="_Toc94872036"/>
      <w:bookmarkStart w:id="517" w:name="_Toc94885258"/>
      <w:bookmarkStart w:id="518" w:name="_Toc94885694"/>
      <w:bookmarkStart w:id="519" w:name="_Toc94886132"/>
      <w:bookmarkStart w:id="520" w:name="_Toc99723234"/>
      <w:bookmarkStart w:id="521" w:name="_Toc94623572"/>
      <w:bookmarkStart w:id="522" w:name="_Toc94623886"/>
      <w:bookmarkStart w:id="523" w:name="_Toc94781156"/>
      <w:bookmarkStart w:id="524" w:name="_Toc94782066"/>
      <w:bookmarkStart w:id="525" w:name="_Toc94782388"/>
      <w:bookmarkStart w:id="526" w:name="_Toc94798112"/>
      <w:bookmarkStart w:id="527" w:name="_Toc94872037"/>
      <w:bookmarkStart w:id="528" w:name="_Toc94885259"/>
      <w:bookmarkStart w:id="529" w:name="_Toc94885695"/>
      <w:bookmarkStart w:id="530" w:name="_Toc94886133"/>
      <w:bookmarkStart w:id="531" w:name="_Toc99723235"/>
      <w:bookmarkStart w:id="532" w:name="_Toc56502110"/>
      <w:bookmarkStart w:id="533" w:name="_Toc56502371"/>
      <w:bookmarkStart w:id="534" w:name="_Toc56502632"/>
      <w:bookmarkStart w:id="535" w:name="_Toc56502111"/>
      <w:bookmarkStart w:id="536" w:name="_Toc56502372"/>
      <w:bookmarkStart w:id="537" w:name="_Toc56502633"/>
      <w:bookmarkStart w:id="538" w:name="_Toc56502112"/>
      <w:bookmarkStart w:id="539" w:name="_Toc56502373"/>
      <w:bookmarkStart w:id="540" w:name="_Toc56502634"/>
      <w:bookmarkStart w:id="541" w:name="_Toc56502113"/>
      <w:bookmarkStart w:id="542" w:name="_Toc56502374"/>
      <w:bookmarkStart w:id="543" w:name="_Toc56502635"/>
      <w:bookmarkStart w:id="544" w:name="_Toc56502114"/>
      <w:bookmarkStart w:id="545" w:name="_Toc56502375"/>
      <w:bookmarkStart w:id="546" w:name="_Toc56502636"/>
      <w:bookmarkStart w:id="547" w:name="_Toc56502115"/>
      <w:bookmarkStart w:id="548" w:name="_Toc56502376"/>
      <w:bookmarkStart w:id="549" w:name="_Toc56502637"/>
      <w:bookmarkStart w:id="550" w:name="_Toc56502116"/>
      <w:bookmarkStart w:id="551" w:name="_Toc56502377"/>
      <w:bookmarkStart w:id="552" w:name="_Toc56502638"/>
      <w:bookmarkStart w:id="553" w:name="_Toc56502117"/>
      <w:bookmarkStart w:id="554" w:name="_Toc56502378"/>
      <w:bookmarkStart w:id="555" w:name="_Toc56502639"/>
      <w:bookmarkStart w:id="556" w:name="_Toc56502118"/>
      <w:bookmarkStart w:id="557" w:name="_Toc56502379"/>
      <w:bookmarkStart w:id="558" w:name="_Toc56502640"/>
      <w:bookmarkStart w:id="559" w:name="_Toc56502119"/>
      <w:bookmarkStart w:id="560" w:name="_Toc56502380"/>
      <w:bookmarkStart w:id="561" w:name="_Toc56502641"/>
      <w:bookmarkStart w:id="562" w:name="_Toc56502120"/>
      <w:bookmarkStart w:id="563" w:name="_Toc56502381"/>
      <w:bookmarkStart w:id="564" w:name="_Toc56502642"/>
      <w:bookmarkStart w:id="565" w:name="_Toc56502121"/>
      <w:bookmarkStart w:id="566" w:name="_Toc56502382"/>
      <w:bookmarkStart w:id="567" w:name="_Toc56502643"/>
      <w:bookmarkStart w:id="568" w:name="_Toc94623575"/>
      <w:bookmarkStart w:id="569" w:name="_Toc94623889"/>
      <w:bookmarkStart w:id="570" w:name="_Toc94781159"/>
      <w:bookmarkStart w:id="571" w:name="_Toc94782069"/>
      <w:bookmarkStart w:id="572" w:name="_Toc94782391"/>
      <w:bookmarkStart w:id="573" w:name="_Toc94798115"/>
      <w:bookmarkStart w:id="574" w:name="_Toc94872040"/>
      <w:bookmarkStart w:id="575" w:name="_Toc94885262"/>
      <w:bookmarkStart w:id="576" w:name="_Toc94885698"/>
      <w:bookmarkStart w:id="577" w:name="_Toc94886136"/>
      <w:bookmarkStart w:id="578" w:name="_Toc99723238"/>
      <w:bookmarkStart w:id="579" w:name="_Toc94886138"/>
      <w:bookmarkStart w:id="580" w:name="_Toc99723240"/>
      <w:bookmarkStart w:id="581" w:name="_Toc438133503"/>
      <w:bookmarkStart w:id="582" w:name="_Toc438202283"/>
      <w:bookmarkStart w:id="583" w:name="_Toc438206812"/>
      <w:bookmarkStart w:id="584" w:name="_Toc438209655"/>
      <w:bookmarkStart w:id="585" w:name="_Toc438211306"/>
      <w:bookmarkStart w:id="586" w:name="_Toc438222665"/>
      <w:bookmarkStart w:id="587" w:name="_Toc94623582"/>
      <w:bookmarkStart w:id="588" w:name="_Toc94623896"/>
      <w:bookmarkStart w:id="589" w:name="_Toc94781168"/>
      <w:bookmarkStart w:id="590" w:name="_Toc94782078"/>
      <w:bookmarkStart w:id="591" w:name="_Toc94782400"/>
      <w:bookmarkStart w:id="592" w:name="_Toc94798124"/>
      <w:bookmarkStart w:id="593" w:name="_Toc94872049"/>
      <w:bookmarkStart w:id="594" w:name="_Toc94885271"/>
      <w:bookmarkStart w:id="595" w:name="_Toc94885707"/>
      <w:bookmarkStart w:id="596" w:name="_Toc94886145"/>
      <w:bookmarkStart w:id="597" w:name="_Toc99723247"/>
      <w:bookmarkStart w:id="598" w:name="_Toc94623583"/>
      <w:bookmarkStart w:id="599" w:name="_Toc94623897"/>
      <w:bookmarkStart w:id="600" w:name="_Toc94781169"/>
      <w:bookmarkStart w:id="601" w:name="_Toc94782079"/>
      <w:bookmarkStart w:id="602" w:name="_Toc94782401"/>
      <w:bookmarkStart w:id="603" w:name="_Toc94798125"/>
      <w:bookmarkStart w:id="604" w:name="_Toc94872050"/>
      <w:bookmarkStart w:id="605" w:name="_Toc94885272"/>
      <w:bookmarkStart w:id="606" w:name="_Toc94885708"/>
      <w:bookmarkStart w:id="607" w:name="_Toc94886146"/>
      <w:bookmarkStart w:id="608" w:name="_Toc99723248"/>
      <w:bookmarkStart w:id="609" w:name="_Toc94623584"/>
      <w:bookmarkStart w:id="610" w:name="_Toc94623898"/>
      <w:bookmarkStart w:id="611" w:name="_Toc94781170"/>
      <w:bookmarkStart w:id="612" w:name="_Toc94782080"/>
      <w:bookmarkStart w:id="613" w:name="_Toc94782402"/>
      <w:bookmarkStart w:id="614" w:name="_Toc94798126"/>
      <w:bookmarkStart w:id="615" w:name="_Toc94872051"/>
      <w:bookmarkStart w:id="616" w:name="_Toc94885273"/>
      <w:bookmarkStart w:id="617" w:name="_Toc94885709"/>
      <w:bookmarkStart w:id="618" w:name="_Toc94886147"/>
      <w:bookmarkStart w:id="619" w:name="_Toc99723249"/>
      <w:bookmarkStart w:id="620" w:name="_Toc94623585"/>
      <w:bookmarkStart w:id="621" w:name="_Toc94623899"/>
      <w:bookmarkStart w:id="622" w:name="_Toc94781171"/>
      <w:bookmarkStart w:id="623" w:name="_Toc94782081"/>
      <w:bookmarkStart w:id="624" w:name="_Toc94782403"/>
      <w:bookmarkStart w:id="625" w:name="_Toc94798127"/>
      <w:bookmarkStart w:id="626" w:name="_Toc94872052"/>
      <w:bookmarkStart w:id="627" w:name="_Toc94885274"/>
      <w:bookmarkStart w:id="628" w:name="_Toc94885710"/>
      <w:bookmarkStart w:id="629" w:name="_Toc94886148"/>
      <w:bookmarkStart w:id="630" w:name="_Toc99723250"/>
      <w:bookmarkStart w:id="631" w:name="_Toc94623586"/>
      <w:bookmarkStart w:id="632" w:name="_Toc94623900"/>
      <w:bookmarkStart w:id="633" w:name="_Toc94781172"/>
      <w:bookmarkStart w:id="634" w:name="_Toc94782082"/>
      <w:bookmarkStart w:id="635" w:name="_Toc94782404"/>
      <w:bookmarkStart w:id="636" w:name="_Toc94798128"/>
      <w:bookmarkStart w:id="637" w:name="_Toc94872053"/>
      <w:bookmarkStart w:id="638" w:name="_Toc94885275"/>
      <w:bookmarkStart w:id="639" w:name="_Toc94885711"/>
      <w:bookmarkStart w:id="640" w:name="_Toc94886149"/>
      <w:bookmarkStart w:id="641" w:name="_Toc99723251"/>
      <w:bookmarkStart w:id="642" w:name="_Toc94623587"/>
      <w:bookmarkStart w:id="643" w:name="_Toc94623901"/>
      <w:bookmarkStart w:id="644" w:name="_Toc94781173"/>
      <w:bookmarkStart w:id="645" w:name="_Toc94782083"/>
      <w:bookmarkStart w:id="646" w:name="_Toc94782405"/>
      <w:bookmarkStart w:id="647" w:name="_Toc94798129"/>
      <w:bookmarkStart w:id="648" w:name="_Toc94872054"/>
      <w:bookmarkStart w:id="649" w:name="_Toc94885276"/>
      <w:bookmarkStart w:id="650" w:name="_Toc94885712"/>
      <w:bookmarkStart w:id="651" w:name="_Toc94886150"/>
      <w:bookmarkStart w:id="652" w:name="_Toc99723252"/>
      <w:bookmarkStart w:id="653" w:name="_Toc94623588"/>
      <w:bookmarkStart w:id="654" w:name="_Toc94623902"/>
      <w:bookmarkStart w:id="655" w:name="_Toc94781174"/>
      <w:bookmarkStart w:id="656" w:name="_Toc94782084"/>
      <w:bookmarkStart w:id="657" w:name="_Toc94782406"/>
      <w:bookmarkStart w:id="658" w:name="_Toc94798130"/>
      <w:bookmarkStart w:id="659" w:name="_Toc94872055"/>
      <w:bookmarkStart w:id="660" w:name="_Toc94885277"/>
      <w:bookmarkStart w:id="661" w:name="_Toc94885713"/>
      <w:bookmarkStart w:id="662" w:name="_Toc94886151"/>
      <w:bookmarkStart w:id="663" w:name="_Toc99723253"/>
      <w:bookmarkStart w:id="664" w:name="_Toc94623589"/>
      <w:bookmarkStart w:id="665" w:name="_Toc94623903"/>
      <w:bookmarkStart w:id="666" w:name="_Toc94781175"/>
      <w:bookmarkStart w:id="667" w:name="_Toc94782085"/>
      <w:bookmarkStart w:id="668" w:name="_Toc94782407"/>
      <w:bookmarkStart w:id="669" w:name="_Toc94798131"/>
      <w:bookmarkStart w:id="670" w:name="_Toc94872056"/>
      <w:bookmarkStart w:id="671" w:name="_Toc94885278"/>
      <w:bookmarkStart w:id="672" w:name="_Toc94885714"/>
      <w:bookmarkStart w:id="673" w:name="_Toc94886152"/>
      <w:bookmarkStart w:id="674" w:name="_Toc99723254"/>
      <w:bookmarkStart w:id="675" w:name="_Toc94623590"/>
      <w:bookmarkStart w:id="676" w:name="_Toc94623904"/>
      <w:bookmarkStart w:id="677" w:name="_Toc94781176"/>
      <w:bookmarkStart w:id="678" w:name="_Toc94782086"/>
      <w:bookmarkStart w:id="679" w:name="_Toc94782408"/>
      <w:bookmarkStart w:id="680" w:name="_Toc94798132"/>
      <w:bookmarkStart w:id="681" w:name="_Toc94872057"/>
      <w:bookmarkStart w:id="682" w:name="_Toc94885279"/>
      <w:bookmarkStart w:id="683" w:name="_Toc94885715"/>
      <w:bookmarkStart w:id="684" w:name="_Toc94886153"/>
      <w:bookmarkStart w:id="685" w:name="_Toc99723255"/>
      <w:bookmarkStart w:id="686" w:name="_Toc94623591"/>
      <w:bookmarkStart w:id="687" w:name="_Toc94623905"/>
      <w:bookmarkStart w:id="688" w:name="_Toc94781177"/>
      <w:bookmarkStart w:id="689" w:name="_Toc94782087"/>
      <w:bookmarkStart w:id="690" w:name="_Toc94782409"/>
      <w:bookmarkStart w:id="691" w:name="_Toc94798133"/>
      <w:bookmarkStart w:id="692" w:name="_Toc94872058"/>
      <w:bookmarkStart w:id="693" w:name="_Toc94885280"/>
      <w:bookmarkStart w:id="694" w:name="_Toc94885716"/>
      <w:bookmarkStart w:id="695" w:name="_Toc94886154"/>
      <w:bookmarkStart w:id="696" w:name="_Toc99723256"/>
      <w:bookmarkStart w:id="697" w:name="_Toc94623592"/>
      <w:bookmarkStart w:id="698" w:name="_Toc94623906"/>
      <w:bookmarkStart w:id="699" w:name="_Toc94781178"/>
      <w:bookmarkStart w:id="700" w:name="_Toc94782088"/>
      <w:bookmarkStart w:id="701" w:name="_Toc94782410"/>
      <w:bookmarkStart w:id="702" w:name="_Toc94798134"/>
      <w:bookmarkStart w:id="703" w:name="_Toc94872059"/>
      <w:bookmarkStart w:id="704" w:name="_Toc94885281"/>
      <w:bookmarkStart w:id="705" w:name="_Toc94885717"/>
      <w:bookmarkStart w:id="706" w:name="_Toc94886155"/>
      <w:bookmarkStart w:id="707" w:name="_Toc99723257"/>
      <w:bookmarkStart w:id="708" w:name="_Toc94623593"/>
      <w:bookmarkStart w:id="709" w:name="_Toc94623907"/>
      <w:bookmarkStart w:id="710" w:name="_Toc94781179"/>
      <w:bookmarkStart w:id="711" w:name="_Toc94782089"/>
      <w:bookmarkStart w:id="712" w:name="_Toc94782411"/>
      <w:bookmarkStart w:id="713" w:name="_Toc94798135"/>
      <w:bookmarkStart w:id="714" w:name="_Toc94872060"/>
      <w:bookmarkStart w:id="715" w:name="_Toc94885282"/>
      <w:bookmarkStart w:id="716" w:name="_Toc94885718"/>
      <w:bookmarkStart w:id="717" w:name="_Toc94886156"/>
      <w:bookmarkStart w:id="718" w:name="_Toc99723258"/>
      <w:bookmarkStart w:id="719" w:name="_Toc492494183"/>
      <w:bookmarkStart w:id="720" w:name="_Toc492504412"/>
      <w:bookmarkStart w:id="721" w:name="_Toc492504671"/>
      <w:bookmarkStart w:id="722" w:name="_Toc94623594"/>
      <w:bookmarkStart w:id="723" w:name="_Toc94623908"/>
      <w:bookmarkStart w:id="724" w:name="_Toc94781180"/>
      <w:bookmarkStart w:id="725" w:name="_Toc94782090"/>
      <w:bookmarkStart w:id="726" w:name="_Toc94782412"/>
      <w:bookmarkStart w:id="727" w:name="_Toc94798136"/>
      <w:bookmarkStart w:id="728" w:name="_Toc94872061"/>
      <w:bookmarkStart w:id="729" w:name="_Toc94885283"/>
      <w:bookmarkStart w:id="730" w:name="_Toc94885719"/>
      <w:bookmarkStart w:id="731" w:name="_Toc94886157"/>
      <w:bookmarkStart w:id="732" w:name="_Toc99723259"/>
      <w:bookmarkStart w:id="733" w:name="_Toc94623595"/>
      <w:bookmarkStart w:id="734" w:name="_Toc94623909"/>
      <w:bookmarkStart w:id="735" w:name="_Toc94781181"/>
      <w:bookmarkStart w:id="736" w:name="_Toc94782091"/>
      <w:bookmarkStart w:id="737" w:name="_Toc94782413"/>
      <w:bookmarkStart w:id="738" w:name="_Toc94798137"/>
      <w:bookmarkStart w:id="739" w:name="_Toc94872062"/>
      <w:bookmarkStart w:id="740" w:name="_Toc94885284"/>
      <w:bookmarkStart w:id="741" w:name="_Toc94885720"/>
      <w:bookmarkStart w:id="742" w:name="_Toc94886158"/>
      <w:bookmarkStart w:id="743" w:name="_Toc99723260"/>
      <w:bookmarkStart w:id="744" w:name="_Toc94623596"/>
      <w:bookmarkStart w:id="745" w:name="_Toc94623910"/>
      <w:bookmarkStart w:id="746" w:name="_Toc94781182"/>
      <w:bookmarkStart w:id="747" w:name="_Toc94782092"/>
      <w:bookmarkStart w:id="748" w:name="_Toc94782414"/>
      <w:bookmarkStart w:id="749" w:name="_Toc94798138"/>
      <w:bookmarkStart w:id="750" w:name="_Toc94872063"/>
      <w:bookmarkStart w:id="751" w:name="_Toc94885285"/>
      <w:bookmarkStart w:id="752" w:name="_Toc94885721"/>
      <w:bookmarkStart w:id="753" w:name="_Toc94886159"/>
      <w:bookmarkStart w:id="754" w:name="_Toc99723261"/>
      <w:bookmarkStart w:id="755" w:name="_Toc94623597"/>
      <w:bookmarkStart w:id="756" w:name="_Toc94623911"/>
      <w:bookmarkStart w:id="757" w:name="_Toc94781183"/>
      <w:bookmarkStart w:id="758" w:name="_Toc94782093"/>
      <w:bookmarkStart w:id="759" w:name="_Toc94782415"/>
      <w:bookmarkStart w:id="760" w:name="_Toc94798139"/>
      <w:bookmarkStart w:id="761" w:name="_Toc94872064"/>
      <w:bookmarkStart w:id="762" w:name="_Toc94885286"/>
      <w:bookmarkStart w:id="763" w:name="_Toc94885722"/>
      <w:bookmarkStart w:id="764" w:name="_Toc94886160"/>
      <w:bookmarkStart w:id="765" w:name="_Toc99723262"/>
      <w:bookmarkStart w:id="766" w:name="_Toc94623598"/>
      <w:bookmarkStart w:id="767" w:name="_Toc94623912"/>
      <w:bookmarkStart w:id="768" w:name="_Toc94781184"/>
      <w:bookmarkStart w:id="769" w:name="_Toc94782094"/>
      <w:bookmarkStart w:id="770" w:name="_Toc94782416"/>
      <w:bookmarkStart w:id="771" w:name="_Toc94798140"/>
      <w:bookmarkStart w:id="772" w:name="_Toc94872065"/>
      <w:bookmarkStart w:id="773" w:name="_Toc94885287"/>
      <w:bookmarkStart w:id="774" w:name="_Toc94885723"/>
      <w:bookmarkStart w:id="775" w:name="_Toc94886161"/>
      <w:bookmarkStart w:id="776" w:name="_Toc99723263"/>
      <w:bookmarkStart w:id="777" w:name="_Toc94623599"/>
      <w:bookmarkStart w:id="778" w:name="_Toc94623913"/>
      <w:bookmarkStart w:id="779" w:name="_Toc94781185"/>
      <w:bookmarkStart w:id="780" w:name="_Toc94782095"/>
      <w:bookmarkStart w:id="781" w:name="_Toc94782417"/>
      <w:bookmarkStart w:id="782" w:name="_Toc94798141"/>
      <w:bookmarkStart w:id="783" w:name="_Toc94872066"/>
      <w:bookmarkStart w:id="784" w:name="_Toc94885288"/>
      <w:bookmarkStart w:id="785" w:name="_Toc94885724"/>
      <w:bookmarkStart w:id="786" w:name="_Toc94886162"/>
      <w:bookmarkStart w:id="787" w:name="_Toc99723264"/>
      <w:bookmarkStart w:id="788" w:name="_Toc492494185"/>
      <w:bookmarkStart w:id="789" w:name="_Toc492504414"/>
      <w:bookmarkStart w:id="790" w:name="_Toc492504673"/>
      <w:bookmarkStart w:id="791" w:name="_Toc94623600"/>
      <w:bookmarkStart w:id="792" w:name="_Toc94623914"/>
      <w:bookmarkStart w:id="793" w:name="_Toc94781186"/>
      <w:bookmarkStart w:id="794" w:name="_Toc94782096"/>
      <w:bookmarkStart w:id="795" w:name="_Toc94782418"/>
      <w:bookmarkStart w:id="796" w:name="_Toc94798142"/>
      <w:bookmarkStart w:id="797" w:name="_Toc94872067"/>
      <w:bookmarkStart w:id="798" w:name="_Toc94885289"/>
      <w:bookmarkStart w:id="799" w:name="_Toc94885725"/>
      <w:bookmarkStart w:id="800" w:name="_Toc94886163"/>
      <w:bookmarkStart w:id="801" w:name="_Toc99723265"/>
      <w:bookmarkStart w:id="802" w:name="_Toc94623601"/>
      <w:bookmarkStart w:id="803" w:name="_Toc94623915"/>
      <w:bookmarkStart w:id="804" w:name="_Toc94781187"/>
      <w:bookmarkStart w:id="805" w:name="_Toc94782097"/>
      <w:bookmarkStart w:id="806" w:name="_Toc94782419"/>
      <w:bookmarkStart w:id="807" w:name="_Toc94798143"/>
      <w:bookmarkStart w:id="808" w:name="_Toc94872068"/>
      <w:bookmarkStart w:id="809" w:name="_Toc94885290"/>
      <w:bookmarkStart w:id="810" w:name="_Toc94885726"/>
      <w:bookmarkStart w:id="811" w:name="_Toc94886164"/>
      <w:bookmarkStart w:id="812" w:name="_Toc99723266"/>
      <w:bookmarkStart w:id="813" w:name="_Toc94623602"/>
      <w:bookmarkStart w:id="814" w:name="_Toc94623916"/>
      <w:bookmarkStart w:id="815" w:name="_Toc94781188"/>
      <w:bookmarkStart w:id="816" w:name="_Toc94782098"/>
      <w:bookmarkStart w:id="817" w:name="_Toc94782420"/>
      <w:bookmarkStart w:id="818" w:name="_Toc94798144"/>
      <w:bookmarkStart w:id="819" w:name="_Toc94872069"/>
      <w:bookmarkStart w:id="820" w:name="_Toc94885291"/>
      <w:bookmarkStart w:id="821" w:name="_Toc94885727"/>
      <w:bookmarkStart w:id="822" w:name="_Toc94886165"/>
      <w:bookmarkStart w:id="823" w:name="_Toc99723267"/>
      <w:bookmarkStart w:id="824" w:name="_Toc94623603"/>
      <w:bookmarkStart w:id="825" w:name="_Toc94623917"/>
      <w:bookmarkStart w:id="826" w:name="_Toc94781189"/>
      <w:bookmarkStart w:id="827" w:name="_Toc94782099"/>
      <w:bookmarkStart w:id="828" w:name="_Toc94782421"/>
      <w:bookmarkStart w:id="829" w:name="_Toc94798145"/>
      <w:bookmarkStart w:id="830" w:name="_Toc94872070"/>
      <w:bookmarkStart w:id="831" w:name="_Toc94885292"/>
      <w:bookmarkStart w:id="832" w:name="_Toc94885728"/>
      <w:bookmarkStart w:id="833" w:name="_Toc94886166"/>
      <w:bookmarkStart w:id="834" w:name="_Toc99723268"/>
      <w:bookmarkStart w:id="835" w:name="_Toc94623604"/>
      <w:bookmarkStart w:id="836" w:name="_Toc94623918"/>
      <w:bookmarkStart w:id="837" w:name="_Toc94781190"/>
      <w:bookmarkStart w:id="838" w:name="_Toc94782100"/>
      <w:bookmarkStart w:id="839" w:name="_Toc94782422"/>
      <w:bookmarkStart w:id="840" w:name="_Toc94798146"/>
      <w:bookmarkStart w:id="841" w:name="_Toc94872071"/>
      <w:bookmarkStart w:id="842" w:name="_Toc94885293"/>
      <w:bookmarkStart w:id="843" w:name="_Toc94885729"/>
      <w:bookmarkStart w:id="844" w:name="_Toc94886167"/>
      <w:bookmarkStart w:id="845" w:name="_Toc99723269"/>
      <w:bookmarkStart w:id="846" w:name="_Toc94623605"/>
      <w:bookmarkStart w:id="847" w:name="_Toc94623919"/>
      <w:bookmarkStart w:id="848" w:name="_Toc94781191"/>
      <w:bookmarkStart w:id="849" w:name="_Toc94782101"/>
      <w:bookmarkStart w:id="850" w:name="_Toc94782423"/>
      <w:bookmarkStart w:id="851" w:name="_Toc94798147"/>
      <w:bookmarkStart w:id="852" w:name="_Toc94872072"/>
      <w:bookmarkStart w:id="853" w:name="_Toc94885294"/>
      <w:bookmarkStart w:id="854" w:name="_Toc94885730"/>
      <w:bookmarkStart w:id="855" w:name="_Toc94886168"/>
      <w:bookmarkStart w:id="856" w:name="_Toc99723270"/>
      <w:bookmarkStart w:id="857" w:name="_Toc94623606"/>
      <w:bookmarkStart w:id="858" w:name="_Toc94623920"/>
      <w:bookmarkStart w:id="859" w:name="_Toc94781192"/>
      <w:bookmarkStart w:id="860" w:name="_Toc94782102"/>
      <w:bookmarkStart w:id="861" w:name="_Toc94782424"/>
      <w:bookmarkStart w:id="862" w:name="_Toc94798148"/>
      <w:bookmarkStart w:id="863" w:name="_Toc94872073"/>
      <w:bookmarkStart w:id="864" w:name="_Toc94885295"/>
      <w:bookmarkStart w:id="865" w:name="_Toc94885731"/>
      <w:bookmarkStart w:id="866" w:name="_Toc94886169"/>
      <w:bookmarkStart w:id="867" w:name="_Toc99723271"/>
      <w:bookmarkStart w:id="868" w:name="_Toc94623607"/>
      <w:bookmarkStart w:id="869" w:name="_Toc94623921"/>
      <w:bookmarkStart w:id="870" w:name="_Toc94781193"/>
      <w:bookmarkStart w:id="871" w:name="_Toc94782103"/>
      <w:bookmarkStart w:id="872" w:name="_Toc94782425"/>
      <w:bookmarkStart w:id="873" w:name="_Toc94798149"/>
      <w:bookmarkStart w:id="874" w:name="_Toc94872074"/>
      <w:bookmarkStart w:id="875" w:name="_Toc94885296"/>
      <w:bookmarkStart w:id="876" w:name="_Toc94885732"/>
      <w:bookmarkStart w:id="877" w:name="_Toc94886170"/>
      <w:bookmarkStart w:id="878" w:name="_Toc99723272"/>
      <w:bookmarkStart w:id="879" w:name="_Toc94623608"/>
      <w:bookmarkStart w:id="880" w:name="_Toc94623922"/>
      <w:bookmarkStart w:id="881" w:name="_Toc94781194"/>
      <w:bookmarkStart w:id="882" w:name="_Toc94782104"/>
      <w:bookmarkStart w:id="883" w:name="_Toc94782426"/>
      <w:bookmarkStart w:id="884" w:name="_Toc94798150"/>
      <w:bookmarkStart w:id="885" w:name="_Toc94872075"/>
      <w:bookmarkStart w:id="886" w:name="_Toc94885297"/>
      <w:bookmarkStart w:id="887" w:name="_Toc94885733"/>
      <w:bookmarkStart w:id="888" w:name="_Toc94886171"/>
      <w:bookmarkStart w:id="889" w:name="_Toc99723273"/>
      <w:bookmarkStart w:id="890" w:name="_Toc94623609"/>
      <w:bookmarkStart w:id="891" w:name="_Toc94623923"/>
      <w:bookmarkStart w:id="892" w:name="_Toc94781195"/>
      <w:bookmarkStart w:id="893" w:name="_Toc94782105"/>
      <w:bookmarkStart w:id="894" w:name="_Toc94782427"/>
      <w:bookmarkStart w:id="895" w:name="_Toc94798151"/>
      <w:bookmarkStart w:id="896" w:name="_Toc94872076"/>
      <w:bookmarkStart w:id="897" w:name="_Toc94885298"/>
      <w:bookmarkStart w:id="898" w:name="_Toc94885734"/>
      <w:bookmarkStart w:id="899" w:name="_Toc94886172"/>
      <w:bookmarkStart w:id="900" w:name="_Toc99723274"/>
      <w:bookmarkStart w:id="901" w:name="_Toc94623610"/>
      <w:bookmarkStart w:id="902" w:name="_Toc94623924"/>
      <w:bookmarkStart w:id="903" w:name="_Toc94781196"/>
      <w:bookmarkStart w:id="904" w:name="_Toc94782106"/>
      <w:bookmarkStart w:id="905" w:name="_Toc94782428"/>
      <w:bookmarkStart w:id="906" w:name="_Toc94798152"/>
      <w:bookmarkStart w:id="907" w:name="_Toc94872077"/>
      <w:bookmarkStart w:id="908" w:name="_Toc94885299"/>
      <w:bookmarkStart w:id="909" w:name="_Toc94885735"/>
      <w:bookmarkStart w:id="910" w:name="_Toc94886173"/>
      <w:bookmarkStart w:id="911" w:name="_Toc99723275"/>
      <w:bookmarkStart w:id="912" w:name="_Toc94623611"/>
      <w:bookmarkStart w:id="913" w:name="_Toc94623925"/>
      <w:bookmarkStart w:id="914" w:name="_Toc94781197"/>
      <w:bookmarkStart w:id="915" w:name="_Toc94782107"/>
      <w:bookmarkStart w:id="916" w:name="_Toc94782429"/>
      <w:bookmarkStart w:id="917" w:name="_Toc94798153"/>
      <w:bookmarkStart w:id="918" w:name="_Toc94872078"/>
      <w:bookmarkStart w:id="919" w:name="_Toc94885300"/>
      <w:bookmarkStart w:id="920" w:name="_Toc94885736"/>
      <w:bookmarkStart w:id="921" w:name="_Toc94886174"/>
      <w:bookmarkStart w:id="922" w:name="_Toc99723276"/>
      <w:bookmarkStart w:id="923" w:name="_Toc94623612"/>
      <w:bookmarkStart w:id="924" w:name="_Toc94623926"/>
      <w:bookmarkStart w:id="925" w:name="_Toc94781198"/>
      <w:bookmarkStart w:id="926" w:name="_Toc94782108"/>
      <w:bookmarkStart w:id="927" w:name="_Toc94782430"/>
      <w:bookmarkStart w:id="928" w:name="_Toc94798154"/>
      <w:bookmarkStart w:id="929" w:name="_Toc94872079"/>
      <w:bookmarkStart w:id="930" w:name="_Toc94885301"/>
      <w:bookmarkStart w:id="931" w:name="_Toc94885737"/>
      <w:bookmarkStart w:id="932" w:name="_Toc94886175"/>
      <w:bookmarkStart w:id="933" w:name="_Toc99723277"/>
      <w:bookmarkStart w:id="934" w:name="_Toc94623613"/>
      <w:bookmarkStart w:id="935" w:name="_Toc94623927"/>
      <w:bookmarkStart w:id="936" w:name="_Toc94781199"/>
      <w:bookmarkStart w:id="937" w:name="_Toc94782109"/>
      <w:bookmarkStart w:id="938" w:name="_Toc94782431"/>
      <w:bookmarkStart w:id="939" w:name="_Toc94798155"/>
      <w:bookmarkStart w:id="940" w:name="_Toc94872080"/>
      <w:bookmarkStart w:id="941" w:name="_Toc94885302"/>
      <w:bookmarkStart w:id="942" w:name="_Toc94885738"/>
      <w:bookmarkStart w:id="943" w:name="_Toc94886176"/>
      <w:bookmarkStart w:id="944" w:name="_Toc99723278"/>
      <w:bookmarkStart w:id="945" w:name="_Toc94623614"/>
      <w:bookmarkStart w:id="946" w:name="_Toc94623928"/>
      <w:bookmarkStart w:id="947" w:name="_Toc94781200"/>
      <w:bookmarkStart w:id="948" w:name="_Toc94782110"/>
      <w:bookmarkStart w:id="949" w:name="_Toc94782432"/>
      <w:bookmarkStart w:id="950" w:name="_Toc94798156"/>
      <w:bookmarkStart w:id="951" w:name="_Toc94872081"/>
      <w:bookmarkStart w:id="952" w:name="_Toc94885303"/>
      <w:bookmarkStart w:id="953" w:name="_Toc94885739"/>
      <w:bookmarkStart w:id="954" w:name="_Toc94886177"/>
      <w:bookmarkStart w:id="955" w:name="_Toc99723279"/>
      <w:bookmarkStart w:id="956" w:name="_Toc94623615"/>
      <w:bookmarkStart w:id="957" w:name="_Toc94623929"/>
      <w:bookmarkStart w:id="958" w:name="_Toc94781201"/>
      <w:bookmarkStart w:id="959" w:name="_Toc94782111"/>
      <w:bookmarkStart w:id="960" w:name="_Toc94782433"/>
      <w:bookmarkStart w:id="961" w:name="_Toc94798157"/>
      <w:bookmarkStart w:id="962" w:name="_Toc94872082"/>
      <w:bookmarkStart w:id="963" w:name="_Toc94885304"/>
      <w:bookmarkStart w:id="964" w:name="_Toc94885740"/>
      <w:bookmarkStart w:id="965" w:name="_Toc94886178"/>
      <w:bookmarkStart w:id="966" w:name="_Toc99723280"/>
      <w:bookmarkStart w:id="967" w:name="_Toc94623616"/>
      <w:bookmarkStart w:id="968" w:name="_Toc94623930"/>
      <w:bookmarkStart w:id="969" w:name="_Toc94781202"/>
      <w:bookmarkStart w:id="970" w:name="_Toc94782112"/>
      <w:bookmarkStart w:id="971" w:name="_Toc94782434"/>
      <w:bookmarkStart w:id="972" w:name="_Toc94798158"/>
      <w:bookmarkStart w:id="973" w:name="_Toc94872083"/>
      <w:bookmarkStart w:id="974" w:name="_Toc94885305"/>
      <w:bookmarkStart w:id="975" w:name="_Toc94885741"/>
      <w:bookmarkStart w:id="976" w:name="_Toc94886179"/>
      <w:bookmarkStart w:id="977" w:name="_Toc99723281"/>
      <w:bookmarkStart w:id="978" w:name="_Toc94623617"/>
      <w:bookmarkStart w:id="979" w:name="_Toc94623931"/>
      <w:bookmarkStart w:id="980" w:name="_Toc94781203"/>
      <w:bookmarkStart w:id="981" w:name="_Toc94782113"/>
      <w:bookmarkStart w:id="982" w:name="_Toc94782435"/>
      <w:bookmarkStart w:id="983" w:name="_Toc94798159"/>
      <w:bookmarkStart w:id="984" w:name="_Toc94872084"/>
      <w:bookmarkStart w:id="985" w:name="_Toc94885306"/>
      <w:bookmarkStart w:id="986" w:name="_Toc94885742"/>
      <w:bookmarkStart w:id="987" w:name="_Toc94886180"/>
      <w:bookmarkStart w:id="988" w:name="_Toc99723282"/>
      <w:bookmarkStart w:id="989" w:name="_Toc94623618"/>
      <w:bookmarkStart w:id="990" w:name="_Toc94623932"/>
      <w:bookmarkStart w:id="991" w:name="_Toc94781204"/>
      <w:bookmarkStart w:id="992" w:name="_Toc94782114"/>
      <w:bookmarkStart w:id="993" w:name="_Toc94782436"/>
      <w:bookmarkStart w:id="994" w:name="_Toc94798160"/>
      <w:bookmarkStart w:id="995" w:name="_Toc94872085"/>
      <w:bookmarkStart w:id="996" w:name="_Toc94885307"/>
      <w:bookmarkStart w:id="997" w:name="_Toc94885743"/>
      <w:bookmarkStart w:id="998" w:name="_Toc94886181"/>
      <w:bookmarkStart w:id="999" w:name="_Toc99723283"/>
      <w:bookmarkStart w:id="1000" w:name="_Toc94623619"/>
      <w:bookmarkStart w:id="1001" w:name="_Toc94623933"/>
      <w:bookmarkStart w:id="1002" w:name="_Toc94781205"/>
      <w:bookmarkStart w:id="1003" w:name="_Toc94782115"/>
      <w:bookmarkStart w:id="1004" w:name="_Toc94782437"/>
      <w:bookmarkStart w:id="1005" w:name="_Toc94798161"/>
      <w:bookmarkStart w:id="1006" w:name="_Toc94872086"/>
      <w:bookmarkStart w:id="1007" w:name="_Toc94885308"/>
      <w:bookmarkStart w:id="1008" w:name="_Toc94885744"/>
      <w:bookmarkStart w:id="1009" w:name="_Toc94886182"/>
      <w:bookmarkStart w:id="1010" w:name="_Toc99723284"/>
      <w:bookmarkStart w:id="1011" w:name="_Toc492494188"/>
      <w:bookmarkStart w:id="1012" w:name="_Toc94623620"/>
      <w:bookmarkStart w:id="1013" w:name="_Toc94623934"/>
      <w:bookmarkStart w:id="1014" w:name="_Toc94781206"/>
      <w:bookmarkStart w:id="1015" w:name="_Toc94782116"/>
      <w:bookmarkStart w:id="1016" w:name="_Toc94782438"/>
      <w:bookmarkStart w:id="1017" w:name="_Toc94798162"/>
      <w:bookmarkStart w:id="1018" w:name="_Toc94872087"/>
      <w:bookmarkStart w:id="1019" w:name="_Toc94885309"/>
      <w:bookmarkStart w:id="1020" w:name="_Toc94885745"/>
      <w:bookmarkStart w:id="1021" w:name="_Toc94886183"/>
      <w:bookmarkStart w:id="1022" w:name="_Toc99723285"/>
      <w:bookmarkStart w:id="1023" w:name="_Toc94623621"/>
      <w:bookmarkStart w:id="1024" w:name="_Toc94623935"/>
      <w:bookmarkStart w:id="1025" w:name="_Toc94781207"/>
      <w:bookmarkStart w:id="1026" w:name="_Toc94782117"/>
      <w:bookmarkStart w:id="1027" w:name="_Toc94782439"/>
      <w:bookmarkStart w:id="1028" w:name="_Toc94798163"/>
      <w:bookmarkStart w:id="1029" w:name="_Toc94872088"/>
      <w:bookmarkStart w:id="1030" w:name="_Toc94885310"/>
      <w:bookmarkStart w:id="1031" w:name="_Toc94885746"/>
      <w:bookmarkStart w:id="1032" w:name="_Toc94886184"/>
      <w:bookmarkStart w:id="1033" w:name="_Toc99723286"/>
      <w:bookmarkStart w:id="1034" w:name="_Toc94623622"/>
      <w:bookmarkStart w:id="1035" w:name="_Toc94623936"/>
      <w:bookmarkStart w:id="1036" w:name="_Toc94781208"/>
      <w:bookmarkStart w:id="1037" w:name="_Toc94782118"/>
      <w:bookmarkStart w:id="1038" w:name="_Toc94782440"/>
      <w:bookmarkStart w:id="1039" w:name="_Toc94798164"/>
      <w:bookmarkStart w:id="1040" w:name="_Toc94872089"/>
      <w:bookmarkStart w:id="1041" w:name="_Toc94885311"/>
      <w:bookmarkStart w:id="1042" w:name="_Toc94885747"/>
      <w:bookmarkStart w:id="1043" w:name="_Toc94886185"/>
      <w:bookmarkStart w:id="1044" w:name="_Toc99723287"/>
      <w:bookmarkStart w:id="1045" w:name="_Toc94623623"/>
      <w:bookmarkStart w:id="1046" w:name="_Toc94623937"/>
      <w:bookmarkStart w:id="1047" w:name="_Toc94781209"/>
      <w:bookmarkStart w:id="1048" w:name="_Toc94782119"/>
      <w:bookmarkStart w:id="1049" w:name="_Toc94782441"/>
      <w:bookmarkStart w:id="1050" w:name="_Toc94798165"/>
      <w:bookmarkStart w:id="1051" w:name="_Toc94872090"/>
      <w:bookmarkStart w:id="1052" w:name="_Toc94885312"/>
      <w:bookmarkStart w:id="1053" w:name="_Toc94885748"/>
      <w:bookmarkStart w:id="1054" w:name="_Toc94886186"/>
      <w:bookmarkStart w:id="1055" w:name="_Toc99723288"/>
      <w:bookmarkStart w:id="1056" w:name="_Toc94623624"/>
      <w:bookmarkStart w:id="1057" w:name="_Toc94623938"/>
      <w:bookmarkStart w:id="1058" w:name="_Toc94781210"/>
      <w:bookmarkStart w:id="1059" w:name="_Toc94782120"/>
      <w:bookmarkStart w:id="1060" w:name="_Toc94782442"/>
      <w:bookmarkStart w:id="1061" w:name="_Toc94798166"/>
      <w:bookmarkStart w:id="1062" w:name="_Toc94872091"/>
      <w:bookmarkStart w:id="1063" w:name="_Toc94885313"/>
      <w:bookmarkStart w:id="1064" w:name="_Toc94885749"/>
      <w:bookmarkStart w:id="1065" w:name="_Toc94886187"/>
      <w:bookmarkStart w:id="1066" w:name="_Toc99723289"/>
      <w:bookmarkStart w:id="1067" w:name="_Toc94623625"/>
      <w:bookmarkStart w:id="1068" w:name="_Toc94623939"/>
      <w:bookmarkStart w:id="1069" w:name="_Toc94781211"/>
      <w:bookmarkStart w:id="1070" w:name="_Toc94782121"/>
      <w:bookmarkStart w:id="1071" w:name="_Toc94782443"/>
      <w:bookmarkStart w:id="1072" w:name="_Toc94798167"/>
      <w:bookmarkStart w:id="1073" w:name="_Toc94872092"/>
      <w:bookmarkStart w:id="1074" w:name="_Toc94885314"/>
      <w:bookmarkStart w:id="1075" w:name="_Toc94885750"/>
      <w:bookmarkStart w:id="1076" w:name="_Toc94886188"/>
      <w:bookmarkStart w:id="1077" w:name="_Toc99723290"/>
      <w:bookmarkStart w:id="1078" w:name="_Toc94623626"/>
      <w:bookmarkStart w:id="1079" w:name="_Toc94623940"/>
      <w:bookmarkStart w:id="1080" w:name="_Toc94781212"/>
      <w:bookmarkStart w:id="1081" w:name="_Toc94782122"/>
      <w:bookmarkStart w:id="1082" w:name="_Toc94782444"/>
      <w:bookmarkStart w:id="1083" w:name="_Toc94798168"/>
      <w:bookmarkStart w:id="1084" w:name="_Toc94872093"/>
      <w:bookmarkStart w:id="1085" w:name="_Toc94885315"/>
      <w:bookmarkStart w:id="1086" w:name="_Toc94885751"/>
      <w:bookmarkStart w:id="1087" w:name="_Toc94886189"/>
      <w:bookmarkStart w:id="1088" w:name="_Toc99723291"/>
      <w:bookmarkStart w:id="1089" w:name="_Toc94623627"/>
      <w:bookmarkStart w:id="1090" w:name="_Toc94623941"/>
      <w:bookmarkStart w:id="1091" w:name="_Toc94781213"/>
      <w:bookmarkStart w:id="1092" w:name="_Toc94782123"/>
      <w:bookmarkStart w:id="1093" w:name="_Toc94782445"/>
      <w:bookmarkStart w:id="1094" w:name="_Toc94798169"/>
      <w:bookmarkStart w:id="1095" w:name="_Toc94872094"/>
      <w:bookmarkStart w:id="1096" w:name="_Toc94885316"/>
      <w:bookmarkStart w:id="1097" w:name="_Toc94885752"/>
      <w:bookmarkStart w:id="1098" w:name="_Toc94886190"/>
      <w:bookmarkStart w:id="1099" w:name="_Toc99723292"/>
      <w:bookmarkStart w:id="1100" w:name="_Toc94623628"/>
      <w:bookmarkStart w:id="1101" w:name="_Toc94623942"/>
      <w:bookmarkStart w:id="1102" w:name="_Toc94781214"/>
      <w:bookmarkStart w:id="1103" w:name="_Toc94782124"/>
      <w:bookmarkStart w:id="1104" w:name="_Toc94782446"/>
      <w:bookmarkStart w:id="1105" w:name="_Toc94798170"/>
      <w:bookmarkStart w:id="1106" w:name="_Toc94872095"/>
      <w:bookmarkStart w:id="1107" w:name="_Toc94885317"/>
      <w:bookmarkStart w:id="1108" w:name="_Toc94885753"/>
      <w:bookmarkStart w:id="1109" w:name="_Toc94886191"/>
      <w:bookmarkStart w:id="1110" w:name="_Toc99723293"/>
      <w:bookmarkStart w:id="1111" w:name="_Toc94623629"/>
      <w:bookmarkStart w:id="1112" w:name="_Toc94623943"/>
      <w:bookmarkStart w:id="1113" w:name="_Toc94781215"/>
      <w:bookmarkStart w:id="1114" w:name="_Toc94782125"/>
      <w:bookmarkStart w:id="1115" w:name="_Toc94782447"/>
      <w:bookmarkStart w:id="1116" w:name="_Toc94798171"/>
      <w:bookmarkStart w:id="1117" w:name="_Toc94872096"/>
      <w:bookmarkStart w:id="1118" w:name="_Toc94885318"/>
      <w:bookmarkStart w:id="1119" w:name="_Toc94885754"/>
      <w:bookmarkStart w:id="1120" w:name="_Toc94886192"/>
      <w:bookmarkStart w:id="1121" w:name="_Toc99723294"/>
      <w:bookmarkStart w:id="1122" w:name="_Toc94623630"/>
      <w:bookmarkStart w:id="1123" w:name="_Toc94623944"/>
      <w:bookmarkStart w:id="1124" w:name="_Toc94781216"/>
      <w:bookmarkStart w:id="1125" w:name="_Toc94782126"/>
      <w:bookmarkStart w:id="1126" w:name="_Toc94782448"/>
      <w:bookmarkStart w:id="1127" w:name="_Toc94798172"/>
      <w:bookmarkStart w:id="1128" w:name="_Toc94872097"/>
      <w:bookmarkStart w:id="1129" w:name="_Toc94885319"/>
      <w:bookmarkStart w:id="1130" w:name="_Toc94885755"/>
      <w:bookmarkStart w:id="1131" w:name="_Toc94886193"/>
      <w:bookmarkStart w:id="1132" w:name="_Toc99723295"/>
      <w:bookmarkStart w:id="1133" w:name="_Toc94623631"/>
      <w:bookmarkStart w:id="1134" w:name="_Toc94623945"/>
      <w:bookmarkStart w:id="1135" w:name="_Toc94781217"/>
      <w:bookmarkStart w:id="1136" w:name="_Toc94782127"/>
      <w:bookmarkStart w:id="1137" w:name="_Toc94782449"/>
      <w:bookmarkStart w:id="1138" w:name="_Toc94798173"/>
      <w:bookmarkStart w:id="1139" w:name="_Toc94872098"/>
      <w:bookmarkStart w:id="1140" w:name="_Toc94885320"/>
      <w:bookmarkStart w:id="1141" w:name="_Toc94885756"/>
      <w:bookmarkStart w:id="1142" w:name="_Toc94886194"/>
      <w:bookmarkStart w:id="1143" w:name="_Toc99723296"/>
      <w:bookmarkStart w:id="1144" w:name="_Toc94623632"/>
      <w:bookmarkStart w:id="1145" w:name="_Toc94623946"/>
      <w:bookmarkStart w:id="1146" w:name="_Toc94781218"/>
      <w:bookmarkStart w:id="1147" w:name="_Toc94782128"/>
      <w:bookmarkStart w:id="1148" w:name="_Toc94782450"/>
      <w:bookmarkStart w:id="1149" w:name="_Toc94798174"/>
      <w:bookmarkStart w:id="1150" w:name="_Toc94872099"/>
      <w:bookmarkStart w:id="1151" w:name="_Toc94885321"/>
      <w:bookmarkStart w:id="1152" w:name="_Toc94885757"/>
      <w:bookmarkStart w:id="1153" w:name="_Toc94886195"/>
      <w:bookmarkStart w:id="1154" w:name="_Toc99723297"/>
      <w:bookmarkStart w:id="1155" w:name="_Toc94623633"/>
      <w:bookmarkStart w:id="1156" w:name="_Toc94623947"/>
      <w:bookmarkStart w:id="1157" w:name="_Toc94781219"/>
      <w:bookmarkStart w:id="1158" w:name="_Toc94782129"/>
      <w:bookmarkStart w:id="1159" w:name="_Toc94782451"/>
      <w:bookmarkStart w:id="1160" w:name="_Toc94798175"/>
      <w:bookmarkStart w:id="1161" w:name="_Toc94872100"/>
      <w:bookmarkStart w:id="1162" w:name="_Toc94885322"/>
      <w:bookmarkStart w:id="1163" w:name="_Toc94885758"/>
      <w:bookmarkStart w:id="1164" w:name="_Toc94886196"/>
      <w:bookmarkStart w:id="1165" w:name="_Toc99723298"/>
      <w:bookmarkStart w:id="1166" w:name="_Toc94623634"/>
      <w:bookmarkStart w:id="1167" w:name="_Toc94623948"/>
      <w:bookmarkStart w:id="1168" w:name="_Toc94781220"/>
      <w:bookmarkStart w:id="1169" w:name="_Toc94782130"/>
      <w:bookmarkStart w:id="1170" w:name="_Toc94782452"/>
      <w:bookmarkStart w:id="1171" w:name="_Toc94798176"/>
      <w:bookmarkStart w:id="1172" w:name="_Toc94872101"/>
      <w:bookmarkStart w:id="1173" w:name="_Toc94885323"/>
      <w:bookmarkStart w:id="1174" w:name="_Toc94885759"/>
      <w:bookmarkStart w:id="1175" w:name="_Toc94886197"/>
      <w:bookmarkStart w:id="1176" w:name="_Toc99723299"/>
      <w:bookmarkStart w:id="1177" w:name="_Toc94623635"/>
      <w:bookmarkStart w:id="1178" w:name="_Toc94623949"/>
      <w:bookmarkStart w:id="1179" w:name="_Toc94781221"/>
      <w:bookmarkStart w:id="1180" w:name="_Toc94782131"/>
      <w:bookmarkStart w:id="1181" w:name="_Toc94782453"/>
      <w:bookmarkStart w:id="1182" w:name="_Toc94798177"/>
      <w:bookmarkStart w:id="1183" w:name="_Toc94872102"/>
      <w:bookmarkStart w:id="1184" w:name="_Toc94885324"/>
      <w:bookmarkStart w:id="1185" w:name="_Toc94885760"/>
      <w:bookmarkStart w:id="1186" w:name="_Toc94886198"/>
      <w:bookmarkStart w:id="1187" w:name="_Toc99723300"/>
      <w:bookmarkStart w:id="1188" w:name="_Toc94623636"/>
      <w:bookmarkStart w:id="1189" w:name="_Toc94623950"/>
      <w:bookmarkStart w:id="1190" w:name="_Toc94781222"/>
      <w:bookmarkStart w:id="1191" w:name="_Toc94782132"/>
      <w:bookmarkStart w:id="1192" w:name="_Toc94782454"/>
      <w:bookmarkStart w:id="1193" w:name="_Toc94798178"/>
      <w:bookmarkStart w:id="1194" w:name="_Toc94872103"/>
      <w:bookmarkStart w:id="1195" w:name="_Toc94885325"/>
      <w:bookmarkStart w:id="1196" w:name="_Toc94885761"/>
      <w:bookmarkStart w:id="1197" w:name="_Toc94886199"/>
      <w:bookmarkStart w:id="1198" w:name="_Toc99723301"/>
      <w:bookmarkStart w:id="1199" w:name="_Toc94623637"/>
      <w:bookmarkStart w:id="1200" w:name="_Toc94623951"/>
      <w:bookmarkStart w:id="1201" w:name="_Toc94781223"/>
      <w:bookmarkStart w:id="1202" w:name="_Toc94782133"/>
      <w:bookmarkStart w:id="1203" w:name="_Toc94782455"/>
      <w:bookmarkStart w:id="1204" w:name="_Toc94798179"/>
      <w:bookmarkStart w:id="1205" w:name="_Toc94872104"/>
      <w:bookmarkStart w:id="1206" w:name="_Toc94885326"/>
      <w:bookmarkStart w:id="1207" w:name="_Toc94885762"/>
      <w:bookmarkStart w:id="1208" w:name="_Toc94886200"/>
      <w:bookmarkStart w:id="1209" w:name="_Toc99723302"/>
      <w:bookmarkStart w:id="1210" w:name="_Toc94623638"/>
      <w:bookmarkStart w:id="1211" w:name="_Toc94623952"/>
      <w:bookmarkStart w:id="1212" w:name="_Toc94781224"/>
      <w:bookmarkStart w:id="1213" w:name="_Toc94782134"/>
      <w:bookmarkStart w:id="1214" w:name="_Toc94782456"/>
      <w:bookmarkStart w:id="1215" w:name="_Toc94798180"/>
      <w:bookmarkStart w:id="1216" w:name="_Toc94872105"/>
      <w:bookmarkStart w:id="1217" w:name="_Toc94885327"/>
      <w:bookmarkStart w:id="1218" w:name="_Toc94885763"/>
      <w:bookmarkStart w:id="1219" w:name="_Toc94886201"/>
      <w:bookmarkStart w:id="1220" w:name="_Toc99723303"/>
      <w:bookmarkStart w:id="1221" w:name="_Toc94623640"/>
      <w:bookmarkStart w:id="1222" w:name="_Toc94623954"/>
      <w:bookmarkStart w:id="1223" w:name="_Toc94623641"/>
      <w:bookmarkStart w:id="1224" w:name="_Toc94623955"/>
      <w:bookmarkStart w:id="1225" w:name="_Toc94623642"/>
      <w:bookmarkStart w:id="1226" w:name="_Toc94623956"/>
      <w:bookmarkStart w:id="1227" w:name="_Toc94623643"/>
      <w:bookmarkStart w:id="1228" w:name="_Toc94623957"/>
      <w:bookmarkStart w:id="1229" w:name="_Toc103257969"/>
      <w:bookmarkStart w:id="1230" w:name="_Toc94623644"/>
      <w:bookmarkStart w:id="1231" w:name="_Toc94623958"/>
      <w:bookmarkStart w:id="1232" w:name="_Toc103257970"/>
      <w:bookmarkStart w:id="1233" w:name="_Toc94623645"/>
      <w:bookmarkStart w:id="1234" w:name="_Toc94623959"/>
      <w:bookmarkStart w:id="1235" w:name="_Toc103257971"/>
      <w:bookmarkStart w:id="1236" w:name="_Toc94623646"/>
      <w:bookmarkStart w:id="1237" w:name="_Toc94623960"/>
      <w:bookmarkStart w:id="1238" w:name="_Toc94623647"/>
      <w:bookmarkStart w:id="1239" w:name="_Toc94623961"/>
      <w:bookmarkStart w:id="1240" w:name="_Toc103257972"/>
      <w:bookmarkStart w:id="1241" w:name="_Toc94623648"/>
      <w:bookmarkStart w:id="1242" w:name="_Toc94623962"/>
      <w:bookmarkStart w:id="1243" w:name="_Toc103257973"/>
      <w:bookmarkStart w:id="1244" w:name="_Toc103248425"/>
      <w:bookmarkStart w:id="1245" w:name="_Toc103257974"/>
      <w:bookmarkStart w:id="1246" w:name="_Toc103248430"/>
      <w:bookmarkStart w:id="1247" w:name="_Toc103257979"/>
      <w:bookmarkStart w:id="1248" w:name="_Toc103248431"/>
      <w:bookmarkStart w:id="1249" w:name="_Toc103257980"/>
      <w:bookmarkStart w:id="1250" w:name="_Toc103248432"/>
      <w:bookmarkStart w:id="1251" w:name="_Toc103257981"/>
      <w:bookmarkStart w:id="1252" w:name="_Toc103248433"/>
      <w:bookmarkStart w:id="1253" w:name="_Toc103257982"/>
      <w:bookmarkStart w:id="1254" w:name="_Toc103248434"/>
      <w:bookmarkStart w:id="1255" w:name="_Toc103257983"/>
      <w:bookmarkStart w:id="1256" w:name="_Toc103248435"/>
      <w:bookmarkStart w:id="1257" w:name="_Toc103257984"/>
      <w:bookmarkStart w:id="1258" w:name="_Toc103248436"/>
      <w:bookmarkStart w:id="1259" w:name="_Toc103257985"/>
      <w:bookmarkStart w:id="1260" w:name="_Toc103248437"/>
      <w:bookmarkStart w:id="1261" w:name="_Toc103257986"/>
      <w:bookmarkStart w:id="1262" w:name="_Toc103257988"/>
      <w:bookmarkStart w:id="1263" w:name="_Toc103258275"/>
      <w:bookmarkStart w:id="1264" w:name="_Toc103258759"/>
      <w:bookmarkStart w:id="1265" w:name="_Toc103259797"/>
      <w:bookmarkStart w:id="1266" w:name="_Toc103271112"/>
      <w:bookmarkStart w:id="1267" w:name="_Toc103257989"/>
      <w:bookmarkStart w:id="1268" w:name="_Toc103258276"/>
      <w:bookmarkStart w:id="1269" w:name="_Toc103258760"/>
      <w:bookmarkStart w:id="1270" w:name="_Toc103259798"/>
      <w:bookmarkStart w:id="1271" w:name="_Toc103271113"/>
      <w:bookmarkStart w:id="1272" w:name="_Toc103257990"/>
      <w:bookmarkStart w:id="1273" w:name="_Toc103258277"/>
      <w:bookmarkStart w:id="1274" w:name="_Toc103258761"/>
      <w:bookmarkStart w:id="1275" w:name="_Toc103259799"/>
      <w:bookmarkStart w:id="1276" w:name="_Toc103271114"/>
      <w:bookmarkStart w:id="1277" w:name="_Toc103257991"/>
      <w:bookmarkStart w:id="1278" w:name="_Toc103258278"/>
      <w:bookmarkStart w:id="1279" w:name="_Toc103258762"/>
      <w:bookmarkStart w:id="1280" w:name="_Toc103259800"/>
      <w:bookmarkStart w:id="1281" w:name="_Toc103271115"/>
      <w:bookmarkStart w:id="1282" w:name="_Toc103257992"/>
      <w:bookmarkStart w:id="1283" w:name="_Toc103258279"/>
      <w:bookmarkStart w:id="1284" w:name="_Toc103258763"/>
      <w:bookmarkStart w:id="1285" w:name="_Toc103259801"/>
      <w:bookmarkStart w:id="1286" w:name="_Toc103271116"/>
      <w:bookmarkStart w:id="1287" w:name="_Toc103257993"/>
      <w:bookmarkStart w:id="1288" w:name="_Toc103258280"/>
      <w:bookmarkStart w:id="1289" w:name="_Toc103258764"/>
      <w:bookmarkStart w:id="1290" w:name="_Toc103259802"/>
      <w:bookmarkStart w:id="1291" w:name="_Toc103271117"/>
      <w:bookmarkStart w:id="1292" w:name="_Toc103257994"/>
      <w:bookmarkStart w:id="1293" w:name="_Toc103258281"/>
      <w:bookmarkStart w:id="1294" w:name="_Toc103258765"/>
      <w:bookmarkStart w:id="1295" w:name="_Toc103259803"/>
      <w:bookmarkStart w:id="1296" w:name="_Toc103271118"/>
      <w:bookmarkStart w:id="1297" w:name="_Toc103257995"/>
      <w:bookmarkStart w:id="1298" w:name="_Toc103258282"/>
      <w:bookmarkStart w:id="1299" w:name="_Toc103258766"/>
      <w:bookmarkStart w:id="1300" w:name="_Toc103259804"/>
      <w:bookmarkStart w:id="1301" w:name="_Toc103271119"/>
      <w:bookmarkStart w:id="1302" w:name="_Toc103257996"/>
      <w:bookmarkStart w:id="1303" w:name="_Toc103258283"/>
      <w:bookmarkStart w:id="1304" w:name="_Toc103258767"/>
      <w:bookmarkStart w:id="1305" w:name="_Toc103259805"/>
      <w:bookmarkStart w:id="1306" w:name="_Toc103271120"/>
      <w:bookmarkStart w:id="1307" w:name="_Toc103257997"/>
      <w:bookmarkStart w:id="1308" w:name="_Toc103258284"/>
      <w:bookmarkStart w:id="1309" w:name="_Toc103258768"/>
      <w:bookmarkStart w:id="1310" w:name="_Toc103259806"/>
      <w:bookmarkStart w:id="1311" w:name="_Toc103271121"/>
      <w:bookmarkStart w:id="1312" w:name="_Toc103257998"/>
      <w:bookmarkStart w:id="1313" w:name="_Toc103258285"/>
      <w:bookmarkStart w:id="1314" w:name="_Toc103258769"/>
      <w:bookmarkStart w:id="1315" w:name="_Toc103259807"/>
      <w:bookmarkStart w:id="1316" w:name="_Toc103271122"/>
      <w:bookmarkStart w:id="1317" w:name="_Toc103257999"/>
      <w:bookmarkStart w:id="1318" w:name="_Toc103258286"/>
      <w:bookmarkStart w:id="1319" w:name="_Toc103258770"/>
      <w:bookmarkStart w:id="1320" w:name="_Toc103259808"/>
      <w:bookmarkStart w:id="1321" w:name="_Toc103271123"/>
      <w:bookmarkStart w:id="1322" w:name="_Toc103258000"/>
      <w:bookmarkStart w:id="1323" w:name="_Toc103258287"/>
      <w:bookmarkStart w:id="1324" w:name="_Toc103258771"/>
      <w:bookmarkStart w:id="1325" w:name="_Toc103259809"/>
      <w:bookmarkStart w:id="1326" w:name="_Toc103271124"/>
      <w:bookmarkStart w:id="1327" w:name="_Toc103258001"/>
      <w:bookmarkStart w:id="1328" w:name="_Toc103258288"/>
      <w:bookmarkStart w:id="1329" w:name="_Toc103258772"/>
      <w:bookmarkStart w:id="1330" w:name="_Toc103259810"/>
      <w:bookmarkStart w:id="1331" w:name="_Toc103271125"/>
      <w:bookmarkStart w:id="1332" w:name="_Toc103258002"/>
      <w:bookmarkStart w:id="1333" w:name="_Toc103258289"/>
      <w:bookmarkStart w:id="1334" w:name="_Toc103258773"/>
      <w:bookmarkStart w:id="1335" w:name="_Toc103259811"/>
      <w:bookmarkStart w:id="1336" w:name="_Toc103271126"/>
      <w:bookmarkStart w:id="1337" w:name="_Toc103258003"/>
      <w:bookmarkStart w:id="1338" w:name="_Toc103258290"/>
      <w:bookmarkStart w:id="1339" w:name="_Toc103258774"/>
      <w:bookmarkStart w:id="1340" w:name="_Toc103259812"/>
      <w:bookmarkStart w:id="1341" w:name="_Toc103271127"/>
      <w:bookmarkStart w:id="1342" w:name="_Toc103258004"/>
      <w:bookmarkStart w:id="1343" w:name="_Toc103258291"/>
      <w:bookmarkStart w:id="1344" w:name="_Toc103258775"/>
      <w:bookmarkStart w:id="1345" w:name="_Toc103259813"/>
      <w:bookmarkStart w:id="1346" w:name="_Toc103271128"/>
      <w:bookmarkStart w:id="1347" w:name="_Toc103258005"/>
      <w:bookmarkStart w:id="1348" w:name="_Toc103258292"/>
      <w:bookmarkStart w:id="1349" w:name="_Toc103258776"/>
      <w:bookmarkStart w:id="1350" w:name="_Toc103259814"/>
      <w:bookmarkStart w:id="1351" w:name="_Toc103271129"/>
      <w:bookmarkStart w:id="1352" w:name="_Toc103258006"/>
      <w:bookmarkStart w:id="1353" w:name="_Toc103258293"/>
      <w:bookmarkStart w:id="1354" w:name="_Toc103258777"/>
      <w:bookmarkStart w:id="1355" w:name="_Toc103259815"/>
      <w:bookmarkStart w:id="1356" w:name="_Toc103271130"/>
      <w:bookmarkStart w:id="1357" w:name="_Toc103258007"/>
      <w:bookmarkStart w:id="1358" w:name="_Toc103258294"/>
      <w:bookmarkStart w:id="1359" w:name="_Toc103258778"/>
      <w:bookmarkStart w:id="1360" w:name="_Toc103259816"/>
      <w:bookmarkStart w:id="1361" w:name="_Toc103271131"/>
      <w:bookmarkStart w:id="1362" w:name="_Toc103258008"/>
      <w:bookmarkStart w:id="1363" w:name="_Toc103258295"/>
      <w:bookmarkStart w:id="1364" w:name="_Toc103258779"/>
      <w:bookmarkStart w:id="1365" w:name="_Toc103259817"/>
      <w:bookmarkStart w:id="1366" w:name="_Toc103271132"/>
      <w:bookmarkStart w:id="1367" w:name="_Toc103258009"/>
      <w:bookmarkStart w:id="1368" w:name="_Toc103258296"/>
      <w:bookmarkStart w:id="1369" w:name="_Toc103258780"/>
      <w:bookmarkStart w:id="1370" w:name="_Toc103259818"/>
      <w:bookmarkStart w:id="1371" w:name="_Toc103271133"/>
      <w:bookmarkStart w:id="1372" w:name="_Toc103258010"/>
      <w:bookmarkStart w:id="1373" w:name="_Toc103258297"/>
      <w:bookmarkStart w:id="1374" w:name="_Toc103258781"/>
      <w:bookmarkStart w:id="1375" w:name="_Toc103259819"/>
      <w:bookmarkStart w:id="1376" w:name="_Toc103271134"/>
      <w:bookmarkStart w:id="1377" w:name="_Toc103258011"/>
      <w:bookmarkStart w:id="1378" w:name="_Toc103258298"/>
      <w:bookmarkStart w:id="1379" w:name="_Toc103258782"/>
      <w:bookmarkStart w:id="1380" w:name="_Toc103259820"/>
      <w:bookmarkStart w:id="1381" w:name="_Toc103271135"/>
      <w:bookmarkStart w:id="1382" w:name="_Toc103258012"/>
      <w:bookmarkStart w:id="1383" w:name="_Toc103258299"/>
      <w:bookmarkStart w:id="1384" w:name="_Toc103258783"/>
      <w:bookmarkStart w:id="1385" w:name="_Toc103259821"/>
      <w:bookmarkStart w:id="1386" w:name="_Toc103271136"/>
      <w:bookmarkStart w:id="1387" w:name="_Toc103258013"/>
      <w:bookmarkStart w:id="1388" w:name="_Toc103258300"/>
      <w:bookmarkStart w:id="1389" w:name="_Toc103258784"/>
      <w:bookmarkStart w:id="1390" w:name="_Toc103259822"/>
      <w:bookmarkStart w:id="1391" w:name="_Toc103271137"/>
      <w:bookmarkStart w:id="1392" w:name="_Toc103258014"/>
      <w:bookmarkStart w:id="1393" w:name="_Toc103258301"/>
      <w:bookmarkStart w:id="1394" w:name="_Toc103258785"/>
      <w:bookmarkStart w:id="1395" w:name="_Toc103259823"/>
      <w:bookmarkStart w:id="1396" w:name="_Toc103271138"/>
      <w:bookmarkStart w:id="1397" w:name="_Toc103258015"/>
      <w:bookmarkStart w:id="1398" w:name="_Toc103258302"/>
      <w:bookmarkStart w:id="1399" w:name="_Toc103258786"/>
      <w:bookmarkStart w:id="1400" w:name="_Toc103259824"/>
      <w:bookmarkStart w:id="1401" w:name="_Toc103271139"/>
      <w:bookmarkStart w:id="1402" w:name="_Toc103258016"/>
      <w:bookmarkStart w:id="1403" w:name="_Toc103258303"/>
      <w:bookmarkStart w:id="1404" w:name="_Toc103258787"/>
      <w:bookmarkStart w:id="1405" w:name="_Toc103259825"/>
      <w:bookmarkStart w:id="1406" w:name="_Toc103271140"/>
      <w:bookmarkStart w:id="1407" w:name="_Toc103258017"/>
      <w:bookmarkStart w:id="1408" w:name="_Toc103258304"/>
      <w:bookmarkStart w:id="1409" w:name="_Toc103258788"/>
      <w:bookmarkStart w:id="1410" w:name="_Toc103259826"/>
      <w:bookmarkStart w:id="1411" w:name="_Toc103271141"/>
      <w:bookmarkStart w:id="1412" w:name="_Toc103258018"/>
      <w:bookmarkStart w:id="1413" w:name="_Toc103258305"/>
      <w:bookmarkStart w:id="1414" w:name="_Toc103258789"/>
      <w:bookmarkStart w:id="1415" w:name="_Toc103259827"/>
      <w:bookmarkStart w:id="1416" w:name="_Toc103271142"/>
      <w:bookmarkStart w:id="1417" w:name="_Toc103258019"/>
      <w:bookmarkStart w:id="1418" w:name="_Toc103258306"/>
      <w:bookmarkStart w:id="1419" w:name="_Toc103258790"/>
      <w:bookmarkStart w:id="1420" w:name="_Toc103259828"/>
      <w:bookmarkStart w:id="1421" w:name="_Toc103271143"/>
      <w:bookmarkStart w:id="1422" w:name="_Toc103258020"/>
      <w:bookmarkStart w:id="1423" w:name="_Toc103258307"/>
      <w:bookmarkStart w:id="1424" w:name="_Toc103258791"/>
      <w:bookmarkStart w:id="1425" w:name="_Toc103259829"/>
      <w:bookmarkStart w:id="1426" w:name="_Toc103271144"/>
      <w:bookmarkStart w:id="1427" w:name="_Toc103258021"/>
      <w:bookmarkStart w:id="1428" w:name="_Toc103258308"/>
      <w:bookmarkStart w:id="1429" w:name="_Toc103258792"/>
      <w:bookmarkStart w:id="1430" w:name="_Toc103259830"/>
      <w:bookmarkStart w:id="1431" w:name="_Toc103271145"/>
      <w:bookmarkStart w:id="1432" w:name="_Toc103258022"/>
      <w:bookmarkStart w:id="1433" w:name="_Toc103258309"/>
      <w:bookmarkStart w:id="1434" w:name="_Toc103258793"/>
      <w:bookmarkStart w:id="1435" w:name="_Toc103259831"/>
      <w:bookmarkStart w:id="1436" w:name="_Toc103271146"/>
      <w:bookmarkStart w:id="1437" w:name="_Toc94798186"/>
      <w:bookmarkStart w:id="1438" w:name="_Toc94872112"/>
      <w:bookmarkStart w:id="1439" w:name="_Toc94885341"/>
      <w:bookmarkStart w:id="1440" w:name="_Toc94885776"/>
      <w:bookmarkStart w:id="1441" w:name="_Toc94886214"/>
      <w:bookmarkStart w:id="1442" w:name="_Toc99721724"/>
      <w:bookmarkStart w:id="1443" w:name="_Toc99723319"/>
      <w:bookmarkStart w:id="1444" w:name="_Toc94798187"/>
      <w:bookmarkStart w:id="1445" w:name="_Toc94872113"/>
      <w:bookmarkStart w:id="1446" w:name="_Toc94885342"/>
      <w:bookmarkStart w:id="1447" w:name="_Toc94885777"/>
      <w:bookmarkStart w:id="1448" w:name="_Toc94886215"/>
      <w:bookmarkStart w:id="1449" w:name="_Toc99723320"/>
      <w:bookmarkStart w:id="1450" w:name="_Toc492504473"/>
      <w:bookmarkStart w:id="1451" w:name="_Toc492504731"/>
      <w:bookmarkStart w:id="1452" w:name="_Toc492494243"/>
      <w:bookmarkStart w:id="1453" w:name="_Toc492504474"/>
      <w:bookmarkStart w:id="1454" w:name="_Toc492504732"/>
      <w:bookmarkStart w:id="1455" w:name="_Toc492494244"/>
      <w:bookmarkStart w:id="1456" w:name="_Toc492504475"/>
      <w:bookmarkStart w:id="1457" w:name="_Toc492504733"/>
      <w:bookmarkStart w:id="1458" w:name="_Toc492494245"/>
      <w:bookmarkStart w:id="1459" w:name="_Toc492504476"/>
      <w:bookmarkStart w:id="1460" w:name="_Toc492504734"/>
      <w:bookmarkStart w:id="1461" w:name="_Toc492494246"/>
      <w:bookmarkStart w:id="1462" w:name="_Toc492504477"/>
      <w:bookmarkStart w:id="1463" w:name="_Toc492504735"/>
      <w:bookmarkStart w:id="1464" w:name="_Toc492494247"/>
      <w:bookmarkStart w:id="1465" w:name="_Toc492504478"/>
      <w:bookmarkStart w:id="1466" w:name="_Toc492504736"/>
      <w:bookmarkStart w:id="1467" w:name="_Toc492494248"/>
      <w:bookmarkStart w:id="1468" w:name="_Toc492504479"/>
      <w:bookmarkStart w:id="1469" w:name="_Toc492504737"/>
      <w:bookmarkStart w:id="1470" w:name="_Toc492494249"/>
      <w:bookmarkStart w:id="1471" w:name="_Toc492504480"/>
      <w:bookmarkStart w:id="1472" w:name="_Toc492504738"/>
      <w:bookmarkStart w:id="1473" w:name="_Toc94623649"/>
      <w:bookmarkStart w:id="1474" w:name="_Toc94623963"/>
      <w:bookmarkStart w:id="1475" w:name="_Toc103258023"/>
      <w:bookmarkStart w:id="1476" w:name="_Toc103258310"/>
      <w:bookmarkStart w:id="1477" w:name="_Toc103258794"/>
      <w:bookmarkStart w:id="1478" w:name="_Toc103259832"/>
      <w:bookmarkStart w:id="1479" w:name="_Toc103271147"/>
      <w:bookmarkStart w:id="1480" w:name="_Toc103258024"/>
      <w:bookmarkStart w:id="1481" w:name="_Toc103258311"/>
      <w:bookmarkStart w:id="1482" w:name="_Toc103258795"/>
      <w:bookmarkStart w:id="1483" w:name="_Toc103259833"/>
      <w:bookmarkStart w:id="1484" w:name="_Toc103271148"/>
      <w:bookmarkStart w:id="1485" w:name="_Toc103258025"/>
      <w:bookmarkStart w:id="1486" w:name="_Toc103258312"/>
      <w:bookmarkStart w:id="1487" w:name="_Toc103258796"/>
      <w:bookmarkStart w:id="1488" w:name="_Toc103259834"/>
      <w:bookmarkStart w:id="1489" w:name="_Toc103271149"/>
      <w:bookmarkStart w:id="1490" w:name="_Toc103258026"/>
      <w:bookmarkStart w:id="1491" w:name="_Toc103258313"/>
      <w:bookmarkStart w:id="1492" w:name="_Toc103258797"/>
      <w:bookmarkStart w:id="1493" w:name="_Toc103259835"/>
      <w:bookmarkStart w:id="1494" w:name="_Toc103271150"/>
      <w:bookmarkStart w:id="1495" w:name="_Toc103258027"/>
      <w:bookmarkStart w:id="1496" w:name="_Toc103258314"/>
      <w:bookmarkStart w:id="1497" w:name="_Toc103258798"/>
      <w:bookmarkStart w:id="1498" w:name="_Toc103259836"/>
      <w:bookmarkStart w:id="1499" w:name="_Toc103271151"/>
      <w:bookmarkStart w:id="1500" w:name="_Toc103258028"/>
      <w:bookmarkStart w:id="1501" w:name="_Toc103258315"/>
      <w:bookmarkStart w:id="1502" w:name="_Toc103258799"/>
      <w:bookmarkStart w:id="1503" w:name="_Toc103259837"/>
      <w:bookmarkStart w:id="1504" w:name="_Toc103271152"/>
      <w:bookmarkStart w:id="1505" w:name="_Toc103258029"/>
      <w:bookmarkStart w:id="1506" w:name="_Toc103258316"/>
      <w:bookmarkStart w:id="1507" w:name="_Toc103258800"/>
      <w:bookmarkStart w:id="1508" w:name="_Toc103259838"/>
      <w:bookmarkStart w:id="1509" w:name="_Toc103271153"/>
      <w:bookmarkStart w:id="1510" w:name="_Toc103258030"/>
      <w:bookmarkStart w:id="1511" w:name="_Toc103258317"/>
      <w:bookmarkStart w:id="1512" w:name="_Toc103258801"/>
      <w:bookmarkStart w:id="1513" w:name="_Toc103259839"/>
      <w:bookmarkStart w:id="1514" w:name="_Toc103271154"/>
      <w:bookmarkStart w:id="1515" w:name="_Toc94623672"/>
      <w:bookmarkStart w:id="1516" w:name="_Toc94623986"/>
      <w:bookmarkStart w:id="1517" w:name="_Toc103258031"/>
      <w:bookmarkStart w:id="1518" w:name="_Toc103258318"/>
      <w:bookmarkStart w:id="1519" w:name="_Toc103258802"/>
      <w:bookmarkStart w:id="1520" w:name="_Toc103259840"/>
      <w:bookmarkStart w:id="1521" w:name="_Toc103271155"/>
      <w:bookmarkStart w:id="1522" w:name="_Toc103258032"/>
      <w:bookmarkStart w:id="1523" w:name="_Toc103258319"/>
      <w:bookmarkStart w:id="1524" w:name="_Toc103258803"/>
      <w:bookmarkStart w:id="1525" w:name="_Toc103259841"/>
      <w:bookmarkStart w:id="1526" w:name="_Toc103271156"/>
      <w:bookmarkStart w:id="1527" w:name="_Toc103258033"/>
      <w:bookmarkStart w:id="1528" w:name="_Toc103258320"/>
      <w:bookmarkStart w:id="1529" w:name="_Toc103258804"/>
      <w:bookmarkStart w:id="1530" w:name="_Toc103259842"/>
      <w:bookmarkStart w:id="1531" w:name="_Toc103271157"/>
      <w:bookmarkStart w:id="1532" w:name="_Toc103258034"/>
      <w:bookmarkStart w:id="1533" w:name="_Toc103258321"/>
      <w:bookmarkStart w:id="1534" w:name="_Toc103258805"/>
      <w:bookmarkStart w:id="1535" w:name="_Toc103259843"/>
      <w:bookmarkStart w:id="1536" w:name="_Toc103271158"/>
      <w:bookmarkStart w:id="1537" w:name="_Toc94623673"/>
      <w:bookmarkStart w:id="1538" w:name="_Toc94623987"/>
      <w:bookmarkStart w:id="1539" w:name="_Toc99723324"/>
      <w:bookmarkStart w:id="1540" w:name="_Toc94623674"/>
      <w:bookmarkStart w:id="1541" w:name="_Toc94623988"/>
      <w:bookmarkStart w:id="1542" w:name="_Toc99723325"/>
      <w:bookmarkStart w:id="1543" w:name="_Toc103258035"/>
      <w:bookmarkStart w:id="1544" w:name="_Toc103258322"/>
      <w:bookmarkStart w:id="1545" w:name="_Toc103258806"/>
      <w:bookmarkStart w:id="1546" w:name="_Toc103259844"/>
      <w:bookmarkStart w:id="1547" w:name="_Toc103271159"/>
      <w:bookmarkStart w:id="1548" w:name="_Toc103258036"/>
      <w:bookmarkStart w:id="1549" w:name="_Toc103258323"/>
      <w:bookmarkStart w:id="1550" w:name="_Toc103258807"/>
      <w:bookmarkStart w:id="1551" w:name="_Toc103259845"/>
      <w:bookmarkStart w:id="1552" w:name="_Toc103271160"/>
      <w:bookmarkStart w:id="1553" w:name="_Toc103258037"/>
      <w:bookmarkStart w:id="1554" w:name="_Toc103258324"/>
      <w:bookmarkStart w:id="1555" w:name="_Toc103258808"/>
      <w:bookmarkStart w:id="1556" w:name="_Toc103259846"/>
      <w:bookmarkStart w:id="1557" w:name="_Toc103271161"/>
      <w:bookmarkStart w:id="1558" w:name="_Toc103258038"/>
      <w:bookmarkStart w:id="1559" w:name="_Toc103258325"/>
      <w:bookmarkStart w:id="1560" w:name="_Toc103258809"/>
      <w:bookmarkStart w:id="1561" w:name="_Toc103259847"/>
      <w:bookmarkStart w:id="1562" w:name="_Toc103271162"/>
      <w:bookmarkStart w:id="1563" w:name="_Toc103258039"/>
      <w:bookmarkStart w:id="1564" w:name="_Toc103258326"/>
      <w:bookmarkStart w:id="1565" w:name="_Toc103258810"/>
      <w:bookmarkStart w:id="1566" w:name="_Toc103259848"/>
      <w:bookmarkStart w:id="1567" w:name="_Toc103271163"/>
      <w:bookmarkStart w:id="1568" w:name="_Toc94623676"/>
      <w:bookmarkStart w:id="1569" w:name="_Toc94623990"/>
      <w:bookmarkStart w:id="1570" w:name="_Toc103258040"/>
      <w:bookmarkStart w:id="1571" w:name="_Toc103258327"/>
      <w:bookmarkStart w:id="1572" w:name="_Toc103258811"/>
      <w:bookmarkStart w:id="1573" w:name="_Toc103259849"/>
      <w:bookmarkStart w:id="1574" w:name="_Toc103271164"/>
      <w:bookmarkStart w:id="1575" w:name="_Toc103258041"/>
      <w:bookmarkStart w:id="1576" w:name="_Toc103258328"/>
      <w:bookmarkStart w:id="1577" w:name="_Toc103258812"/>
      <w:bookmarkStart w:id="1578" w:name="_Toc103259850"/>
      <w:bookmarkStart w:id="1579" w:name="_Toc103271165"/>
      <w:bookmarkStart w:id="1580" w:name="_Toc103258042"/>
      <w:bookmarkStart w:id="1581" w:name="_Toc103258329"/>
      <w:bookmarkStart w:id="1582" w:name="_Toc103258813"/>
      <w:bookmarkStart w:id="1583" w:name="_Toc103259851"/>
      <w:bookmarkStart w:id="1584" w:name="_Toc103271166"/>
      <w:bookmarkStart w:id="1585" w:name="_Toc103258043"/>
      <w:bookmarkStart w:id="1586" w:name="_Toc103258330"/>
      <w:bookmarkStart w:id="1587" w:name="_Toc103258814"/>
      <w:bookmarkStart w:id="1588" w:name="_Toc103259852"/>
      <w:bookmarkStart w:id="1589" w:name="_Toc103271167"/>
      <w:bookmarkStart w:id="1590" w:name="_Toc103258044"/>
      <w:bookmarkStart w:id="1591" w:name="_Toc103258331"/>
      <w:bookmarkStart w:id="1592" w:name="_Toc103258815"/>
      <w:bookmarkStart w:id="1593" w:name="_Toc103259853"/>
      <w:bookmarkStart w:id="1594" w:name="_Toc103271168"/>
      <w:bookmarkStart w:id="1595" w:name="_Toc103258045"/>
      <w:bookmarkStart w:id="1596" w:name="_Toc103258332"/>
      <w:bookmarkStart w:id="1597" w:name="_Toc103258816"/>
      <w:bookmarkStart w:id="1598" w:name="_Toc103259854"/>
      <w:bookmarkStart w:id="1599" w:name="_Toc103271169"/>
      <w:bookmarkStart w:id="1600" w:name="_Toc94623650"/>
      <w:bookmarkStart w:id="1601" w:name="_Toc94623964"/>
      <w:bookmarkStart w:id="1602" w:name="_Toc103258046"/>
      <w:bookmarkStart w:id="1603" w:name="_Toc103258333"/>
      <w:bookmarkStart w:id="1604" w:name="_Toc103258817"/>
      <w:bookmarkStart w:id="1605" w:name="_Toc103259855"/>
      <w:bookmarkStart w:id="1606" w:name="_Toc103271170"/>
      <w:bookmarkStart w:id="1607" w:name="_Toc103258047"/>
      <w:bookmarkStart w:id="1608" w:name="_Toc103258334"/>
      <w:bookmarkStart w:id="1609" w:name="_Toc103258818"/>
      <w:bookmarkStart w:id="1610" w:name="_Toc103259856"/>
      <w:bookmarkStart w:id="1611" w:name="_Toc103271171"/>
      <w:bookmarkStart w:id="1612" w:name="_Toc94623651"/>
      <w:bookmarkStart w:id="1613" w:name="_Toc94623965"/>
      <w:bookmarkStart w:id="1614" w:name="_Toc103258048"/>
      <w:bookmarkStart w:id="1615" w:name="_Toc103258335"/>
      <w:bookmarkStart w:id="1616" w:name="_Toc103258819"/>
      <w:bookmarkStart w:id="1617" w:name="_Toc103259857"/>
      <w:bookmarkStart w:id="1618" w:name="_Toc103271172"/>
      <w:bookmarkStart w:id="1619" w:name="_Toc103258049"/>
      <w:bookmarkStart w:id="1620" w:name="_Toc103258336"/>
      <w:bookmarkStart w:id="1621" w:name="_Toc103258820"/>
      <w:bookmarkStart w:id="1622" w:name="_Toc103259858"/>
      <w:bookmarkStart w:id="1623" w:name="_Toc103271173"/>
      <w:bookmarkStart w:id="1624" w:name="_Toc103258050"/>
      <w:bookmarkStart w:id="1625" w:name="_Toc103258337"/>
      <w:bookmarkStart w:id="1626" w:name="_Toc103258821"/>
      <w:bookmarkStart w:id="1627" w:name="_Toc103259859"/>
      <w:bookmarkStart w:id="1628" w:name="_Toc103271174"/>
      <w:bookmarkStart w:id="1629" w:name="_Toc103258051"/>
      <w:bookmarkStart w:id="1630" w:name="_Toc103258338"/>
      <w:bookmarkStart w:id="1631" w:name="_Toc103258822"/>
      <w:bookmarkStart w:id="1632" w:name="_Toc103259860"/>
      <w:bookmarkStart w:id="1633" w:name="_Toc103271175"/>
      <w:bookmarkStart w:id="1634" w:name="_Toc103258052"/>
      <w:bookmarkStart w:id="1635" w:name="_Toc103258339"/>
      <w:bookmarkStart w:id="1636" w:name="_Toc103258823"/>
      <w:bookmarkStart w:id="1637" w:name="_Toc103259861"/>
      <w:bookmarkStart w:id="1638" w:name="_Toc103271176"/>
      <w:bookmarkStart w:id="1639" w:name="_Toc94623652"/>
      <w:bookmarkStart w:id="1640" w:name="_Toc94623966"/>
      <w:bookmarkStart w:id="1641" w:name="_Toc103258053"/>
      <w:bookmarkStart w:id="1642" w:name="_Toc103258340"/>
      <w:bookmarkStart w:id="1643" w:name="_Toc103258824"/>
      <w:bookmarkStart w:id="1644" w:name="_Toc103259862"/>
      <w:bookmarkStart w:id="1645" w:name="_Toc103271177"/>
      <w:bookmarkStart w:id="1646" w:name="_Toc103258054"/>
      <w:bookmarkStart w:id="1647" w:name="_Toc103258341"/>
      <w:bookmarkStart w:id="1648" w:name="_Toc103258825"/>
      <w:bookmarkStart w:id="1649" w:name="_Toc103259863"/>
      <w:bookmarkStart w:id="1650" w:name="_Toc103271178"/>
      <w:bookmarkStart w:id="1651" w:name="_Toc103258055"/>
      <w:bookmarkStart w:id="1652" w:name="_Toc103258342"/>
      <w:bookmarkStart w:id="1653" w:name="_Toc103258826"/>
      <w:bookmarkStart w:id="1654" w:name="_Toc103259864"/>
      <w:bookmarkStart w:id="1655" w:name="_Toc103271179"/>
      <w:bookmarkStart w:id="1656" w:name="_Toc94623653"/>
      <w:bookmarkStart w:id="1657" w:name="_Toc94623967"/>
      <w:bookmarkStart w:id="1658" w:name="_Toc103258056"/>
      <w:bookmarkStart w:id="1659" w:name="_Toc103258343"/>
      <w:bookmarkStart w:id="1660" w:name="_Toc103258827"/>
      <w:bookmarkStart w:id="1661" w:name="_Toc103259865"/>
      <w:bookmarkStart w:id="1662" w:name="_Toc103271180"/>
      <w:bookmarkStart w:id="1663" w:name="_Toc103258057"/>
      <w:bookmarkStart w:id="1664" w:name="_Toc103258344"/>
      <w:bookmarkStart w:id="1665" w:name="_Toc103258828"/>
      <w:bookmarkStart w:id="1666" w:name="_Toc103259866"/>
      <w:bookmarkStart w:id="1667" w:name="_Toc103271181"/>
      <w:bookmarkStart w:id="1668" w:name="_Toc103258058"/>
      <w:bookmarkStart w:id="1669" w:name="_Toc103258345"/>
      <w:bookmarkStart w:id="1670" w:name="_Toc103258829"/>
      <w:bookmarkStart w:id="1671" w:name="_Toc103259867"/>
      <w:bookmarkStart w:id="1672" w:name="_Toc103271182"/>
      <w:bookmarkStart w:id="1673" w:name="_Toc103258059"/>
      <w:bookmarkStart w:id="1674" w:name="_Toc103258346"/>
      <w:bookmarkStart w:id="1675" w:name="_Toc103258830"/>
      <w:bookmarkStart w:id="1676" w:name="_Toc103259868"/>
      <w:bookmarkStart w:id="1677" w:name="_Toc103271183"/>
      <w:bookmarkStart w:id="1678" w:name="_Toc103258060"/>
      <w:bookmarkStart w:id="1679" w:name="_Toc103258347"/>
      <w:bookmarkStart w:id="1680" w:name="_Toc103258831"/>
      <w:bookmarkStart w:id="1681" w:name="_Toc103259869"/>
      <w:bookmarkStart w:id="1682" w:name="_Toc103271184"/>
      <w:bookmarkStart w:id="1683" w:name="_Toc103258061"/>
      <w:bookmarkStart w:id="1684" w:name="_Toc103258348"/>
      <w:bookmarkStart w:id="1685" w:name="_Toc103258832"/>
      <w:bookmarkStart w:id="1686" w:name="_Toc103259870"/>
      <w:bookmarkStart w:id="1687" w:name="_Toc103271185"/>
      <w:bookmarkStart w:id="1688" w:name="_Toc94623654"/>
      <w:bookmarkStart w:id="1689" w:name="_Toc94623968"/>
      <w:bookmarkStart w:id="1690" w:name="_Toc99723330"/>
      <w:bookmarkStart w:id="1691" w:name="_Toc94623655"/>
      <w:bookmarkStart w:id="1692" w:name="_Toc94623969"/>
      <w:bookmarkStart w:id="1693" w:name="_Toc99723331"/>
      <w:bookmarkStart w:id="1694" w:name="_Toc94623656"/>
      <w:bookmarkStart w:id="1695" w:name="_Toc94623970"/>
      <w:bookmarkStart w:id="1696" w:name="_Toc99723332"/>
      <w:bookmarkStart w:id="1697" w:name="_Toc94623657"/>
      <w:bookmarkStart w:id="1698" w:name="_Toc94623971"/>
      <w:bookmarkStart w:id="1699" w:name="_Toc99723333"/>
      <w:bookmarkStart w:id="1700" w:name="_Toc94623658"/>
      <w:bookmarkStart w:id="1701" w:name="_Toc94623972"/>
      <w:bookmarkStart w:id="1702" w:name="_Toc99723334"/>
      <w:bookmarkStart w:id="1703" w:name="_Toc94623659"/>
      <w:bookmarkStart w:id="1704" w:name="_Toc94623973"/>
      <w:bookmarkStart w:id="1705" w:name="_Toc99723335"/>
      <w:bookmarkStart w:id="1706" w:name="_Toc94623660"/>
      <w:bookmarkStart w:id="1707" w:name="_Toc94623974"/>
      <w:bookmarkStart w:id="1708" w:name="_Toc99723336"/>
      <w:bookmarkStart w:id="1709" w:name="_Toc94623661"/>
      <w:bookmarkStart w:id="1710" w:name="_Toc94623975"/>
      <w:bookmarkStart w:id="1711" w:name="_Toc103258062"/>
      <w:bookmarkStart w:id="1712" w:name="_Toc103258349"/>
      <w:bookmarkStart w:id="1713" w:name="_Toc103258833"/>
      <w:bookmarkStart w:id="1714" w:name="_Toc103259871"/>
      <w:bookmarkStart w:id="1715" w:name="_Toc103271186"/>
      <w:bookmarkStart w:id="1716" w:name="_Toc103258063"/>
      <w:bookmarkStart w:id="1717" w:name="_Toc103258350"/>
      <w:bookmarkStart w:id="1718" w:name="_Toc103258834"/>
      <w:bookmarkStart w:id="1719" w:name="_Toc103259872"/>
      <w:bookmarkStart w:id="1720" w:name="_Toc103271187"/>
      <w:bookmarkStart w:id="1721" w:name="_Toc103258064"/>
      <w:bookmarkStart w:id="1722" w:name="_Toc103258351"/>
      <w:bookmarkStart w:id="1723" w:name="_Toc103258835"/>
      <w:bookmarkStart w:id="1724" w:name="_Toc103259873"/>
      <w:bookmarkStart w:id="1725" w:name="_Toc103271188"/>
      <w:bookmarkStart w:id="1726" w:name="_Toc103258065"/>
      <w:bookmarkStart w:id="1727" w:name="_Toc103258352"/>
      <w:bookmarkStart w:id="1728" w:name="_Toc103258836"/>
      <w:bookmarkStart w:id="1729" w:name="_Toc103259874"/>
      <w:bookmarkStart w:id="1730" w:name="_Toc103271189"/>
      <w:bookmarkStart w:id="1731" w:name="_Toc94798192"/>
      <w:bookmarkStart w:id="1732" w:name="_Toc94872118"/>
      <w:bookmarkStart w:id="1733" w:name="_Toc94885347"/>
      <w:bookmarkStart w:id="1734" w:name="_Toc94885782"/>
      <w:bookmarkStart w:id="1735" w:name="_Toc94886220"/>
      <w:bookmarkStart w:id="1736" w:name="_Toc99723338"/>
      <w:bookmarkStart w:id="1737" w:name="_Toc94623662"/>
      <w:bookmarkStart w:id="1738" w:name="_Toc94623976"/>
      <w:bookmarkStart w:id="1739" w:name="_Toc99723339"/>
      <w:bookmarkStart w:id="1740" w:name="_Toc94623663"/>
      <w:bookmarkStart w:id="1741" w:name="_Toc94623977"/>
      <w:bookmarkStart w:id="1742" w:name="_Toc99723340"/>
      <w:bookmarkStart w:id="1743" w:name="_Toc94623664"/>
      <w:bookmarkStart w:id="1744" w:name="_Toc94623978"/>
      <w:bookmarkStart w:id="1745" w:name="_Toc99723341"/>
      <w:bookmarkStart w:id="1746" w:name="_Toc94623665"/>
      <w:bookmarkStart w:id="1747" w:name="_Toc94623979"/>
      <w:bookmarkStart w:id="1748" w:name="_Toc99723342"/>
      <w:bookmarkStart w:id="1749" w:name="_Toc94623666"/>
      <w:bookmarkStart w:id="1750" w:name="_Toc94623980"/>
      <w:bookmarkStart w:id="1751" w:name="_Toc99723343"/>
      <w:bookmarkStart w:id="1752" w:name="_Toc492494255"/>
      <w:bookmarkStart w:id="1753" w:name="_Toc492504486"/>
      <w:bookmarkStart w:id="1754" w:name="_Toc492504744"/>
      <w:bookmarkStart w:id="1755" w:name="_Toc492494256"/>
      <w:bookmarkStart w:id="1756" w:name="_Toc492504487"/>
      <w:bookmarkStart w:id="1757" w:name="_Toc492504745"/>
      <w:bookmarkStart w:id="1758" w:name="_Toc492494257"/>
      <w:bookmarkStart w:id="1759" w:name="_Toc492504488"/>
      <w:bookmarkStart w:id="1760" w:name="_Toc492504746"/>
      <w:bookmarkStart w:id="1761" w:name="_Toc492494258"/>
      <w:bookmarkStart w:id="1762" w:name="_Toc492504489"/>
      <w:bookmarkStart w:id="1763" w:name="_Toc492504747"/>
      <w:bookmarkStart w:id="1764" w:name="_Toc492494259"/>
      <w:bookmarkStart w:id="1765" w:name="_Toc492504490"/>
      <w:bookmarkStart w:id="1766" w:name="_Toc492504748"/>
      <w:bookmarkStart w:id="1767" w:name="_Toc492494260"/>
      <w:bookmarkStart w:id="1768" w:name="_Toc492504491"/>
      <w:bookmarkStart w:id="1769" w:name="_Toc492504749"/>
      <w:bookmarkStart w:id="1770" w:name="_Toc492494261"/>
      <w:bookmarkStart w:id="1771" w:name="_Toc492504492"/>
      <w:bookmarkStart w:id="1772" w:name="_Toc492504750"/>
      <w:bookmarkStart w:id="1773" w:name="_Toc492494262"/>
      <w:bookmarkStart w:id="1774" w:name="_Toc492504493"/>
      <w:bookmarkStart w:id="1775" w:name="_Toc492504751"/>
      <w:bookmarkStart w:id="1776" w:name="_Toc492494263"/>
      <w:bookmarkStart w:id="1777" w:name="_Toc492504494"/>
      <w:bookmarkStart w:id="1778" w:name="_Toc492504752"/>
      <w:bookmarkStart w:id="1779" w:name="_Toc94623667"/>
      <w:bookmarkStart w:id="1780" w:name="_Toc94623981"/>
      <w:bookmarkStart w:id="1781" w:name="_Toc99723344"/>
      <w:bookmarkStart w:id="1782" w:name="_Toc94623668"/>
      <w:bookmarkStart w:id="1783" w:name="_Toc94623982"/>
      <w:bookmarkStart w:id="1784" w:name="_Toc99723345"/>
      <w:bookmarkStart w:id="1785" w:name="_Toc94623669"/>
      <w:bookmarkStart w:id="1786" w:name="_Toc94623983"/>
      <w:bookmarkStart w:id="1787" w:name="_Toc99723346"/>
      <w:bookmarkStart w:id="1788" w:name="_Toc94623670"/>
      <w:bookmarkStart w:id="1789" w:name="_Toc94623984"/>
      <w:bookmarkStart w:id="1790" w:name="_Toc99723347"/>
      <w:bookmarkStart w:id="1791" w:name="_Toc94623671"/>
      <w:bookmarkStart w:id="1792" w:name="_Toc94623985"/>
      <w:bookmarkStart w:id="1793" w:name="_Toc99723348"/>
      <w:bookmarkStart w:id="1794" w:name="_Toc94623677"/>
      <w:bookmarkStart w:id="1795" w:name="_Toc94623991"/>
      <w:bookmarkStart w:id="1796" w:name="_Toc99723349"/>
      <w:bookmarkStart w:id="1797" w:name="_Toc94623678"/>
      <w:bookmarkStart w:id="1798" w:name="_Toc94623992"/>
      <w:bookmarkStart w:id="1799" w:name="_Toc99723350"/>
      <w:bookmarkStart w:id="1800" w:name="_Toc94623679"/>
      <w:bookmarkStart w:id="1801" w:name="_Toc94623993"/>
      <w:bookmarkStart w:id="1802" w:name="_Toc99723351"/>
      <w:bookmarkStart w:id="1803" w:name="_Toc94623680"/>
      <w:bookmarkStart w:id="1804" w:name="_Toc94623994"/>
      <w:bookmarkStart w:id="1805" w:name="_Toc99723352"/>
      <w:bookmarkStart w:id="1806" w:name="_Toc94886228"/>
      <w:bookmarkStart w:id="1807" w:name="_Toc99723353"/>
      <w:bookmarkStart w:id="1808" w:name="_Toc511727129"/>
      <w:bookmarkStart w:id="1809" w:name="_Toc511729559"/>
      <w:bookmarkStart w:id="1810" w:name="_Toc511729824"/>
      <w:bookmarkStart w:id="1811" w:name="_Toc511727130"/>
      <w:bookmarkStart w:id="1812" w:name="_Toc511729560"/>
      <w:bookmarkStart w:id="1813" w:name="_Toc511729825"/>
      <w:bookmarkStart w:id="1814" w:name="_Toc511727131"/>
      <w:bookmarkStart w:id="1815" w:name="_Toc511729561"/>
      <w:bookmarkStart w:id="1816" w:name="_Toc511729826"/>
      <w:bookmarkStart w:id="1817" w:name="_Toc511727132"/>
      <w:bookmarkStart w:id="1818" w:name="_Toc511729562"/>
      <w:bookmarkStart w:id="1819" w:name="_Toc511729827"/>
      <w:bookmarkStart w:id="1820" w:name="_Toc511727133"/>
      <w:bookmarkStart w:id="1821" w:name="_Toc511729563"/>
      <w:bookmarkStart w:id="1822" w:name="_Toc511729828"/>
      <w:bookmarkStart w:id="1823" w:name="_Toc511727134"/>
      <w:bookmarkStart w:id="1824" w:name="_Toc511729564"/>
      <w:bookmarkStart w:id="1825" w:name="_Toc511729829"/>
      <w:bookmarkStart w:id="1826" w:name="_Toc103258066"/>
      <w:bookmarkStart w:id="1827" w:name="_Toc103258353"/>
      <w:bookmarkStart w:id="1828" w:name="_Toc103258837"/>
      <w:bookmarkStart w:id="1829" w:name="_Toc103259875"/>
      <w:bookmarkStart w:id="1830" w:name="_Toc103271190"/>
      <w:bookmarkStart w:id="1831" w:name="_Toc103258067"/>
      <w:bookmarkStart w:id="1832" w:name="_Toc103258354"/>
      <w:bookmarkStart w:id="1833" w:name="_Toc103258838"/>
      <w:bookmarkStart w:id="1834" w:name="_Toc103259876"/>
      <w:bookmarkStart w:id="1835" w:name="_Toc103271191"/>
      <w:bookmarkStart w:id="1836" w:name="_Toc103258068"/>
      <w:bookmarkStart w:id="1837" w:name="_Toc103258355"/>
      <w:bookmarkStart w:id="1838" w:name="_Toc103258839"/>
      <w:bookmarkStart w:id="1839" w:name="_Toc103259877"/>
      <w:bookmarkStart w:id="1840" w:name="_Toc103271192"/>
      <w:bookmarkStart w:id="1841" w:name="_Toc103258069"/>
      <w:bookmarkStart w:id="1842" w:name="_Toc103258356"/>
      <w:bookmarkStart w:id="1843" w:name="_Toc103258840"/>
      <w:bookmarkStart w:id="1844" w:name="_Toc103259878"/>
      <w:bookmarkStart w:id="1845" w:name="_Toc103271193"/>
      <w:bookmarkStart w:id="1846" w:name="_Toc103258070"/>
      <w:bookmarkStart w:id="1847" w:name="_Toc103258357"/>
      <w:bookmarkStart w:id="1848" w:name="_Toc103258841"/>
      <w:bookmarkStart w:id="1849" w:name="_Toc103259879"/>
      <w:bookmarkStart w:id="1850" w:name="_Toc103271194"/>
      <w:bookmarkStart w:id="1851" w:name="_Toc103258071"/>
      <w:bookmarkStart w:id="1852" w:name="_Toc103258358"/>
      <w:bookmarkStart w:id="1853" w:name="_Toc103258842"/>
      <w:bookmarkStart w:id="1854" w:name="_Toc103259880"/>
      <w:bookmarkStart w:id="1855" w:name="_Toc103271195"/>
      <w:bookmarkStart w:id="1856" w:name="_Toc103258072"/>
      <w:bookmarkStart w:id="1857" w:name="_Toc103258359"/>
      <w:bookmarkStart w:id="1858" w:name="_Toc103258843"/>
      <w:bookmarkStart w:id="1859" w:name="_Toc103259881"/>
      <w:bookmarkStart w:id="1860" w:name="_Toc103271196"/>
      <w:bookmarkStart w:id="1861" w:name="_Toc103258073"/>
      <w:bookmarkStart w:id="1862" w:name="_Toc103258360"/>
      <w:bookmarkStart w:id="1863" w:name="_Toc103258844"/>
      <w:bookmarkStart w:id="1864" w:name="_Toc103259882"/>
      <w:bookmarkStart w:id="1865" w:name="_Toc103271197"/>
      <w:bookmarkStart w:id="1866" w:name="_Toc103258074"/>
      <w:bookmarkStart w:id="1867" w:name="_Toc103258361"/>
      <w:bookmarkStart w:id="1868" w:name="_Toc103258845"/>
      <w:bookmarkStart w:id="1869" w:name="_Toc103259883"/>
      <w:bookmarkStart w:id="1870" w:name="_Toc103271198"/>
      <w:bookmarkStart w:id="1871" w:name="_Toc103258075"/>
      <w:bookmarkStart w:id="1872" w:name="_Toc103258362"/>
      <w:bookmarkStart w:id="1873" w:name="_Toc103258846"/>
      <w:bookmarkStart w:id="1874" w:name="_Toc103259884"/>
      <w:bookmarkStart w:id="1875" w:name="_Toc103271199"/>
      <w:bookmarkStart w:id="1876" w:name="_Toc103258076"/>
      <w:bookmarkStart w:id="1877" w:name="_Toc103258363"/>
      <w:bookmarkStart w:id="1878" w:name="_Toc103258847"/>
      <w:bookmarkStart w:id="1879" w:name="_Toc103259885"/>
      <w:bookmarkStart w:id="1880" w:name="_Toc103271200"/>
      <w:bookmarkStart w:id="1881" w:name="_Toc103258077"/>
      <w:bookmarkStart w:id="1882" w:name="_Toc103258364"/>
      <w:bookmarkStart w:id="1883" w:name="_Toc103258848"/>
      <w:bookmarkStart w:id="1884" w:name="_Toc103259886"/>
      <w:bookmarkStart w:id="1885" w:name="_Toc103271201"/>
      <w:bookmarkStart w:id="1886" w:name="_Toc103258078"/>
      <w:bookmarkStart w:id="1887" w:name="_Toc103258365"/>
      <w:bookmarkStart w:id="1888" w:name="_Toc103258849"/>
      <w:bookmarkStart w:id="1889" w:name="_Toc103259887"/>
      <w:bookmarkStart w:id="1890" w:name="_Toc103271202"/>
      <w:bookmarkStart w:id="1891" w:name="_Toc103258079"/>
      <w:bookmarkStart w:id="1892" w:name="_Toc103258366"/>
      <w:bookmarkStart w:id="1893" w:name="_Toc103258850"/>
      <w:bookmarkStart w:id="1894" w:name="_Toc103259888"/>
      <w:bookmarkStart w:id="1895" w:name="_Toc103271203"/>
      <w:bookmarkStart w:id="1896" w:name="_Toc103258080"/>
      <w:bookmarkStart w:id="1897" w:name="_Toc103258367"/>
      <w:bookmarkStart w:id="1898" w:name="_Toc103258851"/>
      <w:bookmarkStart w:id="1899" w:name="_Toc103259889"/>
      <w:bookmarkStart w:id="1900" w:name="_Toc103271204"/>
      <w:bookmarkStart w:id="1901" w:name="_Toc103258081"/>
      <w:bookmarkStart w:id="1902" w:name="_Toc103258368"/>
      <w:bookmarkStart w:id="1903" w:name="_Toc103258852"/>
      <w:bookmarkStart w:id="1904" w:name="_Toc103259890"/>
      <w:bookmarkStart w:id="1905" w:name="_Toc103271205"/>
      <w:bookmarkStart w:id="1906" w:name="_Toc103258082"/>
      <w:bookmarkStart w:id="1907" w:name="_Toc103258369"/>
      <w:bookmarkStart w:id="1908" w:name="_Toc103258853"/>
      <w:bookmarkStart w:id="1909" w:name="_Toc103259891"/>
      <w:bookmarkStart w:id="1910" w:name="_Toc103271206"/>
      <w:bookmarkStart w:id="1911" w:name="_Toc103258083"/>
      <w:bookmarkStart w:id="1912" w:name="_Toc103258370"/>
      <w:bookmarkStart w:id="1913" w:name="_Toc103258854"/>
      <w:bookmarkStart w:id="1914" w:name="_Toc103259892"/>
      <w:bookmarkStart w:id="1915" w:name="_Toc103271207"/>
      <w:bookmarkStart w:id="1916" w:name="_Toc103258084"/>
      <w:bookmarkStart w:id="1917" w:name="_Toc103258371"/>
      <w:bookmarkStart w:id="1918" w:name="_Toc103258855"/>
      <w:bookmarkStart w:id="1919" w:name="_Toc103259893"/>
      <w:bookmarkStart w:id="1920" w:name="_Toc103271208"/>
      <w:bookmarkStart w:id="1921" w:name="_Toc103258085"/>
      <w:bookmarkStart w:id="1922" w:name="_Toc103258372"/>
      <w:bookmarkStart w:id="1923" w:name="_Toc103258856"/>
      <w:bookmarkStart w:id="1924" w:name="_Toc103259894"/>
      <w:bookmarkStart w:id="1925" w:name="_Toc103271209"/>
      <w:bookmarkStart w:id="1926" w:name="_Toc103258086"/>
      <w:bookmarkStart w:id="1927" w:name="_Toc103258373"/>
      <w:bookmarkStart w:id="1928" w:name="_Toc103258857"/>
      <w:bookmarkStart w:id="1929" w:name="_Toc103259895"/>
      <w:bookmarkStart w:id="1930" w:name="_Toc103271210"/>
      <w:bookmarkStart w:id="1931" w:name="_Toc103258087"/>
      <w:bookmarkStart w:id="1932" w:name="_Toc103258374"/>
      <w:bookmarkStart w:id="1933" w:name="_Toc103258858"/>
      <w:bookmarkStart w:id="1934" w:name="_Toc103259896"/>
      <w:bookmarkStart w:id="1935" w:name="_Toc103271211"/>
      <w:bookmarkStart w:id="1936" w:name="_Toc103258088"/>
      <w:bookmarkStart w:id="1937" w:name="_Toc103258375"/>
      <w:bookmarkStart w:id="1938" w:name="_Toc103258859"/>
      <w:bookmarkStart w:id="1939" w:name="_Toc103259897"/>
      <w:bookmarkStart w:id="1940" w:name="_Toc103271212"/>
      <w:bookmarkStart w:id="1941" w:name="_Toc94781237"/>
      <w:bookmarkStart w:id="1942" w:name="_Toc94782147"/>
      <w:bookmarkStart w:id="1943" w:name="_Toc94782469"/>
      <w:bookmarkStart w:id="1944" w:name="_Toc94798202"/>
      <w:bookmarkStart w:id="1945" w:name="_Toc94872128"/>
      <w:bookmarkStart w:id="1946" w:name="_Toc94885357"/>
      <w:bookmarkStart w:id="1947" w:name="_Toc94885792"/>
      <w:bookmarkStart w:id="1948" w:name="_Toc94886231"/>
      <w:bookmarkStart w:id="1949" w:name="_Toc99723356"/>
      <w:bookmarkStart w:id="1950" w:name="_Toc94781238"/>
      <w:bookmarkStart w:id="1951" w:name="_Toc94782148"/>
      <w:bookmarkStart w:id="1952" w:name="_Toc94782470"/>
      <w:bookmarkStart w:id="1953" w:name="_Toc94798203"/>
      <w:bookmarkStart w:id="1954" w:name="_Toc94872129"/>
      <w:bookmarkStart w:id="1955" w:name="_Toc94885358"/>
      <w:bookmarkStart w:id="1956" w:name="_Toc94885793"/>
      <w:bookmarkStart w:id="1957" w:name="_Toc94886232"/>
      <w:bookmarkStart w:id="1958" w:name="_Toc99723357"/>
      <w:bookmarkStart w:id="1959" w:name="_Toc94781239"/>
      <w:bookmarkStart w:id="1960" w:name="_Toc94782149"/>
      <w:bookmarkStart w:id="1961" w:name="_Toc94782471"/>
      <w:bookmarkStart w:id="1962" w:name="_Toc94798204"/>
      <w:bookmarkStart w:id="1963" w:name="_Toc94872130"/>
      <w:bookmarkStart w:id="1964" w:name="_Toc94885359"/>
      <w:bookmarkStart w:id="1965" w:name="_Toc94885794"/>
      <w:bookmarkStart w:id="1966" w:name="_Toc94886233"/>
      <w:bookmarkStart w:id="1967" w:name="_Toc99723358"/>
      <w:bookmarkStart w:id="1968" w:name="_Toc94781240"/>
      <w:bookmarkStart w:id="1969" w:name="_Toc94782150"/>
      <w:bookmarkStart w:id="1970" w:name="_Toc94782472"/>
      <w:bookmarkStart w:id="1971" w:name="_Toc94798205"/>
      <w:bookmarkStart w:id="1972" w:name="_Toc94872131"/>
      <w:bookmarkStart w:id="1973" w:name="_Toc94885360"/>
      <w:bookmarkStart w:id="1974" w:name="_Toc94885795"/>
      <w:bookmarkStart w:id="1975" w:name="_Toc94886234"/>
      <w:bookmarkStart w:id="1976" w:name="_Toc99723359"/>
      <w:bookmarkStart w:id="1977" w:name="_Toc94781241"/>
      <w:bookmarkStart w:id="1978" w:name="_Toc94782151"/>
      <w:bookmarkStart w:id="1979" w:name="_Toc94782473"/>
      <w:bookmarkStart w:id="1980" w:name="_Toc94798206"/>
      <w:bookmarkStart w:id="1981" w:name="_Toc94872132"/>
      <w:bookmarkStart w:id="1982" w:name="_Toc94885361"/>
      <w:bookmarkStart w:id="1983" w:name="_Toc94885796"/>
      <w:bookmarkStart w:id="1984" w:name="_Toc94886235"/>
      <w:bookmarkStart w:id="1985" w:name="_Toc99723360"/>
      <w:bookmarkStart w:id="1986" w:name="_Toc94781242"/>
      <w:bookmarkStart w:id="1987" w:name="_Toc94782152"/>
      <w:bookmarkStart w:id="1988" w:name="_Toc94782474"/>
      <w:bookmarkStart w:id="1989" w:name="_Toc94798207"/>
      <w:bookmarkStart w:id="1990" w:name="_Toc94872133"/>
      <w:bookmarkStart w:id="1991" w:name="_Toc94885362"/>
      <w:bookmarkStart w:id="1992" w:name="_Toc94885797"/>
      <w:bookmarkStart w:id="1993" w:name="_Toc94886236"/>
      <w:bookmarkStart w:id="1994" w:name="_Toc99723361"/>
      <w:bookmarkStart w:id="1995" w:name="_Toc94781243"/>
      <w:bookmarkStart w:id="1996" w:name="_Toc94782153"/>
      <w:bookmarkStart w:id="1997" w:name="_Toc94782475"/>
      <w:bookmarkStart w:id="1998" w:name="_Toc94798208"/>
      <w:bookmarkStart w:id="1999" w:name="_Toc94872134"/>
      <w:bookmarkStart w:id="2000" w:name="_Toc94885363"/>
      <w:bookmarkStart w:id="2001" w:name="_Toc94885798"/>
      <w:bookmarkStart w:id="2002" w:name="_Toc94886237"/>
      <w:bookmarkStart w:id="2003" w:name="_Toc99723362"/>
      <w:bookmarkStart w:id="2004" w:name="_Toc94781244"/>
      <w:bookmarkStart w:id="2005" w:name="_Toc94782154"/>
      <w:bookmarkStart w:id="2006" w:name="_Toc94782476"/>
      <w:bookmarkStart w:id="2007" w:name="_Toc94798209"/>
      <w:bookmarkStart w:id="2008" w:name="_Toc94872135"/>
      <w:bookmarkStart w:id="2009" w:name="_Toc94885364"/>
      <w:bookmarkStart w:id="2010" w:name="_Toc94885799"/>
      <w:bookmarkStart w:id="2011" w:name="_Toc94886238"/>
      <w:bookmarkStart w:id="2012" w:name="_Toc99723363"/>
      <w:bookmarkStart w:id="2013" w:name="_Toc94781245"/>
      <w:bookmarkStart w:id="2014" w:name="_Toc94782155"/>
      <w:bookmarkStart w:id="2015" w:name="_Toc94782477"/>
      <w:bookmarkStart w:id="2016" w:name="_Toc94798210"/>
      <w:bookmarkStart w:id="2017" w:name="_Toc94872136"/>
      <w:bookmarkStart w:id="2018" w:name="_Toc94885365"/>
      <w:bookmarkStart w:id="2019" w:name="_Toc94885800"/>
      <w:bookmarkStart w:id="2020" w:name="_Toc94886239"/>
      <w:bookmarkStart w:id="2021" w:name="_Toc99723364"/>
      <w:bookmarkStart w:id="2022" w:name="_Toc94781246"/>
      <w:bookmarkStart w:id="2023" w:name="_Toc94782156"/>
      <w:bookmarkStart w:id="2024" w:name="_Toc94782478"/>
      <w:bookmarkStart w:id="2025" w:name="_Toc94798211"/>
      <w:bookmarkStart w:id="2026" w:name="_Toc94872137"/>
      <w:bookmarkStart w:id="2027" w:name="_Toc94885366"/>
      <w:bookmarkStart w:id="2028" w:name="_Toc94885801"/>
      <w:bookmarkStart w:id="2029" w:name="_Toc94886240"/>
      <w:bookmarkStart w:id="2030" w:name="_Toc99723365"/>
      <w:bookmarkStart w:id="2031" w:name="_Toc94781247"/>
      <w:bookmarkStart w:id="2032" w:name="_Toc94782157"/>
      <w:bookmarkStart w:id="2033" w:name="_Toc94782479"/>
      <w:bookmarkStart w:id="2034" w:name="_Toc94798212"/>
      <w:bookmarkStart w:id="2035" w:name="_Toc94872138"/>
      <w:bookmarkStart w:id="2036" w:name="_Toc94885367"/>
      <w:bookmarkStart w:id="2037" w:name="_Toc94885802"/>
      <w:bookmarkStart w:id="2038" w:name="_Toc94886241"/>
      <w:bookmarkStart w:id="2039" w:name="_Toc99723366"/>
      <w:bookmarkStart w:id="2040" w:name="_Toc94781248"/>
      <w:bookmarkStart w:id="2041" w:name="_Toc94782158"/>
      <w:bookmarkStart w:id="2042" w:name="_Toc94782480"/>
      <w:bookmarkStart w:id="2043" w:name="_Toc94798213"/>
      <w:bookmarkStart w:id="2044" w:name="_Toc94872139"/>
      <w:bookmarkStart w:id="2045" w:name="_Toc94885368"/>
      <w:bookmarkStart w:id="2046" w:name="_Toc94885803"/>
      <w:bookmarkStart w:id="2047" w:name="_Toc94886242"/>
      <w:bookmarkStart w:id="2048" w:name="_Toc99723367"/>
      <w:bookmarkStart w:id="2049" w:name="_Toc94781249"/>
      <w:bookmarkStart w:id="2050" w:name="_Toc94782159"/>
      <w:bookmarkStart w:id="2051" w:name="_Toc94782481"/>
      <w:bookmarkStart w:id="2052" w:name="_Toc94798214"/>
      <w:bookmarkStart w:id="2053" w:name="_Toc94872140"/>
      <w:bookmarkStart w:id="2054" w:name="_Toc94885369"/>
      <w:bookmarkStart w:id="2055" w:name="_Toc94885804"/>
      <w:bookmarkStart w:id="2056" w:name="_Toc94886243"/>
      <w:bookmarkStart w:id="2057" w:name="_Toc99723368"/>
      <w:bookmarkStart w:id="2058" w:name="_Toc94781250"/>
      <w:bookmarkStart w:id="2059" w:name="_Toc94782160"/>
      <w:bookmarkStart w:id="2060" w:name="_Toc94782482"/>
      <w:bookmarkStart w:id="2061" w:name="_Toc94798215"/>
      <w:bookmarkStart w:id="2062" w:name="_Toc94872141"/>
      <w:bookmarkStart w:id="2063" w:name="_Toc94885370"/>
      <w:bookmarkStart w:id="2064" w:name="_Toc94885805"/>
      <w:bookmarkStart w:id="2065" w:name="_Toc94886244"/>
      <w:bookmarkStart w:id="2066" w:name="_Toc99723369"/>
      <w:bookmarkStart w:id="2067" w:name="_Toc94781251"/>
      <w:bookmarkStart w:id="2068" w:name="_Toc94782161"/>
      <w:bookmarkStart w:id="2069" w:name="_Toc94782483"/>
      <w:bookmarkStart w:id="2070" w:name="_Toc94798216"/>
      <w:bookmarkStart w:id="2071" w:name="_Toc94872142"/>
      <w:bookmarkStart w:id="2072" w:name="_Toc94885371"/>
      <w:bookmarkStart w:id="2073" w:name="_Toc94885806"/>
      <w:bookmarkStart w:id="2074" w:name="_Toc94886245"/>
      <w:bookmarkStart w:id="2075" w:name="_Toc99723370"/>
      <w:bookmarkStart w:id="2076" w:name="_Toc94781252"/>
      <w:bookmarkStart w:id="2077" w:name="_Toc94782162"/>
      <w:bookmarkStart w:id="2078" w:name="_Toc94782484"/>
      <w:bookmarkStart w:id="2079" w:name="_Toc94798217"/>
      <w:bookmarkStart w:id="2080" w:name="_Toc94872143"/>
      <w:bookmarkStart w:id="2081" w:name="_Toc94885372"/>
      <w:bookmarkStart w:id="2082" w:name="_Toc94885807"/>
      <w:bookmarkStart w:id="2083" w:name="_Toc94886246"/>
      <w:bookmarkStart w:id="2084" w:name="_Toc99723371"/>
      <w:bookmarkStart w:id="2085" w:name="_Toc94781253"/>
      <w:bookmarkStart w:id="2086" w:name="_Toc94782163"/>
      <w:bookmarkStart w:id="2087" w:name="_Toc94782485"/>
      <w:bookmarkStart w:id="2088" w:name="_Toc94798218"/>
      <w:bookmarkStart w:id="2089" w:name="_Toc94872144"/>
      <w:bookmarkStart w:id="2090" w:name="_Toc94885373"/>
      <w:bookmarkStart w:id="2091" w:name="_Toc94885808"/>
      <w:bookmarkStart w:id="2092" w:name="_Toc94886247"/>
      <w:bookmarkStart w:id="2093" w:name="_Toc99723372"/>
      <w:bookmarkStart w:id="2094" w:name="_Toc103258089"/>
      <w:bookmarkStart w:id="2095" w:name="_Toc103258376"/>
      <w:bookmarkStart w:id="2096" w:name="_Toc103258860"/>
      <w:bookmarkStart w:id="2097" w:name="_Toc103259898"/>
      <w:bookmarkStart w:id="2098" w:name="_Toc103271213"/>
      <w:bookmarkStart w:id="2099" w:name="_Toc103258090"/>
      <w:bookmarkStart w:id="2100" w:name="_Toc103258377"/>
      <w:bookmarkStart w:id="2101" w:name="_Toc103258861"/>
      <w:bookmarkStart w:id="2102" w:name="_Toc103259899"/>
      <w:bookmarkStart w:id="2103" w:name="_Toc103271214"/>
      <w:bookmarkStart w:id="2104" w:name="_Toc103258091"/>
      <w:bookmarkStart w:id="2105" w:name="_Toc103258378"/>
      <w:bookmarkStart w:id="2106" w:name="_Toc103258862"/>
      <w:bookmarkStart w:id="2107" w:name="_Toc103259900"/>
      <w:bookmarkStart w:id="2108" w:name="_Toc103271215"/>
      <w:bookmarkStart w:id="2109" w:name="_Toc103258092"/>
      <w:bookmarkStart w:id="2110" w:name="_Toc103258379"/>
      <w:bookmarkStart w:id="2111" w:name="_Toc103258863"/>
      <w:bookmarkStart w:id="2112" w:name="_Toc103259901"/>
      <w:bookmarkStart w:id="2113" w:name="_Toc103271216"/>
      <w:bookmarkStart w:id="2114" w:name="_Toc103258093"/>
      <w:bookmarkStart w:id="2115" w:name="_Toc103258380"/>
      <w:bookmarkStart w:id="2116" w:name="_Toc103258864"/>
      <w:bookmarkStart w:id="2117" w:name="_Toc103259902"/>
      <w:bookmarkStart w:id="2118" w:name="_Toc103271217"/>
      <w:bookmarkStart w:id="2119" w:name="_Toc103258094"/>
      <w:bookmarkStart w:id="2120" w:name="_Toc103258381"/>
      <w:bookmarkStart w:id="2121" w:name="_Toc103258865"/>
      <w:bookmarkStart w:id="2122" w:name="_Toc103259903"/>
      <w:bookmarkStart w:id="2123" w:name="_Toc103271218"/>
      <w:bookmarkStart w:id="2124" w:name="_Toc103258095"/>
      <w:bookmarkStart w:id="2125" w:name="_Toc103258382"/>
      <w:bookmarkStart w:id="2126" w:name="_Toc103258866"/>
      <w:bookmarkStart w:id="2127" w:name="_Toc103259904"/>
      <w:bookmarkStart w:id="2128" w:name="_Toc103271219"/>
      <w:bookmarkStart w:id="2129" w:name="_Toc103258096"/>
      <w:bookmarkStart w:id="2130" w:name="_Toc103258383"/>
      <w:bookmarkStart w:id="2131" w:name="_Toc103258867"/>
      <w:bookmarkStart w:id="2132" w:name="_Toc103259905"/>
      <w:bookmarkStart w:id="2133" w:name="_Toc103271220"/>
      <w:bookmarkStart w:id="2134" w:name="_Toc103258097"/>
      <w:bookmarkStart w:id="2135" w:name="_Toc103258384"/>
      <w:bookmarkStart w:id="2136" w:name="_Toc103258868"/>
      <w:bookmarkStart w:id="2137" w:name="_Toc103259906"/>
      <w:bookmarkStart w:id="2138" w:name="_Toc103271221"/>
      <w:bookmarkStart w:id="2139" w:name="_Toc103258110"/>
      <w:bookmarkStart w:id="2140" w:name="_Toc103258397"/>
      <w:bookmarkStart w:id="2141" w:name="_Toc103258881"/>
      <w:bookmarkStart w:id="2142" w:name="_Toc103259919"/>
      <w:bookmarkStart w:id="2143" w:name="_Toc103271234"/>
      <w:bookmarkStart w:id="2144" w:name="_Toc103258111"/>
      <w:bookmarkStart w:id="2145" w:name="_Toc103258398"/>
      <w:bookmarkStart w:id="2146" w:name="_Toc103258882"/>
      <w:bookmarkStart w:id="2147" w:name="_Toc103259920"/>
      <w:bookmarkStart w:id="2148" w:name="_Toc103271235"/>
      <w:bookmarkStart w:id="2149" w:name="_Toc103258112"/>
      <w:bookmarkStart w:id="2150" w:name="_Toc103258399"/>
      <w:bookmarkStart w:id="2151" w:name="_Toc103258883"/>
      <w:bookmarkStart w:id="2152" w:name="_Toc103259921"/>
      <w:bookmarkStart w:id="2153" w:name="_Toc103271236"/>
      <w:bookmarkStart w:id="2154" w:name="_Toc103258113"/>
      <w:bookmarkStart w:id="2155" w:name="_Toc103258400"/>
      <w:bookmarkStart w:id="2156" w:name="_Toc103258884"/>
      <w:bookmarkStart w:id="2157" w:name="_Toc103259922"/>
      <w:bookmarkStart w:id="2158" w:name="_Toc103271237"/>
      <w:bookmarkStart w:id="2159" w:name="_Toc103258114"/>
      <w:bookmarkStart w:id="2160" w:name="_Toc103258401"/>
      <w:bookmarkStart w:id="2161" w:name="_Toc103258885"/>
      <w:bookmarkStart w:id="2162" w:name="_Toc103259923"/>
      <w:bookmarkStart w:id="2163" w:name="_Toc103271238"/>
      <w:bookmarkStart w:id="2164" w:name="_Toc103258115"/>
      <w:bookmarkStart w:id="2165" w:name="_Toc103258402"/>
      <w:bookmarkStart w:id="2166" w:name="_Toc103258886"/>
      <w:bookmarkStart w:id="2167" w:name="_Toc103259924"/>
      <w:bookmarkStart w:id="2168" w:name="_Toc103271239"/>
      <w:bookmarkStart w:id="2169" w:name="_Toc103258116"/>
      <w:bookmarkStart w:id="2170" w:name="_Toc103258403"/>
      <w:bookmarkStart w:id="2171" w:name="_Toc103258887"/>
      <w:bookmarkStart w:id="2172" w:name="_Toc103259925"/>
      <w:bookmarkStart w:id="2173" w:name="_Toc103271240"/>
      <w:bookmarkStart w:id="2174" w:name="_Ref99725148"/>
      <w:bookmarkStart w:id="2175" w:name="_Ref100059237"/>
      <w:bookmarkStart w:id="2176" w:name="_Ref103281252"/>
      <w:bookmarkStart w:id="2177" w:name="_Toc156909122"/>
      <w:bookmarkStart w:id="2178" w:name="_Toc207309565"/>
      <w:bookmarkEnd w:id="233"/>
      <w:bookmarkEnd w:id="234"/>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r>
        <w:t>Performance Security</w:t>
      </w:r>
      <w:bookmarkEnd w:id="2174"/>
      <w:bookmarkEnd w:id="2175"/>
      <w:bookmarkEnd w:id="2176"/>
      <w:bookmarkEnd w:id="2177"/>
      <w:bookmarkEnd w:id="2178"/>
      <w:r>
        <w:t xml:space="preserve"> </w:t>
      </w:r>
    </w:p>
    <w:p w14:paraId="663F87B1" w14:textId="77777777" w:rsidR="00BE77D6" w:rsidRPr="008D2376" w:rsidRDefault="49D70CC2" w:rsidP="008F660B">
      <w:pPr>
        <w:pStyle w:val="Heading2"/>
        <w:numPr>
          <w:ilvl w:val="1"/>
          <w:numId w:val="75"/>
        </w:numPr>
      </w:pPr>
      <w:bookmarkStart w:id="2179" w:name="_Ref99723806"/>
      <w:bookmarkStart w:id="2180" w:name="_Toc156909123"/>
      <w:bookmarkStart w:id="2181" w:name="_Ref167343570"/>
      <w:bookmarkStart w:id="2182" w:name="_Toc207309566"/>
      <w:r>
        <w:t>Provision of Performance Security</w:t>
      </w:r>
      <w:bookmarkEnd w:id="2179"/>
      <w:bookmarkEnd w:id="2180"/>
      <w:bookmarkEnd w:id="2181"/>
      <w:bookmarkEnd w:id="2182"/>
    </w:p>
    <w:p w14:paraId="2E457063" w14:textId="77777777" w:rsidR="00BE77D6" w:rsidRDefault="2C388DF0" w:rsidP="0058045D">
      <w:pPr>
        <w:pStyle w:val="Heading3"/>
      </w:pPr>
      <w:bookmarkStart w:id="2183" w:name="_Ref103280025"/>
      <w:r>
        <w:t>Project Operator must provide the Performance Security to the Commonwealth within 20 Business Days after the Signing Date or as otherwise agreed in writing between the parties.</w:t>
      </w:r>
      <w:bookmarkEnd w:id="2183"/>
      <w:r>
        <w:t xml:space="preserve"> </w:t>
      </w:r>
    </w:p>
    <w:p w14:paraId="38F54CB3" w14:textId="0BA0AB4B" w:rsidR="00BE77D6" w:rsidRDefault="2C388DF0" w:rsidP="0058045D">
      <w:pPr>
        <w:pStyle w:val="Heading3"/>
      </w:pPr>
      <w:bookmarkStart w:id="2184" w:name="_Ref103541481"/>
      <w:r>
        <w:t xml:space="preserve">If Project Operator does not </w:t>
      </w:r>
      <w:r w:rsidR="00F50159">
        <w:t>arrange the provision of</w:t>
      </w:r>
      <w:r w:rsidR="00BC2BE9">
        <w:t xml:space="preserve"> </w:t>
      </w:r>
      <w:r>
        <w:t xml:space="preserve">the Performance Security by the date required under paragraph </w:t>
      </w:r>
      <w:r w:rsidR="00BE77D6">
        <w:fldChar w:fldCharType="begin"/>
      </w:r>
      <w:r w:rsidR="00BE77D6">
        <w:instrText xml:space="preserve"> REF _Ref103280025 \n \h </w:instrText>
      </w:r>
      <w:r w:rsidR="00BE77D6">
        <w:fldChar w:fldCharType="separate"/>
      </w:r>
      <w:r w:rsidR="002E5C6A">
        <w:t>(a)</w:t>
      </w:r>
      <w:r w:rsidR="00BE77D6">
        <w:fldChar w:fldCharType="end"/>
      </w:r>
      <w:r w:rsidR="00F50159">
        <w:t xml:space="preserve"> and the Commonwealth has not granted a written extension to that time period prior to that date</w:t>
      </w:r>
      <w:r>
        <w:t>, then the Commonwealth may terminate this agreement by written notice to Project Operator with immediate effect</w:t>
      </w:r>
      <w:r w:rsidR="005A5C3F">
        <w:t>,</w:t>
      </w:r>
      <w:r w:rsidR="005A5C3F" w:rsidRPr="00994498">
        <w:t xml:space="preserve"> </w:t>
      </w:r>
      <w:r w:rsidR="005A5C3F">
        <w:t xml:space="preserve">pursuant to clause </w:t>
      </w:r>
      <w:r w:rsidR="005A5C3F">
        <w:fldChar w:fldCharType="begin"/>
      </w:r>
      <w:r w:rsidR="005A5C3F">
        <w:instrText xml:space="preserve"> REF _Ref159343314 \r \h </w:instrText>
      </w:r>
      <w:r w:rsidR="005A5C3F">
        <w:fldChar w:fldCharType="separate"/>
      </w:r>
      <w:r w:rsidR="002E5C6A">
        <w:t>22.3(g)</w:t>
      </w:r>
      <w:r w:rsidR="005A5C3F">
        <w:fldChar w:fldCharType="end"/>
      </w:r>
      <w:r>
        <w:t>.</w:t>
      </w:r>
      <w:bookmarkEnd w:id="2184"/>
    </w:p>
    <w:p w14:paraId="358C347D" w14:textId="77777777" w:rsidR="00BE77D6" w:rsidRDefault="49D70CC2" w:rsidP="0058045D">
      <w:pPr>
        <w:pStyle w:val="Heading2"/>
      </w:pPr>
      <w:bookmarkStart w:id="2185" w:name="_Ref103280376"/>
      <w:bookmarkStart w:id="2186" w:name="_Toc156909124"/>
      <w:bookmarkStart w:id="2187" w:name="_Toc207309567"/>
      <w:r>
        <w:t>Replacement of Performance Security</w:t>
      </w:r>
      <w:bookmarkEnd w:id="2185"/>
      <w:bookmarkEnd w:id="2186"/>
      <w:bookmarkEnd w:id="2187"/>
    </w:p>
    <w:p w14:paraId="5EC6617F" w14:textId="52E8F483" w:rsidR="00BE77D6" w:rsidRDefault="2BC382E4" w:rsidP="00DB5156">
      <w:pPr>
        <w:keepNext/>
        <w:spacing w:before="120" w:after="120"/>
        <w:ind w:left="737"/>
      </w:pPr>
      <w:bookmarkStart w:id="2188" w:name="_Ref99724190"/>
      <w:r>
        <w:t xml:space="preserve">Project Operator must </w:t>
      </w:r>
      <w:r w:rsidR="00F50159">
        <w:t>arrange the provision of</w:t>
      </w:r>
      <w:r w:rsidR="00BC2BE9">
        <w:t xml:space="preserve"> </w:t>
      </w:r>
      <w:r>
        <w:t xml:space="preserve">a replacement Performance Security to the Commonwealth: </w:t>
      </w:r>
    </w:p>
    <w:p w14:paraId="7B9726EA" w14:textId="77777777" w:rsidR="00BE77D6" w:rsidRDefault="2C388DF0" w:rsidP="0058045D">
      <w:pPr>
        <w:pStyle w:val="Heading3"/>
      </w:pPr>
      <w:r>
        <w:t>in the case of the issuer of the Performance Security ceasing to hold an Acceptable Credit Rating, within 20 Business Days after the issuer ceasing to hold an Acceptable Credit Rating</w:t>
      </w:r>
      <w:bookmarkEnd w:id="2188"/>
      <w:r>
        <w:t>; or</w:t>
      </w:r>
    </w:p>
    <w:p w14:paraId="70BCE0C8" w14:textId="77777777" w:rsidR="00BE77D6" w:rsidRDefault="2C388DF0" w:rsidP="0058045D">
      <w:pPr>
        <w:pStyle w:val="Heading3"/>
      </w:pPr>
      <w:bookmarkStart w:id="2189" w:name="_Ref99724198"/>
      <w:r>
        <w:t>in the case of the Performance Security having an expiry date, no later than 20 Business Days prior to the expiry date</w:t>
      </w:r>
      <w:bookmarkEnd w:id="2189"/>
      <w:r>
        <w:t>.</w:t>
      </w:r>
    </w:p>
    <w:p w14:paraId="19084993" w14:textId="77777777" w:rsidR="00BE77D6" w:rsidRDefault="49D70CC2" w:rsidP="0058045D">
      <w:pPr>
        <w:pStyle w:val="Heading2"/>
      </w:pPr>
      <w:bookmarkStart w:id="2190" w:name="_Ref99724631"/>
      <w:bookmarkStart w:id="2191" w:name="_Toc156909125"/>
      <w:bookmarkStart w:id="2192" w:name="_Toc207309568"/>
      <w:r>
        <w:t>Recourse to Performance Security</w:t>
      </w:r>
      <w:bookmarkEnd w:id="2190"/>
      <w:bookmarkEnd w:id="2191"/>
      <w:bookmarkEnd w:id="2192"/>
    </w:p>
    <w:p w14:paraId="6DFB5C0C" w14:textId="27D91FEB" w:rsidR="00BE77D6" w:rsidRDefault="2C388DF0" w:rsidP="0058045D">
      <w:pPr>
        <w:pStyle w:val="Heading3"/>
      </w:pPr>
      <w:bookmarkStart w:id="2193" w:name="_Ref108096781"/>
      <w:bookmarkStart w:id="2194" w:name="_Ref99724283"/>
      <w:r>
        <w:t xml:space="preserve">The Commonwealth may draw on the Performance Security if </w:t>
      </w:r>
      <w:r w:rsidR="00F50159">
        <w:t xml:space="preserve">(and only if) </w:t>
      </w:r>
      <w:r>
        <w:t>Project Operator has failed to:</w:t>
      </w:r>
      <w:bookmarkEnd w:id="2193"/>
      <w:r>
        <w:t xml:space="preserve"> </w:t>
      </w:r>
    </w:p>
    <w:p w14:paraId="5F073BC8" w14:textId="2F9E3D51" w:rsidR="00AB2BDC" w:rsidRDefault="00AB2BDC" w:rsidP="0058045D">
      <w:pPr>
        <w:pStyle w:val="Heading4"/>
      </w:pPr>
      <w:bookmarkStart w:id="2195" w:name="_Ref103281200"/>
      <w:bookmarkStart w:id="2196" w:name="_Ref103281179"/>
      <w:bookmarkEnd w:id="2194"/>
      <w:r>
        <w:t>pay the Early Termination Amount in accordance with clause</w:t>
      </w:r>
      <w:r w:rsidR="00673498">
        <w:t> </w:t>
      </w:r>
      <w:r w:rsidR="008B4729">
        <w:fldChar w:fldCharType="begin"/>
      </w:r>
      <w:r w:rsidR="008B4729">
        <w:instrText xml:space="preserve"> REF _Ref108103268 \r \h </w:instrText>
      </w:r>
      <w:r w:rsidR="008B4729">
        <w:fldChar w:fldCharType="separate"/>
      </w:r>
      <w:r w:rsidR="002E5C6A">
        <w:t>22.5(a)</w:t>
      </w:r>
      <w:r w:rsidR="008B4729">
        <w:fldChar w:fldCharType="end"/>
      </w:r>
      <w:r>
        <w:t>;</w:t>
      </w:r>
      <w:bookmarkEnd w:id="2195"/>
    </w:p>
    <w:p w14:paraId="338D5893" w14:textId="0BB82464" w:rsidR="004B6CF2" w:rsidRDefault="2C388DF0" w:rsidP="0058045D">
      <w:pPr>
        <w:pStyle w:val="Heading4"/>
      </w:pPr>
      <w:bookmarkStart w:id="2197" w:name="_Ref166502787"/>
      <w:r>
        <w:t xml:space="preserve">provide a replacement Performance Security to the Commonwealth by the date required under clause </w:t>
      </w:r>
      <w:r w:rsidR="00BE77D6">
        <w:fldChar w:fldCharType="begin"/>
      </w:r>
      <w:r w:rsidR="00BE77D6">
        <w:instrText xml:space="preserve"> REF _Ref103280376 \w \h </w:instrText>
      </w:r>
      <w:r w:rsidR="00BE77D6">
        <w:fldChar w:fldCharType="separate"/>
      </w:r>
      <w:r w:rsidR="002E5C6A">
        <w:t>3.2</w:t>
      </w:r>
      <w:r w:rsidR="00BE77D6">
        <w:fldChar w:fldCharType="end"/>
      </w:r>
      <w:r>
        <w:t xml:space="preserve"> (“</w:t>
      </w:r>
      <w:r w:rsidR="00BE77D6">
        <w:fldChar w:fldCharType="begin"/>
      </w:r>
      <w:r w:rsidR="00BE77D6">
        <w:instrText xml:space="preserve">  REF _Ref103280376 \h </w:instrText>
      </w:r>
      <w:r w:rsidR="00BE77D6">
        <w:fldChar w:fldCharType="separate"/>
      </w:r>
      <w:r w:rsidR="002E5C6A">
        <w:t>Replacement of Performance Security</w:t>
      </w:r>
      <w:r w:rsidR="00BE77D6">
        <w:fldChar w:fldCharType="end"/>
      </w:r>
      <w:r>
        <w:t xml:space="preserve">”); or </w:t>
      </w:r>
    </w:p>
    <w:p w14:paraId="508BCEFA" w14:textId="77777777" w:rsidR="004B6CF2" w:rsidRPr="002D6D4F" w:rsidRDefault="004B6CF2" w:rsidP="0058045D">
      <w:pPr>
        <w:pStyle w:val="Heading4"/>
      </w:pPr>
      <w:bookmarkStart w:id="2198" w:name="_Ref166765439"/>
      <w:r w:rsidRPr="002D6D4F">
        <w:t xml:space="preserve">pay an amount to the Commonwealth in respect of an obligation of Project Operator arising under or in respect of this </w:t>
      </w:r>
      <w:r w:rsidR="00AC619B">
        <w:t>a</w:t>
      </w:r>
      <w:r w:rsidRPr="002D6D4F">
        <w:t xml:space="preserve">greement prior to </w:t>
      </w:r>
      <w:r w:rsidR="00AC619B">
        <w:t xml:space="preserve">the Commercial Operations Date </w:t>
      </w:r>
      <w:r w:rsidRPr="002D6D4F">
        <w:t>(</w:t>
      </w:r>
      <w:r w:rsidR="00AC619B">
        <w:t>“</w:t>
      </w:r>
      <w:r w:rsidRPr="002D6D4F">
        <w:rPr>
          <w:b/>
          <w:bCs/>
        </w:rPr>
        <w:t>Agreement Debt</w:t>
      </w:r>
      <w:r w:rsidR="00AC619B" w:rsidRPr="002D6D4F">
        <w:t>”</w:t>
      </w:r>
      <w:r w:rsidRPr="002D6D4F">
        <w:t>), provided that Project Operator has:</w:t>
      </w:r>
      <w:bookmarkEnd w:id="2198"/>
    </w:p>
    <w:p w14:paraId="1E9022EA" w14:textId="77777777" w:rsidR="004B6CF2" w:rsidRPr="002D6D4F" w:rsidRDefault="004B6CF2" w:rsidP="0058045D">
      <w:pPr>
        <w:pStyle w:val="Heading5"/>
      </w:pPr>
      <w:r w:rsidRPr="002D6D4F">
        <w:t>failed, within 30 days of written demand from the Commonwealth, to either:</w:t>
      </w:r>
    </w:p>
    <w:p w14:paraId="1A983989" w14:textId="77777777" w:rsidR="004B6CF2" w:rsidRPr="002D6D4F" w:rsidRDefault="004B6CF2" w:rsidP="003A24AE">
      <w:pPr>
        <w:pStyle w:val="Heading6"/>
      </w:pPr>
      <w:r w:rsidRPr="002D6D4F">
        <w:t xml:space="preserve">pay the Agreement Debt to the Commonwealth; or </w:t>
      </w:r>
    </w:p>
    <w:p w14:paraId="5CE3FE08" w14:textId="77777777" w:rsidR="004B6CF2" w:rsidRPr="002D6D4F" w:rsidRDefault="004B6CF2" w:rsidP="003A24AE">
      <w:pPr>
        <w:pStyle w:val="Heading6"/>
      </w:pPr>
      <w:r w:rsidRPr="002D6D4F">
        <w:t xml:space="preserve">raise a </w:t>
      </w:r>
      <w:r w:rsidR="00AC619B">
        <w:t>D</w:t>
      </w:r>
      <w:r w:rsidRPr="002D6D4F">
        <w:t xml:space="preserve">ispute under this </w:t>
      </w:r>
      <w:r w:rsidR="00AC619B">
        <w:t>a</w:t>
      </w:r>
      <w:r w:rsidRPr="002D6D4F">
        <w:t>greement in respect of the Agreement Debt; and</w:t>
      </w:r>
    </w:p>
    <w:p w14:paraId="31955AC4" w14:textId="15F250E3" w:rsidR="00BE77D6" w:rsidRPr="004B6CF2" w:rsidRDefault="004B6CF2" w:rsidP="0058045D">
      <w:pPr>
        <w:pStyle w:val="Heading5"/>
      </w:pPr>
      <w:r w:rsidRPr="002D6D4F">
        <w:t>continued to fail to pay the Agreement Debt within a further 30 days after the Commonwealth gives notice in writing that it is planning to draw on the Performance Security to recover the amount of the Agreement Debt</w:t>
      </w:r>
      <w:r w:rsidR="00BE77D6" w:rsidRPr="004B6CF2">
        <w:t>.</w:t>
      </w:r>
      <w:bookmarkEnd w:id="2196"/>
      <w:bookmarkEnd w:id="2197"/>
      <w:r w:rsidR="00BE77D6" w:rsidRPr="004B6CF2">
        <w:t xml:space="preserve"> </w:t>
      </w:r>
    </w:p>
    <w:p w14:paraId="49C7CD38" w14:textId="207674EE" w:rsidR="00BE77D6" w:rsidRDefault="2C388DF0" w:rsidP="0055162E">
      <w:pPr>
        <w:pStyle w:val="Heading3"/>
        <w:keepNext/>
      </w:pPr>
      <w:bookmarkStart w:id="2199" w:name="_Ref108096829"/>
      <w:bookmarkStart w:id="2200" w:name="_Ref106271095"/>
      <w:bookmarkStart w:id="2201" w:name="_Ref105611059"/>
      <w:r>
        <w:t xml:space="preserve">If the Commonwealth draws on the Performance Security in accordance with subparagraph </w:t>
      </w:r>
      <w:r w:rsidR="00BE77D6">
        <w:fldChar w:fldCharType="begin"/>
      </w:r>
      <w:r w:rsidR="00BE77D6">
        <w:instrText xml:space="preserve"> REF _Ref108096781 \n \h </w:instrText>
      </w:r>
      <w:r w:rsidR="00BE77D6">
        <w:fldChar w:fldCharType="separate"/>
      </w:r>
      <w:r w:rsidR="002E5C6A">
        <w:t>(a)</w:t>
      </w:r>
      <w:r w:rsidR="00BE77D6">
        <w:fldChar w:fldCharType="end"/>
      </w:r>
      <w:r w:rsidR="00BE77D6">
        <w:fldChar w:fldCharType="begin"/>
      </w:r>
      <w:r w:rsidR="00BE77D6">
        <w:instrText xml:space="preserve"> REF _Ref166502787 \n \h </w:instrText>
      </w:r>
      <w:r w:rsidR="00BE77D6">
        <w:fldChar w:fldCharType="separate"/>
      </w:r>
      <w:r w:rsidR="002E5C6A">
        <w:t>(ii)</w:t>
      </w:r>
      <w:r w:rsidR="00BE77D6">
        <w:fldChar w:fldCharType="end"/>
      </w:r>
      <w:r>
        <w:t>, then the Commonwealth will:</w:t>
      </w:r>
      <w:bookmarkEnd w:id="2199"/>
      <w:r>
        <w:t xml:space="preserve"> </w:t>
      </w:r>
    </w:p>
    <w:p w14:paraId="1118CA25" w14:textId="5722AE99" w:rsidR="00BE77D6" w:rsidRDefault="2C388DF0" w:rsidP="0058045D">
      <w:pPr>
        <w:pStyle w:val="Heading4"/>
      </w:pPr>
      <w:r>
        <w:t>hold that amount on trust for Project Operator and the Commonwealth; and</w:t>
      </w:r>
      <w:bookmarkEnd w:id="2200"/>
      <w:r>
        <w:t xml:space="preserve"> </w:t>
      </w:r>
    </w:p>
    <w:p w14:paraId="7F0F9706" w14:textId="77777777" w:rsidR="00BE77D6" w:rsidRPr="009E3C38" w:rsidRDefault="2C388DF0" w:rsidP="0058045D">
      <w:pPr>
        <w:pStyle w:val="Heading4"/>
      </w:pPr>
      <w:r>
        <w:t>promptly pay the amount held on trust to Project Operator (including any interest earned on those funds by the Commonwealth) if Project Operator then provides a replacement Performance Security that meets the requirements of this agreement.</w:t>
      </w:r>
    </w:p>
    <w:p w14:paraId="1421BA1E" w14:textId="369F9F96" w:rsidR="00BE77D6" w:rsidRDefault="2C388DF0" w:rsidP="0058045D">
      <w:pPr>
        <w:pStyle w:val="Heading3"/>
      </w:pPr>
      <w:r>
        <w:t xml:space="preserve">If the Commonwealth is holding an amount on trust pursuant to paragraph </w:t>
      </w:r>
      <w:r w:rsidR="00BE77D6">
        <w:fldChar w:fldCharType="begin"/>
      </w:r>
      <w:r w:rsidR="00BE77D6">
        <w:instrText xml:space="preserve"> REF _Ref108096829 \n \h  \* MERGEFORMAT </w:instrText>
      </w:r>
      <w:r w:rsidR="00BE77D6">
        <w:fldChar w:fldCharType="separate"/>
      </w:r>
      <w:r w:rsidR="002E5C6A">
        <w:t>(b)</w:t>
      </w:r>
      <w:r w:rsidR="00BE77D6">
        <w:fldChar w:fldCharType="end"/>
      </w:r>
      <w:r>
        <w:t xml:space="preserve"> and is entitled to draw on the Performance Security in accordance with subparagraph </w:t>
      </w:r>
      <w:r w:rsidR="00BE77D6">
        <w:fldChar w:fldCharType="begin"/>
      </w:r>
      <w:r w:rsidR="00BE77D6">
        <w:instrText xml:space="preserve"> REF _Ref108096781 \n \h </w:instrText>
      </w:r>
      <w:r w:rsidR="00BE77D6">
        <w:fldChar w:fldCharType="separate"/>
      </w:r>
      <w:r w:rsidR="002E5C6A">
        <w:t>(a)</w:t>
      </w:r>
      <w:r w:rsidR="00BE77D6">
        <w:fldChar w:fldCharType="end"/>
      </w:r>
      <w:r w:rsidR="00BE77D6">
        <w:fldChar w:fldCharType="begin"/>
      </w:r>
      <w:r w:rsidR="00BE77D6">
        <w:instrText xml:space="preserve"> REF _Ref103281200 \n \h </w:instrText>
      </w:r>
      <w:r w:rsidR="00BE77D6">
        <w:fldChar w:fldCharType="separate"/>
      </w:r>
      <w:r w:rsidR="002E5C6A">
        <w:t>(i)</w:t>
      </w:r>
      <w:r w:rsidR="00BE77D6">
        <w:fldChar w:fldCharType="end"/>
      </w:r>
      <w:r>
        <w:t xml:space="preserve"> or </w:t>
      </w:r>
      <w:r w:rsidR="00BE77D6">
        <w:fldChar w:fldCharType="begin"/>
      </w:r>
      <w:r w:rsidR="00BE77D6">
        <w:instrText xml:space="preserve"> REF _Ref108096781 \n \h </w:instrText>
      </w:r>
      <w:r w:rsidR="00BE77D6">
        <w:fldChar w:fldCharType="separate"/>
      </w:r>
      <w:r w:rsidR="002E5C6A">
        <w:t>(a)</w:t>
      </w:r>
      <w:r w:rsidR="00BE77D6">
        <w:fldChar w:fldCharType="end"/>
      </w:r>
      <w:r w:rsidR="00BE77D6">
        <w:fldChar w:fldCharType="begin"/>
      </w:r>
      <w:r w:rsidR="00BE77D6">
        <w:instrText xml:space="preserve"> REF _Ref166765439 \n \h </w:instrText>
      </w:r>
      <w:r w:rsidR="00BE77D6">
        <w:fldChar w:fldCharType="separate"/>
      </w:r>
      <w:r w:rsidR="002E5C6A">
        <w:t>(iii)</w:t>
      </w:r>
      <w:r w:rsidR="00BE77D6">
        <w:fldChar w:fldCharType="end"/>
      </w:r>
      <w:r>
        <w:t>, or otherwise under this agreement, then the Commonwealth may retain</w:t>
      </w:r>
      <w:r w:rsidR="00F50159">
        <w:t xml:space="preserve"> for its own benefit all or the relevant portion of</w:t>
      </w:r>
      <w:r>
        <w:t xml:space="preserve"> those funds (including any interest earned by it on those funds) </w:t>
      </w:r>
      <w:r w:rsidR="00F50159">
        <w:t xml:space="preserve">corresponding to the amount </w:t>
      </w:r>
      <w:r>
        <w:t xml:space="preserve">to which it is entitled. </w:t>
      </w:r>
    </w:p>
    <w:p w14:paraId="786FA227" w14:textId="4F592C7F" w:rsidR="004C3DBA" w:rsidRDefault="004C3DBA" w:rsidP="004C3DBA">
      <w:pPr>
        <w:pStyle w:val="Heading3"/>
      </w:pPr>
      <w:bookmarkStart w:id="2202" w:name="_Hlk174397676"/>
      <w:r w:rsidRPr="00CA00CA">
        <w:t xml:space="preserve">If the Commonwealth draws on the Performance Security for an amount, and it is agreed by the parties or determined by dispute resolution that the Commonwealth was not entitled to draw such an amount, the Commonwealth must </w:t>
      </w:r>
      <w:r w:rsidR="00F50159">
        <w:t>pay</w:t>
      </w:r>
      <w:r w:rsidR="00F50159" w:rsidRPr="00CA00CA">
        <w:t xml:space="preserve"> </w:t>
      </w:r>
      <w:r w:rsidRPr="00CA00CA">
        <w:t>that amount to Project Operator</w:t>
      </w:r>
      <w:r>
        <w:t>.</w:t>
      </w:r>
      <w:bookmarkEnd w:id="2202"/>
    </w:p>
    <w:p w14:paraId="6CEDCAF7" w14:textId="77777777" w:rsidR="00BE77D6" w:rsidRDefault="49D70CC2" w:rsidP="0058045D">
      <w:pPr>
        <w:pStyle w:val="Heading2"/>
      </w:pPr>
      <w:bookmarkStart w:id="2203" w:name="_Ref105611319"/>
      <w:bookmarkStart w:id="2204" w:name="_Toc156909126"/>
      <w:bookmarkStart w:id="2205" w:name="_Toc207309569"/>
      <w:bookmarkEnd w:id="2201"/>
      <w:r>
        <w:t>Return of Performance Security</w:t>
      </w:r>
      <w:bookmarkEnd w:id="2203"/>
      <w:bookmarkEnd w:id="2204"/>
      <w:bookmarkEnd w:id="2205"/>
    </w:p>
    <w:p w14:paraId="79905D2A" w14:textId="5D0D0B84" w:rsidR="00BE77D6" w:rsidRDefault="00AC619B" w:rsidP="006A46E7">
      <w:pPr>
        <w:keepNext/>
        <w:spacing w:before="120" w:after="120"/>
        <w:ind w:left="737"/>
      </w:pPr>
      <w:r>
        <w:t xml:space="preserve">Subject to the exercise of its rights under clause </w:t>
      </w:r>
      <w:r>
        <w:fldChar w:fldCharType="begin"/>
      </w:r>
      <w:r>
        <w:instrText xml:space="preserve"> REF _Ref99724631 \w \h </w:instrText>
      </w:r>
      <w:r>
        <w:fldChar w:fldCharType="separate"/>
      </w:r>
      <w:r w:rsidR="002E5C6A">
        <w:t>3.3</w:t>
      </w:r>
      <w:r>
        <w:fldChar w:fldCharType="end"/>
      </w:r>
      <w:r>
        <w:t xml:space="preserve"> (“</w:t>
      </w:r>
      <w:r>
        <w:fldChar w:fldCharType="begin"/>
      </w:r>
      <w:r>
        <w:instrText xml:space="preserve">  REF _Ref99724631 \h </w:instrText>
      </w:r>
      <w:r>
        <w:fldChar w:fldCharType="separate"/>
      </w:r>
      <w:r w:rsidR="002E5C6A">
        <w:t>Recourse to Performance Security</w:t>
      </w:r>
      <w:r>
        <w:fldChar w:fldCharType="end"/>
      </w:r>
      <w:r>
        <w:t>”), t</w:t>
      </w:r>
      <w:r w:rsidR="001A73B8">
        <w:t>he Commonwealth</w:t>
      </w:r>
      <w:r w:rsidR="00BE77D6" w:rsidRPr="005378F1">
        <w:t xml:space="preserve"> must return the </w:t>
      </w:r>
      <w:r w:rsidR="001A73B8">
        <w:t>Performance</w:t>
      </w:r>
      <w:r w:rsidR="00BE77D6" w:rsidRPr="005378F1">
        <w:t xml:space="preserve"> Security</w:t>
      </w:r>
      <w:r w:rsidR="00BE77D6">
        <w:t xml:space="preserve">, or any amount </w:t>
      </w:r>
      <w:r w:rsidR="001A73B8">
        <w:t>the Commonwealth</w:t>
      </w:r>
      <w:r w:rsidR="00BE77D6">
        <w:t xml:space="preserve"> is holding on trust pursuant to clause </w:t>
      </w:r>
      <w:r w:rsidR="00BE77D6">
        <w:fldChar w:fldCharType="begin"/>
      </w:r>
      <w:r w:rsidR="00BE77D6">
        <w:instrText xml:space="preserve"> REF _Ref105611059 \w \h </w:instrText>
      </w:r>
      <w:r w:rsidR="00BE77D6">
        <w:fldChar w:fldCharType="separate"/>
      </w:r>
      <w:r w:rsidR="002E5C6A">
        <w:t>3.3(b)</w:t>
      </w:r>
      <w:r w:rsidR="00BE77D6">
        <w:fldChar w:fldCharType="end"/>
      </w:r>
      <w:r w:rsidR="00BE77D6">
        <w:t>,</w:t>
      </w:r>
      <w:r w:rsidR="00BE77D6" w:rsidRPr="005378F1">
        <w:t xml:space="preserve"> to </w:t>
      </w:r>
      <w:r w:rsidR="001A73B8">
        <w:t>Project</w:t>
      </w:r>
      <w:r w:rsidR="00BE77D6">
        <w:t xml:space="preserve"> Operator</w:t>
      </w:r>
      <w:r w:rsidR="00BE77D6" w:rsidRPr="005378F1">
        <w:t xml:space="preserve"> within 10 Business Days </w:t>
      </w:r>
      <w:r w:rsidR="00BE77D6">
        <w:t xml:space="preserve">after the earlier of: </w:t>
      </w:r>
    </w:p>
    <w:p w14:paraId="552D04BC" w14:textId="77777777" w:rsidR="004C3DBA" w:rsidRDefault="2C388DF0" w:rsidP="0058045D">
      <w:pPr>
        <w:pStyle w:val="Heading3"/>
      </w:pPr>
      <w:r>
        <w:t xml:space="preserve">the Commercial Operations Date; </w:t>
      </w:r>
    </w:p>
    <w:p w14:paraId="325302C7" w14:textId="4B3E245F" w:rsidR="00BE77D6" w:rsidRDefault="004C3DBA" w:rsidP="0058045D">
      <w:pPr>
        <w:pStyle w:val="Heading3"/>
      </w:pPr>
      <w:r>
        <w:t xml:space="preserve">the date on which the Commonwealth exercises its rights in accordance with clause </w:t>
      </w:r>
      <w:r>
        <w:fldChar w:fldCharType="begin"/>
      </w:r>
      <w:r>
        <w:instrText xml:space="preserve"> REF _Ref136875307 \r \h </w:instrText>
      </w:r>
      <w:r>
        <w:fldChar w:fldCharType="separate"/>
      </w:r>
      <w:r w:rsidR="002E5C6A">
        <w:t>22.4</w:t>
      </w:r>
      <w:r>
        <w:fldChar w:fldCharType="end"/>
      </w:r>
      <w:r>
        <w:t xml:space="preserve"> (“</w:t>
      </w:r>
      <w:r>
        <w:fldChar w:fldCharType="begin"/>
      </w:r>
      <w:r>
        <w:instrText xml:space="preserve"> REF _Ref136875307 \h </w:instrText>
      </w:r>
      <w:r>
        <w:fldChar w:fldCharType="separate"/>
      </w:r>
      <w:r w:rsidR="002E5C6A">
        <w:t>Termination for convenience by the Commonwealth</w:t>
      </w:r>
      <w:r>
        <w:fldChar w:fldCharType="end"/>
      </w:r>
      <w:r w:rsidR="004061DE">
        <w:t>”</w:t>
      </w:r>
      <w:r>
        <w:t>)</w:t>
      </w:r>
      <w:r w:rsidR="00E635E2">
        <w:t>;</w:t>
      </w:r>
    </w:p>
    <w:p w14:paraId="359E6323" w14:textId="1B2D1D98" w:rsidR="00BE77D6" w:rsidRDefault="2C388DF0" w:rsidP="0058045D">
      <w:pPr>
        <w:pStyle w:val="Heading3"/>
      </w:pPr>
      <w:r>
        <w:t xml:space="preserve">the date on which Project Operator has paid the full amount of the Early Termination Amount to the Commonwealth pursuant to clause </w:t>
      </w:r>
      <w:r w:rsidR="00BE77D6">
        <w:fldChar w:fldCharType="begin"/>
      </w:r>
      <w:r w:rsidR="00BE77D6">
        <w:instrText xml:space="preserve"> REF _Ref108103268 \w \h </w:instrText>
      </w:r>
      <w:r w:rsidR="00BE77D6">
        <w:fldChar w:fldCharType="separate"/>
      </w:r>
      <w:r w:rsidR="002E5C6A">
        <w:t>22.5(a)</w:t>
      </w:r>
      <w:r w:rsidR="00BE77D6">
        <w:fldChar w:fldCharType="end"/>
      </w:r>
      <w:r w:rsidR="00BE77D6">
        <w:fldChar w:fldCharType="begin"/>
      </w:r>
      <w:r w:rsidR="00BE77D6">
        <w:instrText xml:space="preserve"> REF _Ref165975344 \n \h </w:instrText>
      </w:r>
      <w:r w:rsidR="00BE77D6">
        <w:fldChar w:fldCharType="separate"/>
      </w:r>
      <w:r w:rsidR="002E5C6A">
        <w:t>(i)</w:t>
      </w:r>
      <w:r w:rsidR="00BE77D6">
        <w:fldChar w:fldCharType="end"/>
      </w:r>
      <w:r>
        <w:t xml:space="preserve">, </w:t>
      </w:r>
      <w:r w:rsidR="00BE77D6">
        <w:fldChar w:fldCharType="begin"/>
      </w:r>
      <w:r w:rsidR="00BE77D6">
        <w:instrText xml:space="preserve"> REF _Ref165975356 \n \h </w:instrText>
      </w:r>
      <w:r w:rsidR="00BE77D6">
        <w:fldChar w:fldCharType="separate"/>
      </w:r>
      <w:r w:rsidR="002E5C6A">
        <w:t>(iii)</w:t>
      </w:r>
      <w:r w:rsidR="00BE77D6">
        <w:fldChar w:fldCharType="end"/>
      </w:r>
      <w:r>
        <w:t xml:space="preserve"> or </w:t>
      </w:r>
      <w:r w:rsidR="00BE77D6">
        <w:fldChar w:fldCharType="begin"/>
      </w:r>
      <w:r w:rsidR="00BE77D6">
        <w:instrText xml:space="preserve"> REF _Ref165975364 \n \h </w:instrText>
      </w:r>
      <w:r w:rsidR="00BE77D6">
        <w:fldChar w:fldCharType="separate"/>
      </w:r>
      <w:r w:rsidR="002E5C6A">
        <w:t>(iv)</w:t>
      </w:r>
      <w:r w:rsidR="00BE77D6">
        <w:fldChar w:fldCharType="end"/>
      </w:r>
      <w:r>
        <w:t xml:space="preserve"> (as applicable) (“</w:t>
      </w:r>
      <w:r w:rsidR="00BE77D6">
        <w:fldChar w:fldCharType="begin"/>
      </w:r>
      <w:r w:rsidR="00BE77D6">
        <w:instrText xml:space="preserve"> REF _Ref104299112 \h </w:instrText>
      </w:r>
      <w:r w:rsidR="00BE77D6">
        <w:fldChar w:fldCharType="separate"/>
      </w:r>
      <w:r w:rsidR="002E5C6A">
        <w:t>Termination payments</w:t>
      </w:r>
      <w:r w:rsidR="00BE77D6">
        <w:fldChar w:fldCharType="end"/>
      </w:r>
      <w:r>
        <w:t>”)</w:t>
      </w:r>
      <w:r w:rsidR="009D047A">
        <w:t>; and</w:t>
      </w:r>
    </w:p>
    <w:p w14:paraId="791D589F" w14:textId="561557EB" w:rsidR="009D047A" w:rsidRPr="00327D47" w:rsidRDefault="009D047A" w:rsidP="009D047A">
      <w:pPr>
        <w:pStyle w:val="Heading3"/>
      </w:pPr>
      <w:r w:rsidRPr="003B6325">
        <w:t xml:space="preserve">the date on which the Commonwealth receives a notice of termination in accordance with clause </w:t>
      </w:r>
      <w:r>
        <w:fldChar w:fldCharType="begin"/>
      </w:r>
      <w:r>
        <w:instrText xml:space="preserve"> REF _Ref492565149 \r \h </w:instrText>
      </w:r>
      <w:r>
        <w:fldChar w:fldCharType="separate"/>
      </w:r>
      <w:r w:rsidR="002E5C6A">
        <w:t>22.2</w:t>
      </w:r>
      <w:r>
        <w:fldChar w:fldCharType="end"/>
      </w:r>
      <w:r>
        <w:t xml:space="preserve"> (“</w:t>
      </w:r>
      <w:r>
        <w:fldChar w:fldCharType="begin"/>
      </w:r>
      <w:r>
        <w:instrText xml:space="preserve"> REF _Ref492565149 \h </w:instrText>
      </w:r>
      <w:r>
        <w:fldChar w:fldCharType="separate"/>
      </w:r>
      <w:r w:rsidR="002E5C6A">
        <w:t>Termination by Project Operator</w:t>
      </w:r>
      <w:r>
        <w:fldChar w:fldCharType="end"/>
      </w:r>
      <w:r>
        <w:t>”),</w:t>
      </w:r>
      <w:r w:rsidRPr="003B6325">
        <w:t xml:space="preserve"> unless the Commonwealth contests the validity of that notice of termination.</w:t>
      </w:r>
    </w:p>
    <w:p w14:paraId="184DFD33" w14:textId="178E2469" w:rsidR="0004122B" w:rsidRDefault="2C388DF0" w:rsidP="0058045D">
      <w:pPr>
        <w:pStyle w:val="Heading1"/>
      </w:pPr>
      <w:bookmarkStart w:id="2206" w:name="_Toc156909127"/>
      <w:bookmarkStart w:id="2207" w:name="_Ref159256454"/>
      <w:bookmarkStart w:id="2208" w:name="_Ref159256463"/>
      <w:bookmarkStart w:id="2209" w:name="_Toc207309570"/>
      <w:r>
        <w:t>Development of Project</w:t>
      </w:r>
      <w:bookmarkEnd w:id="2206"/>
      <w:bookmarkEnd w:id="2207"/>
      <w:bookmarkEnd w:id="2208"/>
      <w:r w:rsidR="00DF1B2B">
        <w:t xml:space="preserve"> [and </w:t>
      </w:r>
      <w:r w:rsidR="009D047A">
        <w:t>[</w:t>
      </w:r>
      <w:r w:rsidR="00DF1B2B">
        <w:t>Associated</w:t>
      </w:r>
      <w:r w:rsidR="009D047A">
        <w:t xml:space="preserve">/Existing] </w:t>
      </w:r>
      <w:r w:rsidR="00DF1B2B">
        <w:t>Project]</w:t>
      </w:r>
      <w:bookmarkEnd w:id="2209"/>
    </w:p>
    <w:p w14:paraId="02F74BF2" w14:textId="2B336972" w:rsidR="001A73B8" w:rsidRDefault="49D70CC2" w:rsidP="008F660B">
      <w:pPr>
        <w:pStyle w:val="Heading2"/>
        <w:numPr>
          <w:ilvl w:val="1"/>
          <w:numId w:val="77"/>
        </w:numPr>
      </w:pPr>
      <w:bookmarkStart w:id="2210" w:name="_Toc156909128"/>
      <w:bookmarkStart w:id="2211" w:name="_Ref159345990"/>
      <w:bookmarkStart w:id="2212" w:name="_Ref159505884"/>
      <w:bookmarkStart w:id="2213" w:name="_Ref167303340"/>
      <w:bookmarkStart w:id="2214" w:name="_Ref167303341"/>
      <w:bookmarkStart w:id="2215" w:name="_Toc207309571"/>
      <w:r>
        <w:t>Development</w:t>
      </w:r>
      <w:bookmarkEnd w:id="2210"/>
      <w:bookmarkEnd w:id="2211"/>
      <w:bookmarkEnd w:id="2212"/>
      <w:bookmarkEnd w:id="2213"/>
      <w:bookmarkEnd w:id="2214"/>
      <w:bookmarkEnd w:id="2215"/>
    </w:p>
    <w:p w14:paraId="64294227" w14:textId="77777777" w:rsidR="001A73B8" w:rsidRDefault="2BC382E4" w:rsidP="003A24AE">
      <w:pPr>
        <w:spacing w:before="120" w:after="120"/>
        <w:ind w:left="737"/>
      </w:pPr>
      <w:r>
        <w:t xml:space="preserve">Project Operator must: </w:t>
      </w:r>
    </w:p>
    <w:p w14:paraId="1DDBB7B3" w14:textId="29395FAA" w:rsidR="001A73B8" w:rsidRDefault="2C388DF0" w:rsidP="008F660B">
      <w:pPr>
        <w:pStyle w:val="Heading3"/>
        <w:numPr>
          <w:ilvl w:val="2"/>
          <w:numId w:val="84"/>
        </w:numPr>
      </w:pPr>
      <w:bookmarkStart w:id="2216" w:name="_Hlk206432876"/>
      <w:bookmarkStart w:id="2217" w:name="_Ref206158032"/>
      <w:r>
        <w:t xml:space="preserve">develop the Project </w:t>
      </w:r>
      <w:r w:rsidR="00DF1B2B">
        <w:t>[and</w:t>
      </w:r>
      <w:r w:rsidR="0049162D">
        <w:t>,</w:t>
      </w:r>
      <w:r w:rsidR="00CF5431">
        <w:t xml:space="preserve"> </w:t>
      </w:r>
      <w:r w:rsidR="0049162D">
        <w:t xml:space="preserve">to the extent that </w:t>
      </w:r>
      <w:r w:rsidR="008625CD">
        <w:t xml:space="preserve">Project Operator </w:t>
      </w:r>
      <w:r w:rsidR="0049162D">
        <w:t xml:space="preserve">develops </w:t>
      </w:r>
      <w:r w:rsidR="008625CD">
        <w:t xml:space="preserve">the </w:t>
      </w:r>
      <w:r w:rsidR="00DF1B2B">
        <w:t>Associated Project</w:t>
      </w:r>
      <w:r w:rsidR="00CF5431">
        <w:t>, develop the Associated Project</w:t>
      </w:r>
      <w:r w:rsidR="0049162D">
        <w:t>] [an</w:t>
      </w:r>
      <w:r w:rsidR="002F0E63">
        <w:t>d the Existing Project</w:t>
      </w:r>
      <w:r w:rsidR="00DF1B2B">
        <w:t xml:space="preserve">] </w:t>
      </w:r>
      <w:r>
        <w:t xml:space="preserve">in </w:t>
      </w:r>
      <w:bookmarkEnd w:id="2216"/>
      <w:r>
        <w:t xml:space="preserve">accordance with the Social Licence Commitments, Good Industry Practice and all applicable Laws and </w:t>
      </w:r>
      <w:r w:rsidR="001C4044">
        <w:t>A</w:t>
      </w:r>
      <w:r>
        <w:t xml:space="preserve">uthorisations; </w:t>
      </w:r>
      <w:r w:rsidR="00B95BED" w:rsidRPr="008129EB">
        <w:t>[</w:t>
      </w:r>
      <w:r w:rsidR="00B95BED" w:rsidRPr="0049162D">
        <w:rPr>
          <w:b/>
          <w:bCs/>
          <w:i/>
          <w:iCs/>
          <w:highlight w:val="lightGray"/>
        </w:rPr>
        <w:t>Note: words in square brackets to be included for all Hybrid Projects for which the Associated Project is not a</w:t>
      </w:r>
      <w:r w:rsidR="00372A67" w:rsidRPr="0049162D">
        <w:rPr>
          <w:b/>
          <w:bCs/>
          <w:i/>
          <w:iCs/>
          <w:highlight w:val="lightGray"/>
        </w:rPr>
        <w:t xml:space="preserve"> completed </w:t>
      </w:r>
      <w:r w:rsidR="00B95BED" w:rsidRPr="0049162D">
        <w:rPr>
          <w:b/>
          <w:bCs/>
          <w:i/>
          <w:iCs/>
          <w:highlight w:val="lightGray"/>
        </w:rPr>
        <w:t>projec</w:t>
      </w:r>
      <w:r w:rsidR="00372A67" w:rsidRPr="0049162D">
        <w:rPr>
          <w:b/>
          <w:bCs/>
          <w:i/>
          <w:iCs/>
          <w:highlight w:val="lightGray"/>
        </w:rPr>
        <w:t>t</w:t>
      </w:r>
      <w:r w:rsidR="0013369A">
        <w:rPr>
          <w:b/>
          <w:bCs/>
          <w:i/>
          <w:iCs/>
          <w:highlight w:val="lightGray"/>
        </w:rPr>
        <w:t xml:space="preserve"> as at the Signing Date</w:t>
      </w:r>
      <w:r w:rsidR="00372A67" w:rsidRPr="0049162D">
        <w:rPr>
          <w:b/>
          <w:bCs/>
          <w:i/>
          <w:iCs/>
          <w:highlight w:val="lightGray"/>
        </w:rPr>
        <w:t>.</w:t>
      </w:r>
      <w:r w:rsidR="0049162D" w:rsidRPr="008F660B">
        <w:rPr>
          <w:b/>
          <w:bCs/>
          <w:i/>
          <w:iCs/>
          <w:highlight w:val="lightGray"/>
        </w:rPr>
        <w:t xml:space="preserve"> </w:t>
      </w:r>
      <w:r w:rsidR="00372A67" w:rsidRPr="008F660B">
        <w:rPr>
          <w:b/>
          <w:bCs/>
          <w:i/>
          <w:iCs/>
          <w:highlight w:val="lightGray"/>
        </w:rPr>
        <w:t>Reference to Existing Project to be included</w:t>
      </w:r>
      <w:r w:rsidR="00B95BED" w:rsidRPr="0049162D">
        <w:rPr>
          <w:b/>
          <w:bCs/>
          <w:i/>
          <w:iCs/>
          <w:highlight w:val="lightGray"/>
        </w:rPr>
        <w:t xml:space="preserve"> for </w:t>
      </w:r>
      <w:r w:rsidR="00372A67" w:rsidRPr="0049162D">
        <w:rPr>
          <w:b/>
          <w:bCs/>
          <w:i/>
          <w:iCs/>
          <w:highlight w:val="lightGray"/>
        </w:rPr>
        <w:t xml:space="preserve">all Staged Projects for </w:t>
      </w:r>
      <w:r w:rsidR="00B95BED" w:rsidRPr="0049162D">
        <w:rPr>
          <w:b/>
          <w:bCs/>
          <w:i/>
          <w:iCs/>
          <w:highlight w:val="lightGray"/>
        </w:rPr>
        <w:t>which the</w:t>
      </w:r>
      <w:r w:rsidR="00BA1485">
        <w:rPr>
          <w:b/>
          <w:bCs/>
          <w:i/>
          <w:iCs/>
          <w:highlight w:val="lightGray"/>
        </w:rPr>
        <w:t xml:space="preserve"> Existing Project has not reached its</w:t>
      </w:r>
      <w:r w:rsidR="00B95BED" w:rsidRPr="0049162D">
        <w:rPr>
          <w:b/>
          <w:bCs/>
          <w:i/>
          <w:iCs/>
          <w:highlight w:val="lightGray"/>
        </w:rPr>
        <w:t xml:space="preserve"> </w:t>
      </w:r>
      <w:r w:rsidR="00BA1485">
        <w:rPr>
          <w:b/>
          <w:bCs/>
          <w:i/>
          <w:iCs/>
          <w:highlight w:val="lightGray"/>
        </w:rPr>
        <w:t xml:space="preserve">commercial operations date </w:t>
      </w:r>
      <w:r w:rsidR="00B95BED" w:rsidRPr="0049162D">
        <w:rPr>
          <w:b/>
          <w:bCs/>
          <w:i/>
          <w:iCs/>
          <w:highlight w:val="lightGray"/>
        </w:rPr>
        <w:t>as at the Signing Date (as applicable).</w:t>
      </w:r>
      <w:r w:rsidR="00B95BED" w:rsidRPr="008F660B">
        <w:rPr>
          <w:b/>
          <w:bCs/>
          <w:i/>
          <w:iCs/>
          <w:highlight w:val="lightGray"/>
        </w:rPr>
        <w:t>]</w:t>
      </w:r>
      <w:bookmarkEnd w:id="2217"/>
      <w:r w:rsidR="00B95BED" w:rsidRPr="008129EB">
        <w:t xml:space="preserve"> </w:t>
      </w:r>
    </w:p>
    <w:p w14:paraId="11231D3B" w14:textId="4A180095" w:rsidR="001A73B8" w:rsidRPr="00A42A78" w:rsidRDefault="2C388DF0" w:rsidP="0058045D">
      <w:pPr>
        <w:pStyle w:val="Heading3"/>
      </w:pPr>
      <w:r>
        <w:t>use its best endeavours to achieve each Milestone by the relevant Milestone Date;</w:t>
      </w:r>
      <w:r w:rsidR="0013369A">
        <w:t xml:space="preserve"> and</w:t>
      </w:r>
    </w:p>
    <w:p w14:paraId="287103B5" w14:textId="2CB0C4C7" w:rsidR="0093359B" w:rsidRDefault="001A73B8" w:rsidP="0058045D">
      <w:pPr>
        <w:pStyle w:val="Heading3"/>
      </w:pPr>
      <w:bookmarkStart w:id="2218" w:name="_Ref206158017"/>
      <w:r w:rsidRPr="00225577">
        <w:t>report</w:t>
      </w:r>
      <w:r w:rsidRPr="29D99465">
        <w:t xml:space="preserve"> on the development of the Project</w:t>
      </w:r>
      <w:r>
        <w:rPr>
          <w:szCs w:val="18"/>
        </w:rPr>
        <w:t xml:space="preserve"> </w:t>
      </w:r>
      <w:r w:rsidR="0013369A">
        <w:rPr>
          <w:szCs w:val="18"/>
        </w:rPr>
        <w:t>[</w:t>
      </w:r>
      <w:r w:rsidR="0013369A">
        <w:t>and, to the extent that Project Operator develops the Associated Project</w:t>
      </w:r>
      <w:r w:rsidR="00CF5431">
        <w:t xml:space="preserve">, </w:t>
      </w:r>
      <w:r w:rsidR="00CF5431" w:rsidRPr="00225577">
        <w:t>report</w:t>
      </w:r>
      <w:r w:rsidR="00CF5431" w:rsidRPr="29D99465">
        <w:t xml:space="preserve"> on the development of </w:t>
      </w:r>
      <w:r w:rsidR="00CF5431">
        <w:t>the Associated Project</w:t>
      </w:r>
      <w:r w:rsidR="00DF1B2B">
        <w:rPr>
          <w:szCs w:val="18"/>
        </w:rPr>
        <w:t xml:space="preserve">] </w:t>
      </w:r>
      <w:r w:rsidR="0013369A">
        <w:rPr>
          <w:szCs w:val="18"/>
        </w:rPr>
        <w:t xml:space="preserve">[and the Existing Project] </w:t>
      </w:r>
      <w:r w:rsidRPr="29D99465">
        <w:t xml:space="preserve">in accordance with clause </w:t>
      </w:r>
      <w:r w:rsidR="0093359B">
        <w:fldChar w:fldCharType="begin"/>
      </w:r>
      <w:r w:rsidR="0093359B">
        <w:instrText xml:space="preserve"> REF _Ref167304778 \w \h </w:instrText>
      </w:r>
      <w:r w:rsidR="0093359B">
        <w:fldChar w:fldCharType="separate"/>
      </w:r>
      <w:r w:rsidR="002E5C6A">
        <w:t>12.1</w:t>
      </w:r>
      <w:r w:rsidR="0093359B">
        <w:fldChar w:fldCharType="end"/>
      </w:r>
      <w:r w:rsidR="0093359B">
        <w:t xml:space="preserve"> (“</w:t>
      </w:r>
      <w:r w:rsidR="0093359B">
        <w:fldChar w:fldCharType="begin"/>
      </w:r>
      <w:r w:rsidR="0093359B">
        <w:instrText xml:space="preserve"> REF _Ref167304903 \h </w:instrText>
      </w:r>
      <w:r w:rsidR="0093359B">
        <w:fldChar w:fldCharType="separate"/>
      </w:r>
      <w:r w:rsidR="002E5C6A" w:rsidRPr="00F06646">
        <w:t>Development and construction reports</w:t>
      </w:r>
      <w:r w:rsidR="0093359B">
        <w:fldChar w:fldCharType="end"/>
      </w:r>
      <w:r w:rsidR="0093359B">
        <w:t>”).</w:t>
      </w:r>
      <w:r w:rsidR="00DF1B2B">
        <w:t xml:space="preserve"> [</w:t>
      </w:r>
      <w:r w:rsidR="00DF1B2B" w:rsidRPr="004D3942">
        <w:rPr>
          <w:b/>
          <w:bCs/>
          <w:i/>
          <w:iCs/>
          <w:highlight w:val="lightGray"/>
        </w:rPr>
        <w:t xml:space="preserve">Note: </w:t>
      </w:r>
      <w:r w:rsidR="00DF1B2B">
        <w:rPr>
          <w:b/>
          <w:bCs/>
          <w:i/>
          <w:iCs/>
          <w:highlight w:val="lightGray"/>
        </w:rPr>
        <w:t xml:space="preserve">words in square brackets to be included </w:t>
      </w:r>
      <w:r w:rsidR="00DF1B2B" w:rsidRPr="004D3942">
        <w:rPr>
          <w:b/>
          <w:bCs/>
          <w:i/>
          <w:iCs/>
          <w:highlight w:val="lightGray"/>
        </w:rPr>
        <w:t>for all</w:t>
      </w:r>
      <w:r w:rsidR="001241C2">
        <w:rPr>
          <w:b/>
          <w:bCs/>
          <w:i/>
          <w:iCs/>
          <w:highlight w:val="lightGray"/>
        </w:rPr>
        <w:t xml:space="preserve"> Staged Projects for which the Existing Project has not reached its commercial operations date as at the Signing Date and all</w:t>
      </w:r>
      <w:r w:rsidR="00DF1B2B" w:rsidRPr="004D3942">
        <w:rPr>
          <w:b/>
          <w:bCs/>
          <w:i/>
          <w:iCs/>
          <w:highlight w:val="lightGray"/>
        </w:rPr>
        <w:t xml:space="preserve"> Hybrid Projects</w:t>
      </w:r>
      <w:r w:rsidR="006F59FA" w:rsidRPr="006F59FA">
        <w:rPr>
          <w:b/>
          <w:bCs/>
          <w:i/>
          <w:iCs/>
          <w:highlight w:val="lightGray"/>
        </w:rPr>
        <w:t xml:space="preserve"> </w:t>
      </w:r>
      <w:r w:rsidR="006F59FA" w:rsidRPr="001241C2">
        <w:rPr>
          <w:b/>
          <w:bCs/>
          <w:i/>
          <w:iCs/>
          <w:highlight w:val="lightGray"/>
        </w:rPr>
        <w:t>for which the Associated Project is not a</w:t>
      </w:r>
      <w:r w:rsidR="00372A67">
        <w:rPr>
          <w:b/>
          <w:bCs/>
          <w:i/>
          <w:iCs/>
          <w:highlight w:val="lightGray"/>
        </w:rPr>
        <w:t xml:space="preserve"> completed </w:t>
      </w:r>
      <w:r w:rsidR="006F59FA" w:rsidRPr="001241C2">
        <w:rPr>
          <w:b/>
          <w:bCs/>
          <w:i/>
          <w:iCs/>
          <w:highlight w:val="lightGray"/>
        </w:rPr>
        <w:t>project</w:t>
      </w:r>
      <w:r w:rsidR="001241C2" w:rsidRPr="001241C2">
        <w:rPr>
          <w:b/>
          <w:bCs/>
          <w:i/>
          <w:iCs/>
          <w:highlight w:val="lightGray"/>
        </w:rPr>
        <w:t xml:space="preserve"> </w:t>
      </w:r>
      <w:r w:rsidR="0013369A">
        <w:rPr>
          <w:b/>
          <w:bCs/>
          <w:i/>
          <w:iCs/>
          <w:highlight w:val="lightGray"/>
        </w:rPr>
        <w:t xml:space="preserve">as at the Signing Date </w:t>
      </w:r>
      <w:r w:rsidR="001241C2" w:rsidRPr="001241C2">
        <w:rPr>
          <w:b/>
          <w:bCs/>
          <w:i/>
          <w:iCs/>
          <w:highlight w:val="lightGray"/>
        </w:rPr>
        <w:t>(as applicable)</w:t>
      </w:r>
      <w:r w:rsidR="00DF1B2B" w:rsidRPr="001241C2">
        <w:rPr>
          <w:b/>
          <w:bCs/>
          <w:i/>
          <w:iCs/>
          <w:highlight w:val="lightGray"/>
        </w:rPr>
        <w:t>.</w:t>
      </w:r>
      <w:r w:rsidR="00DF1B2B">
        <w:t>]</w:t>
      </w:r>
      <w:bookmarkEnd w:id="2218"/>
    </w:p>
    <w:p w14:paraId="4601DCF6" w14:textId="2D77E34F" w:rsidR="0049162D" w:rsidRPr="006C0B48" w:rsidRDefault="0049162D" w:rsidP="008F660B">
      <w:pPr>
        <w:pStyle w:val="Heading3"/>
        <w:numPr>
          <w:ilvl w:val="0"/>
          <w:numId w:val="0"/>
        </w:numPr>
        <w:spacing w:before="120"/>
        <w:ind w:left="1474"/>
      </w:pPr>
      <w:r>
        <w:t>[</w:t>
      </w:r>
      <w:r w:rsidRPr="008F660B">
        <w:rPr>
          <w:b/>
          <w:bCs/>
          <w:i/>
          <w:iCs/>
          <w:highlight w:val="lightGray"/>
        </w:rPr>
        <w:t xml:space="preserve">Note: </w:t>
      </w:r>
      <w:r>
        <w:rPr>
          <w:b/>
          <w:bCs/>
          <w:i/>
          <w:iCs/>
          <w:highlight w:val="lightGray"/>
        </w:rPr>
        <w:t xml:space="preserve">Project Operator is </w:t>
      </w:r>
      <w:r w:rsidRPr="008F660B">
        <w:rPr>
          <w:b/>
          <w:bCs/>
          <w:i/>
          <w:iCs/>
          <w:highlight w:val="lightGray"/>
        </w:rPr>
        <w:t xml:space="preserve">not obliged to deliver the Associated Project under this </w:t>
      </w:r>
      <w:r w:rsidR="0013369A">
        <w:rPr>
          <w:b/>
          <w:bCs/>
          <w:i/>
          <w:iCs/>
          <w:highlight w:val="lightGray"/>
        </w:rPr>
        <w:t>a</w:t>
      </w:r>
      <w:r w:rsidRPr="008F660B">
        <w:rPr>
          <w:b/>
          <w:bCs/>
          <w:i/>
          <w:iCs/>
          <w:highlight w:val="lightGray"/>
        </w:rPr>
        <w:t xml:space="preserve">greement. However, to the extent that Project Operator does develop the Associated Project (irrespective of whether Project Operator ultimately delivers the Associated Project), the requirements of paragraphs </w:t>
      </w:r>
      <w:r w:rsidRPr="008F660B">
        <w:rPr>
          <w:b/>
          <w:bCs/>
          <w:i/>
          <w:iCs/>
          <w:highlight w:val="lightGray"/>
        </w:rPr>
        <w:fldChar w:fldCharType="begin"/>
      </w:r>
      <w:r w:rsidRPr="008F660B">
        <w:rPr>
          <w:b/>
          <w:bCs/>
          <w:i/>
          <w:iCs/>
          <w:highlight w:val="lightGray"/>
        </w:rPr>
        <w:instrText xml:space="preserve"> REF _Ref206158032 \r \h </w:instrText>
      </w:r>
      <w:r>
        <w:rPr>
          <w:b/>
          <w:bCs/>
          <w:i/>
          <w:iCs/>
          <w:highlight w:val="lightGray"/>
        </w:rPr>
        <w:instrText xml:space="preserve"> \* MERGEFORMAT </w:instrText>
      </w:r>
      <w:r w:rsidRPr="008F660B">
        <w:rPr>
          <w:b/>
          <w:bCs/>
          <w:i/>
          <w:iCs/>
          <w:highlight w:val="lightGray"/>
        </w:rPr>
      </w:r>
      <w:r w:rsidRPr="008F660B">
        <w:rPr>
          <w:b/>
          <w:bCs/>
          <w:i/>
          <w:iCs/>
          <w:highlight w:val="lightGray"/>
        </w:rPr>
        <w:fldChar w:fldCharType="separate"/>
      </w:r>
      <w:r w:rsidR="002E5C6A">
        <w:rPr>
          <w:b/>
          <w:bCs/>
          <w:i/>
          <w:iCs/>
          <w:highlight w:val="lightGray"/>
        </w:rPr>
        <w:t>(a)</w:t>
      </w:r>
      <w:r w:rsidRPr="008F660B">
        <w:rPr>
          <w:b/>
          <w:bCs/>
          <w:i/>
          <w:iCs/>
          <w:highlight w:val="lightGray"/>
        </w:rPr>
        <w:fldChar w:fldCharType="end"/>
      </w:r>
      <w:r>
        <w:rPr>
          <w:b/>
          <w:bCs/>
          <w:i/>
          <w:iCs/>
          <w:highlight w:val="lightGray"/>
        </w:rPr>
        <w:t xml:space="preserve"> and</w:t>
      </w:r>
      <w:r w:rsidRPr="008F660B">
        <w:rPr>
          <w:b/>
          <w:bCs/>
          <w:i/>
          <w:iCs/>
          <w:highlight w:val="lightGray"/>
        </w:rPr>
        <w:t xml:space="preserve"> </w:t>
      </w:r>
      <w:r w:rsidRPr="008F660B">
        <w:rPr>
          <w:b/>
          <w:bCs/>
          <w:i/>
          <w:iCs/>
          <w:highlight w:val="lightGray"/>
        </w:rPr>
        <w:fldChar w:fldCharType="begin"/>
      </w:r>
      <w:r w:rsidRPr="008F660B">
        <w:rPr>
          <w:b/>
          <w:bCs/>
          <w:i/>
          <w:iCs/>
          <w:highlight w:val="lightGray"/>
        </w:rPr>
        <w:instrText xml:space="preserve"> REF _Ref206158017 \r \h </w:instrText>
      </w:r>
      <w:r>
        <w:rPr>
          <w:b/>
          <w:bCs/>
          <w:i/>
          <w:iCs/>
          <w:highlight w:val="lightGray"/>
        </w:rPr>
        <w:instrText xml:space="preserve"> \* MERGEFORMAT </w:instrText>
      </w:r>
      <w:r w:rsidRPr="008F660B">
        <w:rPr>
          <w:b/>
          <w:bCs/>
          <w:i/>
          <w:iCs/>
          <w:highlight w:val="lightGray"/>
        </w:rPr>
      </w:r>
      <w:r w:rsidRPr="008F660B">
        <w:rPr>
          <w:b/>
          <w:bCs/>
          <w:i/>
          <w:iCs/>
          <w:highlight w:val="lightGray"/>
        </w:rPr>
        <w:fldChar w:fldCharType="separate"/>
      </w:r>
      <w:r w:rsidR="002E5C6A">
        <w:rPr>
          <w:b/>
          <w:bCs/>
          <w:i/>
          <w:iCs/>
          <w:highlight w:val="lightGray"/>
        </w:rPr>
        <w:t>(c)</w:t>
      </w:r>
      <w:r w:rsidRPr="008F660B">
        <w:rPr>
          <w:b/>
          <w:bCs/>
          <w:i/>
          <w:iCs/>
          <w:highlight w:val="lightGray"/>
        </w:rPr>
        <w:fldChar w:fldCharType="end"/>
      </w:r>
      <w:r w:rsidRPr="008F660B">
        <w:rPr>
          <w:b/>
          <w:bCs/>
          <w:i/>
          <w:iCs/>
          <w:highlight w:val="lightGray"/>
        </w:rPr>
        <w:t xml:space="preserve"> will apply to Project Operator.]</w:t>
      </w:r>
    </w:p>
    <w:p w14:paraId="47AE595B" w14:textId="77777777" w:rsidR="00DE3179" w:rsidRDefault="49D70CC2" w:rsidP="008F660B">
      <w:pPr>
        <w:pStyle w:val="Heading2"/>
        <w:numPr>
          <w:ilvl w:val="1"/>
          <w:numId w:val="61"/>
        </w:numPr>
      </w:pPr>
      <w:bookmarkStart w:id="2219" w:name="_Ref200025655"/>
      <w:bookmarkStart w:id="2220" w:name="_Toc200615499"/>
      <w:bookmarkStart w:id="2221" w:name="_Toc202968792"/>
      <w:bookmarkStart w:id="2222" w:name="_Toc207309572"/>
      <w:bookmarkStart w:id="2223" w:name="_Ref155787474"/>
      <w:bookmarkStart w:id="2224" w:name="_Toc156909129"/>
      <w:bookmarkStart w:id="2225" w:name="_Ref159414562"/>
      <w:bookmarkStart w:id="2226" w:name="_Ref159416575"/>
      <w:bookmarkStart w:id="2227" w:name="_Ref204176403"/>
      <w:r w:rsidRPr="004F5528">
        <w:t>[Hybrid</w:t>
      </w:r>
      <w:r w:rsidR="00DE3179">
        <w:t xml:space="preserve"> Project metering</w:t>
      </w:r>
      <w:bookmarkEnd w:id="2219"/>
      <w:bookmarkEnd w:id="2220"/>
      <w:bookmarkEnd w:id="2221"/>
      <w:bookmarkEnd w:id="2222"/>
    </w:p>
    <w:p w14:paraId="06A6D2A7" w14:textId="77777777" w:rsidR="00DE3179" w:rsidRDefault="00DE3179" w:rsidP="006A46E7">
      <w:pPr>
        <w:pStyle w:val="Indent2"/>
        <w:keepNext/>
      </w:pPr>
      <w:r>
        <w:t xml:space="preserve">Prior to the Associated Project Commencement Date, Project Operator must install and commission Facility Sub-Metering (as defined in the ESM Rules) for each of the Project and the Associated Project that: </w:t>
      </w:r>
    </w:p>
    <w:p w14:paraId="48EBF4EF" w14:textId="77777777" w:rsidR="00DE3179" w:rsidRDefault="00DE3179" w:rsidP="008F660B">
      <w:pPr>
        <w:pStyle w:val="Heading3"/>
        <w:numPr>
          <w:ilvl w:val="2"/>
          <w:numId w:val="61"/>
        </w:numPr>
      </w:pPr>
      <w:r>
        <w:t>are of sufficient accuracy to meet the metering accuracy requirements specified by AEMO for meters used for settlement of the WEM;</w:t>
      </w:r>
    </w:p>
    <w:p w14:paraId="1F204B5E" w14:textId="77777777" w:rsidR="00DE3179" w:rsidRDefault="00DE3179" w:rsidP="008F660B">
      <w:pPr>
        <w:pStyle w:val="Heading3"/>
        <w:numPr>
          <w:ilvl w:val="2"/>
          <w:numId w:val="61"/>
        </w:numPr>
      </w:pPr>
      <w:r>
        <w:t xml:space="preserve">are in accordance with the requirements of the Clean Energy Regulator for the purposes of calculating or determining any entitlement to LGCs; </w:t>
      </w:r>
    </w:p>
    <w:p w14:paraId="34F8271F" w14:textId="77777777" w:rsidR="00DE3179" w:rsidRDefault="00DE3179" w:rsidP="008F660B">
      <w:pPr>
        <w:pStyle w:val="Heading3"/>
        <w:numPr>
          <w:ilvl w:val="2"/>
          <w:numId w:val="61"/>
        </w:numPr>
      </w:pPr>
      <w:r>
        <w:t>meet any other applicable requirements under the ESM Rules; and</w:t>
      </w:r>
    </w:p>
    <w:p w14:paraId="2F019F2A" w14:textId="77777777" w:rsidR="00DE3179" w:rsidRDefault="00DE3179" w:rsidP="008F660B">
      <w:pPr>
        <w:pStyle w:val="Heading3"/>
        <w:numPr>
          <w:ilvl w:val="2"/>
          <w:numId w:val="61"/>
        </w:numPr>
      </w:pPr>
      <w:r>
        <w:t>are consistent with the Metering Diagram.]</w:t>
      </w:r>
    </w:p>
    <w:p w14:paraId="6C43CBFF" w14:textId="145A5114" w:rsidR="00DE3179" w:rsidRDefault="00DE3179" w:rsidP="00DE3179">
      <w:pPr>
        <w:pStyle w:val="Indent2"/>
      </w:pPr>
      <w:r>
        <w:t>[</w:t>
      </w:r>
      <w:r>
        <w:rPr>
          <w:b/>
          <w:i/>
          <w:highlight w:val="lightGray"/>
        </w:rPr>
        <w:t xml:space="preserve">Note: the above clause </w:t>
      </w:r>
      <w:r>
        <w:rPr>
          <w:b/>
          <w:i/>
          <w:highlight w:val="lightGray"/>
        </w:rPr>
        <w:fldChar w:fldCharType="begin"/>
      </w:r>
      <w:r>
        <w:rPr>
          <w:b/>
          <w:i/>
          <w:highlight w:val="lightGray"/>
        </w:rPr>
        <w:instrText xml:space="preserve"> REF _Ref159414562 \w \h  \* MERGEFORMAT </w:instrText>
      </w:r>
      <w:r>
        <w:rPr>
          <w:b/>
          <w:i/>
          <w:highlight w:val="lightGray"/>
        </w:rPr>
      </w:r>
      <w:r>
        <w:rPr>
          <w:b/>
          <w:i/>
          <w:highlight w:val="lightGray"/>
        </w:rPr>
        <w:fldChar w:fldCharType="separate"/>
      </w:r>
      <w:r w:rsidR="002E5C6A">
        <w:rPr>
          <w:b/>
          <w:i/>
          <w:highlight w:val="lightGray"/>
        </w:rPr>
        <w:t>4.2</w:t>
      </w:r>
      <w:r>
        <w:rPr>
          <w:b/>
          <w:i/>
          <w:highlight w:val="lightGray"/>
        </w:rPr>
        <w:fldChar w:fldCharType="end"/>
      </w:r>
      <w:r>
        <w:rPr>
          <w:b/>
          <w:i/>
          <w:highlight w:val="lightGray"/>
        </w:rPr>
        <w:t xml:space="preserve"> is to be included for all Hybrid Projects.</w:t>
      </w:r>
      <w:r>
        <w:rPr>
          <w:highlight w:val="lightGray"/>
        </w:rPr>
        <w:t>]</w:t>
      </w:r>
      <w:r>
        <w:t xml:space="preserve"> </w:t>
      </w:r>
    </w:p>
    <w:p w14:paraId="7FF5E93F" w14:textId="2B34A162" w:rsidR="00DE3179" w:rsidRDefault="00DE3179" w:rsidP="00DE3179">
      <w:pPr>
        <w:pStyle w:val="Indent2"/>
        <w:rPr>
          <w:bCs/>
        </w:rPr>
      </w:pPr>
      <w:r>
        <w:t>[</w:t>
      </w:r>
      <w:r>
        <w:rPr>
          <w:b/>
          <w:i/>
          <w:highlight w:val="lightGray"/>
        </w:rPr>
        <w:t xml:space="preserve">Note: the below clause </w:t>
      </w:r>
      <w:r>
        <w:rPr>
          <w:b/>
          <w:i/>
          <w:highlight w:val="lightGray"/>
        </w:rPr>
        <w:fldChar w:fldCharType="begin"/>
      </w:r>
      <w:r>
        <w:rPr>
          <w:b/>
          <w:i/>
          <w:highlight w:val="lightGray"/>
        </w:rPr>
        <w:instrText xml:space="preserve"> REF _Ref159414562 \w \h  \* MERGEFORMAT </w:instrText>
      </w:r>
      <w:r>
        <w:rPr>
          <w:b/>
          <w:i/>
          <w:highlight w:val="lightGray"/>
        </w:rPr>
      </w:r>
      <w:r>
        <w:rPr>
          <w:b/>
          <w:i/>
          <w:highlight w:val="lightGray"/>
        </w:rPr>
        <w:fldChar w:fldCharType="separate"/>
      </w:r>
      <w:r w:rsidR="002E5C6A">
        <w:rPr>
          <w:b/>
          <w:i/>
          <w:highlight w:val="lightGray"/>
        </w:rPr>
        <w:t>4.2</w:t>
      </w:r>
      <w:r>
        <w:rPr>
          <w:b/>
          <w:i/>
          <w:highlight w:val="lightGray"/>
        </w:rPr>
        <w:fldChar w:fldCharType="end"/>
      </w:r>
      <w:r>
        <w:rPr>
          <w:b/>
          <w:i/>
          <w:highlight w:val="lightGray"/>
        </w:rPr>
        <w:t xml:space="preserve"> [</w:t>
      </w:r>
      <w:r w:rsidR="00CE5AE0">
        <w:rPr>
          <w:b/>
          <w:i/>
          <w:highlight w:val="lightGray"/>
        </w:rPr>
        <w:t>Staged</w:t>
      </w:r>
      <w:r w:rsidR="49D70CC2">
        <w:rPr>
          <w:b/>
          <w:i/>
          <w:highlight w:val="lightGray"/>
        </w:rPr>
        <w:t xml:space="preserve"> </w:t>
      </w:r>
      <w:r>
        <w:rPr>
          <w:b/>
          <w:i/>
          <w:highlight w:val="lightGray"/>
        </w:rPr>
        <w:t>Project Metering] is to be included for all Staged Projects.</w:t>
      </w:r>
      <w:r>
        <w:rPr>
          <w:highlight w:val="lightGray"/>
        </w:rPr>
        <w:t>]</w:t>
      </w:r>
      <w:r>
        <w:t xml:space="preserve"> </w:t>
      </w:r>
    </w:p>
    <w:p w14:paraId="18022095" w14:textId="77777777" w:rsidR="00DE3179" w:rsidRDefault="00DE3179" w:rsidP="008F660B">
      <w:pPr>
        <w:pStyle w:val="Heading2"/>
        <w:numPr>
          <w:ilvl w:val="0"/>
          <w:numId w:val="0"/>
        </w:numPr>
        <w:ind w:left="737"/>
      </w:pPr>
      <w:bookmarkStart w:id="2228" w:name="_Toc202968793"/>
      <w:bookmarkStart w:id="2229" w:name="_Toc207309573"/>
      <w:r>
        <w:t>[Staged Project metering</w:t>
      </w:r>
      <w:bookmarkEnd w:id="2228"/>
      <w:bookmarkEnd w:id="2229"/>
    </w:p>
    <w:p w14:paraId="24A8B000" w14:textId="77777777" w:rsidR="00DE3179" w:rsidRDefault="00DE3179" w:rsidP="00DE3179">
      <w:pPr>
        <w:pStyle w:val="Indent2"/>
      </w:pPr>
      <w:r>
        <w:t xml:space="preserve">Prior to the Commercial Operations Date, Project Operator must install and commission Facility Sub-Metering (as defined in the ESM Rules) for each of the Project and the Existing Project that: </w:t>
      </w:r>
    </w:p>
    <w:p w14:paraId="7674A87E" w14:textId="77777777" w:rsidR="00DE3179" w:rsidRDefault="00DE3179" w:rsidP="008F660B">
      <w:pPr>
        <w:pStyle w:val="Heading3"/>
        <w:numPr>
          <w:ilvl w:val="2"/>
          <w:numId w:val="115"/>
        </w:numPr>
      </w:pPr>
      <w:r>
        <w:t>are of sufficient accuracy to meet the metering accuracy requirements specified by AEMO for meters used for settlement of the WEM;</w:t>
      </w:r>
    </w:p>
    <w:p w14:paraId="7470E853" w14:textId="77777777" w:rsidR="00DE3179" w:rsidRDefault="00DE3179" w:rsidP="008F660B">
      <w:pPr>
        <w:pStyle w:val="Heading3"/>
        <w:numPr>
          <w:ilvl w:val="2"/>
          <w:numId w:val="61"/>
        </w:numPr>
      </w:pPr>
      <w:r>
        <w:t xml:space="preserve">are in accordance with the requirements of the Clean Energy Regulator for the purposes of calculating or determining any entitlement to LGCs; </w:t>
      </w:r>
    </w:p>
    <w:p w14:paraId="2A8DB06A" w14:textId="77777777" w:rsidR="00DE3179" w:rsidRDefault="00DE3179" w:rsidP="008F660B">
      <w:pPr>
        <w:pStyle w:val="Heading3"/>
        <w:numPr>
          <w:ilvl w:val="2"/>
          <w:numId w:val="61"/>
        </w:numPr>
      </w:pPr>
      <w:r>
        <w:t>meet any other applicable requirements under the ESM Rules; and</w:t>
      </w:r>
    </w:p>
    <w:p w14:paraId="18B59A84" w14:textId="77777777" w:rsidR="00DE3179" w:rsidRDefault="00DE3179" w:rsidP="008F660B">
      <w:pPr>
        <w:pStyle w:val="Heading3"/>
        <w:numPr>
          <w:ilvl w:val="2"/>
          <w:numId w:val="61"/>
        </w:numPr>
      </w:pPr>
      <w:r>
        <w:t>are consistent with the Metering Diagram.]</w:t>
      </w:r>
    </w:p>
    <w:p w14:paraId="623DDFE3" w14:textId="3450DCE3" w:rsidR="00A52C33" w:rsidRPr="00A52C33" w:rsidRDefault="004C3DBA" w:rsidP="0058045D">
      <w:pPr>
        <w:pStyle w:val="Heading1"/>
      </w:pPr>
      <w:bookmarkStart w:id="2230" w:name="_Toc206075895"/>
      <w:bookmarkStart w:id="2231" w:name="_Toc206154391"/>
      <w:bookmarkStart w:id="2232" w:name="_Toc206075896"/>
      <w:bookmarkStart w:id="2233" w:name="_Toc206154392"/>
      <w:bookmarkStart w:id="2234" w:name="_Toc206075897"/>
      <w:bookmarkStart w:id="2235" w:name="_Toc206154393"/>
      <w:bookmarkStart w:id="2236" w:name="_Toc206075898"/>
      <w:bookmarkStart w:id="2237" w:name="_Toc206154394"/>
      <w:bookmarkStart w:id="2238" w:name="_Toc206075899"/>
      <w:bookmarkStart w:id="2239" w:name="_Toc206154395"/>
      <w:bookmarkStart w:id="2240" w:name="_Toc206075900"/>
      <w:bookmarkStart w:id="2241" w:name="_Toc206154396"/>
      <w:bookmarkStart w:id="2242" w:name="_Ref180353388"/>
      <w:bookmarkStart w:id="2243" w:name="_Toc207309574"/>
      <w:bookmarkEnd w:id="2223"/>
      <w:bookmarkEnd w:id="2224"/>
      <w:bookmarkEnd w:id="2225"/>
      <w:bookmarkEnd w:id="2226"/>
      <w:bookmarkEnd w:id="2227"/>
      <w:bookmarkEnd w:id="2230"/>
      <w:bookmarkEnd w:id="2231"/>
      <w:bookmarkEnd w:id="2232"/>
      <w:bookmarkEnd w:id="2233"/>
      <w:bookmarkEnd w:id="2234"/>
      <w:bookmarkEnd w:id="2235"/>
      <w:bookmarkEnd w:id="2236"/>
      <w:bookmarkEnd w:id="2237"/>
      <w:bookmarkEnd w:id="2238"/>
      <w:bookmarkEnd w:id="2239"/>
      <w:bookmarkEnd w:id="2240"/>
      <w:bookmarkEnd w:id="2241"/>
      <w:r>
        <w:t>Achievement of Milestones</w:t>
      </w:r>
      <w:bookmarkEnd w:id="2242"/>
      <w:bookmarkEnd w:id="2243"/>
      <w:r>
        <w:t xml:space="preserve"> </w:t>
      </w:r>
    </w:p>
    <w:p w14:paraId="7AC2FF46" w14:textId="77777777" w:rsidR="001A73B8" w:rsidRPr="007A2AA9" w:rsidRDefault="49D70CC2" w:rsidP="008F660B">
      <w:pPr>
        <w:pStyle w:val="Heading2"/>
        <w:numPr>
          <w:ilvl w:val="1"/>
          <w:numId w:val="78"/>
        </w:numPr>
      </w:pPr>
      <w:bookmarkStart w:id="2244" w:name="_Toc156909131"/>
      <w:bookmarkStart w:id="2245" w:name="_Toc207309575"/>
      <w:r>
        <w:t>Notification of satisfaction of Milestones</w:t>
      </w:r>
      <w:bookmarkEnd w:id="2244"/>
      <w:bookmarkEnd w:id="2245"/>
    </w:p>
    <w:p w14:paraId="25C80B48" w14:textId="3C592007" w:rsidR="003C0168" w:rsidRDefault="2C388DF0" w:rsidP="0058045D">
      <w:pPr>
        <w:pStyle w:val="Heading3"/>
      </w:pPr>
      <w:r>
        <w:t>Project Operator must notify the Commonwealth 20 Business Days prior to the date on which it reasonably expects to achieve a Milestone. If, after Project Operator provides that notice to the Commonwealth, the date on which Project Operator reasonably expects to achieve that Milestone changes, then Project Operator must notify the Commonwealth promptly of the revised date.</w:t>
      </w:r>
    </w:p>
    <w:p w14:paraId="029FE4D0" w14:textId="77777777" w:rsidR="004C3DBA" w:rsidRDefault="004C3DBA" w:rsidP="004C3DBA">
      <w:pPr>
        <w:pStyle w:val="Heading3"/>
      </w:pPr>
      <w:bookmarkStart w:id="2246" w:name="_Ref174105896"/>
      <w:r w:rsidRPr="00FE75EC">
        <w:t xml:space="preserve">If a Milestone has been achieved before the Signing Date, Project Operator must notify the </w:t>
      </w:r>
      <w:r w:rsidRPr="00A93ED5">
        <w:t>Commonwealth of that fact within 20 Business Days after the Signing Date.</w:t>
      </w:r>
      <w:bookmarkEnd w:id="2246"/>
    </w:p>
    <w:p w14:paraId="7EF71CE7" w14:textId="6CBB9BBA" w:rsidR="009473EC" w:rsidRPr="00A93ED5" w:rsidRDefault="009473EC" w:rsidP="004C3DBA">
      <w:pPr>
        <w:pStyle w:val="Heading3"/>
      </w:pPr>
      <w:bookmarkStart w:id="2247" w:name="_Ref177060796"/>
      <w:r w:rsidRPr="009473EC">
        <w:t xml:space="preserve">When paragraph </w:t>
      </w:r>
      <w:r w:rsidR="007944B4">
        <w:fldChar w:fldCharType="begin"/>
      </w:r>
      <w:r w:rsidR="007944B4">
        <w:instrText xml:space="preserve"> REF _Ref174105896 \n \h </w:instrText>
      </w:r>
      <w:r w:rsidR="007944B4">
        <w:fldChar w:fldCharType="separate"/>
      </w:r>
      <w:r w:rsidR="002E5C6A">
        <w:t>(b)</w:t>
      </w:r>
      <w:r w:rsidR="007944B4">
        <w:fldChar w:fldCharType="end"/>
      </w:r>
      <w:r w:rsidRPr="009473EC">
        <w:t xml:space="preserve"> does not apply, Project Operator must notify the Commonwealth within 10 Business Days after becoming aware that it has achieved a Milestone.</w:t>
      </w:r>
      <w:bookmarkEnd w:id="2247"/>
    </w:p>
    <w:p w14:paraId="06657D89" w14:textId="6DD13DEF" w:rsidR="001A73B8" w:rsidRDefault="000042A3" w:rsidP="00A0771D">
      <w:pPr>
        <w:pStyle w:val="Heading3"/>
      </w:pPr>
      <w:r>
        <w:t xml:space="preserve">A </w:t>
      </w:r>
      <w:r w:rsidR="2C388DF0">
        <w:t xml:space="preserve">notice </w:t>
      </w:r>
      <w:r w:rsidRPr="00A93ED5">
        <w:t xml:space="preserve">under paragraph </w:t>
      </w:r>
      <w:r w:rsidR="009473EC">
        <w:fldChar w:fldCharType="begin"/>
      </w:r>
      <w:r w:rsidR="009473EC">
        <w:instrText xml:space="preserve"> REF _Ref174105896 \r \h </w:instrText>
      </w:r>
      <w:r w:rsidR="009473EC">
        <w:fldChar w:fldCharType="separate"/>
      </w:r>
      <w:r w:rsidR="002E5C6A">
        <w:t>(b)</w:t>
      </w:r>
      <w:r w:rsidR="009473EC">
        <w:fldChar w:fldCharType="end"/>
      </w:r>
      <w:r w:rsidR="009473EC">
        <w:t xml:space="preserve"> or </w:t>
      </w:r>
      <w:r w:rsidR="009473EC">
        <w:fldChar w:fldCharType="begin"/>
      </w:r>
      <w:r w:rsidR="009473EC">
        <w:instrText xml:space="preserve"> REF _Ref177060796 \r \h </w:instrText>
      </w:r>
      <w:r w:rsidR="009473EC">
        <w:fldChar w:fldCharType="separate"/>
      </w:r>
      <w:r w:rsidR="002E5C6A">
        <w:t>(c)</w:t>
      </w:r>
      <w:r w:rsidR="009473EC">
        <w:fldChar w:fldCharType="end"/>
      </w:r>
      <w:r w:rsidR="009473EC" w:rsidRPr="00A93ED5">
        <w:t xml:space="preserve"> </w:t>
      </w:r>
      <w:r w:rsidR="2C388DF0">
        <w:t xml:space="preserve">must include evidence </w:t>
      </w:r>
      <w:r>
        <w:t xml:space="preserve">reasonably required to demonstrate </w:t>
      </w:r>
      <w:r w:rsidR="2C388DF0">
        <w:t>that the Milestone has been achieved, including a copy of any relevant approval, notification or other document.</w:t>
      </w:r>
    </w:p>
    <w:p w14:paraId="7E8DA2F8" w14:textId="77777777" w:rsidR="00377F8A" w:rsidRDefault="49D70CC2" w:rsidP="008E6FF4">
      <w:pPr>
        <w:pStyle w:val="Heading2"/>
      </w:pPr>
      <w:bookmarkStart w:id="2248" w:name="_Ref165020408"/>
      <w:bookmarkStart w:id="2249" w:name="_Toc207309576"/>
      <w:r>
        <w:t>Extension for Force Majeure Events prior to Financial Close</w:t>
      </w:r>
      <w:bookmarkEnd w:id="2248"/>
      <w:bookmarkEnd w:id="2249"/>
      <w:r>
        <w:t xml:space="preserve"> </w:t>
      </w:r>
    </w:p>
    <w:p w14:paraId="1AB1F8C2" w14:textId="5D836630" w:rsidR="00377F8A" w:rsidRDefault="2C388DF0" w:rsidP="0058045D">
      <w:pPr>
        <w:pStyle w:val="Heading3"/>
      </w:pPr>
      <w:bookmarkStart w:id="2250" w:name="_Ref165020137"/>
      <w:r>
        <w:t xml:space="preserve">If Project Operator is, or reasonably expects that it will be, delayed in achieving </w:t>
      </w:r>
      <w:r w:rsidR="00023353">
        <w:t>one or more</w:t>
      </w:r>
      <w:r>
        <w:t xml:space="preserve"> Milestone</w:t>
      </w:r>
      <w:r w:rsidR="00023353">
        <w:t>s</w:t>
      </w:r>
      <w:r>
        <w:t xml:space="preserve"> by the </w:t>
      </w:r>
      <w:r w:rsidR="00023353">
        <w:t xml:space="preserve">applicable </w:t>
      </w:r>
      <w:r>
        <w:t>Milestone Date as a result of a Force Majeure Event, then Project Operator must:</w:t>
      </w:r>
      <w:bookmarkEnd w:id="2250"/>
      <w:r>
        <w:t xml:space="preserve"> </w:t>
      </w:r>
    </w:p>
    <w:p w14:paraId="38A0FD46" w14:textId="65251649" w:rsidR="00377F8A" w:rsidRDefault="2C388DF0" w:rsidP="0058045D">
      <w:pPr>
        <w:pStyle w:val="Heading4"/>
      </w:pPr>
      <w:bookmarkStart w:id="2251" w:name="_Ref165020139"/>
      <w:r>
        <w:t xml:space="preserve">notify the Commonwealth of the occurrence of </w:t>
      </w:r>
      <w:r w:rsidR="00023353">
        <w:t>the</w:t>
      </w:r>
      <w:r>
        <w:t xml:space="preserve"> Force Majeure Event as soon as reasonably practicable (and no later than </w:t>
      </w:r>
      <w:r w:rsidR="000042A3">
        <w:t>10</w:t>
      </w:r>
      <w:r>
        <w:t xml:space="preserve"> Business Days after </w:t>
      </w:r>
      <w:r w:rsidR="000042A3">
        <w:t xml:space="preserve">it becomes aware of </w:t>
      </w:r>
      <w:r>
        <w:t>the commencement of the Force Majeure Event) giving reasonable details of:</w:t>
      </w:r>
      <w:bookmarkEnd w:id="2251"/>
      <w:r>
        <w:t xml:space="preserve"> </w:t>
      </w:r>
    </w:p>
    <w:p w14:paraId="13213542" w14:textId="77777777" w:rsidR="00377F8A" w:rsidRDefault="2C388DF0" w:rsidP="0058045D">
      <w:pPr>
        <w:pStyle w:val="Heading5"/>
      </w:pPr>
      <w:r>
        <w:t>the date on which the Force Majeure Event commenced;</w:t>
      </w:r>
    </w:p>
    <w:p w14:paraId="7C04DBBF" w14:textId="77777777" w:rsidR="00377F8A" w:rsidRDefault="2C388DF0" w:rsidP="0058045D">
      <w:pPr>
        <w:pStyle w:val="Heading5"/>
      </w:pPr>
      <w:r>
        <w:t xml:space="preserve">the Force Majeure Event, including its expected duration; </w:t>
      </w:r>
    </w:p>
    <w:p w14:paraId="616F261F" w14:textId="67FE3EBA" w:rsidR="00377F8A" w:rsidRDefault="2C388DF0" w:rsidP="0058045D">
      <w:pPr>
        <w:pStyle w:val="Heading5"/>
      </w:pPr>
      <w:r>
        <w:t xml:space="preserve">any Milestones (including Financial Close) </w:t>
      </w:r>
      <w:r w:rsidR="00023353">
        <w:t>that</w:t>
      </w:r>
      <w:r>
        <w:t xml:space="preserve"> </w:t>
      </w:r>
      <w:r w:rsidR="00023353">
        <w:t>will be</w:t>
      </w:r>
      <w:r>
        <w:t xml:space="preserve"> delayed or </w:t>
      </w:r>
      <w:r w:rsidR="00023353">
        <w:t xml:space="preserve">are </w:t>
      </w:r>
      <w:r>
        <w:t>expected to be delayed by the Force Majeure Event, including the extent to which they can be achieved by the relevant Milestone Date</w:t>
      </w:r>
      <w:r w:rsidR="00BC2BE9">
        <w:t xml:space="preserve"> </w:t>
      </w:r>
      <w:r>
        <w:t xml:space="preserve">or are </w:t>
      </w:r>
      <w:r w:rsidR="00023353">
        <w:t>expected to be delayed</w:t>
      </w:r>
      <w:r>
        <w:t>; and</w:t>
      </w:r>
    </w:p>
    <w:p w14:paraId="0016574C" w14:textId="3448B42F" w:rsidR="00377F8A" w:rsidRPr="00AD5A39" w:rsidRDefault="2C388DF0" w:rsidP="0058045D">
      <w:pPr>
        <w:pStyle w:val="Heading5"/>
      </w:pPr>
      <w:bookmarkStart w:id="2252" w:name="_Ref165020201"/>
      <w:r>
        <w:t xml:space="preserve">subject to paragraph </w:t>
      </w:r>
      <w:r w:rsidR="002B2391">
        <w:fldChar w:fldCharType="begin"/>
      </w:r>
      <w:r w:rsidR="002B2391">
        <w:instrText xml:space="preserve"> REF _Ref180573589 \n \h </w:instrText>
      </w:r>
      <w:r w:rsidR="002B2391">
        <w:fldChar w:fldCharType="separate"/>
      </w:r>
      <w:r w:rsidR="002E5C6A">
        <w:t>(c)</w:t>
      </w:r>
      <w:r w:rsidR="002B2391">
        <w:fldChar w:fldCharType="end"/>
      </w:r>
      <w:r>
        <w:t>, any proposed extensions to a</w:t>
      </w:r>
      <w:r w:rsidR="008B4729">
        <w:t>ny</w:t>
      </w:r>
      <w:r>
        <w:t xml:space="preserve"> </w:t>
      </w:r>
      <w:r w:rsidRPr="00847C21">
        <w:t xml:space="preserve">Milestone </w:t>
      </w:r>
      <w:r w:rsidR="0025226E">
        <w:t xml:space="preserve">Date or Milestone </w:t>
      </w:r>
      <w:r w:rsidRPr="00847C21">
        <w:t>Date</w:t>
      </w:r>
      <w:r w:rsidR="008B4729" w:rsidRPr="00847C21">
        <w:t>s</w:t>
      </w:r>
      <w:r w:rsidRPr="00847C21">
        <w:t xml:space="preserve"> to</w:t>
      </w:r>
      <w:r>
        <w:t xml:space="preserve"> reflect the impact of the Force Majeure Event on Project Operator’s achievement of the Milestones;</w:t>
      </w:r>
      <w:bookmarkEnd w:id="2252"/>
      <w:r>
        <w:t xml:space="preserve"> </w:t>
      </w:r>
    </w:p>
    <w:p w14:paraId="741F9E87" w14:textId="5E486F31" w:rsidR="00377F8A" w:rsidRDefault="2C388DF0" w:rsidP="0058045D">
      <w:pPr>
        <w:pStyle w:val="Heading4"/>
      </w:pPr>
      <w:r>
        <w:t xml:space="preserve">keep the Commonwealth informed of any material changes </w:t>
      </w:r>
      <w:r w:rsidR="00023353">
        <w:t xml:space="preserve">to </w:t>
      </w:r>
      <w:r>
        <w:t xml:space="preserve">or developments </w:t>
      </w:r>
      <w:r w:rsidR="00023353">
        <w:t xml:space="preserve">concerning </w:t>
      </w:r>
      <w:r>
        <w:t xml:space="preserve">the information provided to the Commonwealth in the notice </w:t>
      </w:r>
      <w:r w:rsidR="00023353">
        <w:t xml:space="preserve">given </w:t>
      </w:r>
      <w:r>
        <w:t xml:space="preserve">under subparagraph </w:t>
      </w:r>
      <w:r w:rsidR="00377F8A">
        <w:fldChar w:fldCharType="begin"/>
      </w:r>
      <w:r w:rsidR="00377F8A">
        <w:instrText xml:space="preserve"> REF _Ref165020137 \n \h </w:instrText>
      </w:r>
      <w:r w:rsidR="00377F8A">
        <w:fldChar w:fldCharType="separate"/>
      </w:r>
      <w:r w:rsidR="002E5C6A">
        <w:t>(a)</w:t>
      </w:r>
      <w:r w:rsidR="00377F8A">
        <w:fldChar w:fldCharType="end"/>
      </w:r>
      <w:r w:rsidR="00377F8A">
        <w:fldChar w:fldCharType="begin"/>
      </w:r>
      <w:r w:rsidR="00377F8A">
        <w:instrText xml:space="preserve"> REF _Ref165020139 \n \h </w:instrText>
      </w:r>
      <w:r w:rsidR="00377F8A">
        <w:fldChar w:fldCharType="separate"/>
      </w:r>
      <w:r w:rsidR="002E5C6A">
        <w:t>(i)</w:t>
      </w:r>
      <w:r w:rsidR="00377F8A">
        <w:fldChar w:fldCharType="end"/>
      </w:r>
      <w:r>
        <w:t>; and</w:t>
      </w:r>
    </w:p>
    <w:p w14:paraId="7C11896B" w14:textId="0D840C38" w:rsidR="00377F8A" w:rsidRDefault="2C388DF0" w:rsidP="0058045D">
      <w:pPr>
        <w:pStyle w:val="Heading4"/>
      </w:pPr>
      <w:r>
        <w:t xml:space="preserve">use its best endeavours to overcome </w:t>
      </w:r>
      <w:r w:rsidR="00023353">
        <w:t>or</w:t>
      </w:r>
      <w:r w:rsidR="003567DA">
        <w:t>, when that is not reasonably practicable, to</w:t>
      </w:r>
      <w:r w:rsidR="00023353">
        <w:t xml:space="preserve"> </w:t>
      </w:r>
      <w:r>
        <w:t>mitigate the impact of the Force Majeure Event.</w:t>
      </w:r>
    </w:p>
    <w:p w14:paraId="47D1B665" w14:textId="0E9A8F36" w:rsidR="00377F8A" w:rsidRDefault="2C388DF0" w:rsidP="0058045D">
      <w:pPr>
        <w:pStyle w:val="Heading3"/>
      </w:pPr>
      <w:bookmarkStart w:id="2253" w:name="_Ref165020220"/>
      <w:r>
        <w:t xml:space="preserve">On receiving Project Operator’s notice </w:t>
      </w:r>
      <w:r w:rsidR="00023353">
        <w:t xml:space="preserve">given </w:t>
      </w:r>
      <w:r>
        <w:t xml:space="preserve">under subparagraph </w:t>
      </w:r>
      <w:r w:rsidR="00377F8A">
        <w:fldChar w:fldCharType="begin"/>
      </w:r>
      <w:r w:rsidR="00377F8A">
        <w:instrText xml:space="preserve"> REF _Ref165020137 \n \h </w:instrText>
      </w:r>
      <w:r w:rsidR="00377F8A">
        <w:fldChar w:fldCharType="separate"/>
      </w:r>
      <w:r w:rsidR="002E5C6A">
        <w:t>(a)</w:t>
      </w:r>
      <w:r w:rsidR="00377F8A">
        <w:fldChar w:fldCharType="end"/>
      </w:r>
      <w:r w:rsidR="00377F8A">
        <w:fldChar w:fldCharType="begin"/>
      </w:r>
      <w:r w:rsidR="00377F8A">
        <w:instrText xml:space="preserve"> REF _Ref165020139 \n \h </w:instrText>
      </w:r>
      <w:r w:rsidR="00377F8A">
        <w:fldChar w:fldCharType="separate"/>
      </w:r>
      <w:r w:rsidR="002E5C6A">
        <w:t>(i)</w:t>
      </w:r>
      <w:r w:rsidR="00377F8A">
        <w:fldChar w:fldCharType="end"/>
      </w:r>
      <w:r>
        <w:t>, the Commonwealth:</w:t>
      </w:r>
      <w:bookmarkEnd w:id="2253"/>
      <w:r>
        <w:t xml:space="preserve"> </w:t>
      </w:r>
    </w:p>
    <w:p w14:paraId="534F2984" w14:textId="77777777" w:rsidR="00377F8A" w:rsidRDefault="2C388DF0" w:rsidP="0058045D">
      <w:pPr>
        <w:pStyle w:val="Heading4"/>
      </w:pPr>
      <w:bookmarkStart w:id="2254" w:name="_Ref165020223"/>
      <w:r>
        <w:t>may request any further information from Project Operator that the Commonwealth reasonably requires in order to assess the impact of the Force Majeure Event on Project Operator’s achievement of the Milestones (as relevant), and Project Operator must promptly provide that information to the Commonwealth; and</w:t>
      </w:r>
      <w:bookmarkEnd w:id="2254"/>
    </w:p>
    <w:p w14:paraId="1EF88B37" w14:textId="4EB87B00" w:rsidR="003D7D26" w:rsidRDefault="2C388DF0" w:rsidP="0058045D">
      <w:pPr>
        <w:pStyle w:val="Heading4"/>
      </w:pPr>
      <w:r>
        <w:t xml:space="preserve">subject to paragraph </w:t>
      </w:r>
      <w:r w:rsidR="00A12FEE">
        <w:fldChar w:fldCharType="begin"/>
      </w:r>
      <w:r w:rsidR="00A12FEE">
        <w:instrText xml:space="preserve"> REF _Ref180573589 \n \h </w:instrText>
      </w:r>
      <w:r w:rsidR="00A12FEE">
        <w:fldChar w:fldCharType="separate"/>
      </w:r>
      <w:r w:rsidR="002E5C6A">
        <w:t>(c)</w:t>
      </w:r>
      <w:r w:rsidR="00A12FEE">
        <w:fldChar w:fldCharType="end"/>
      </w:r>
      <w:r>
        <w:t xml:space="preserve">, must confirm: </w:t>
      </w:r>
    </w:p>
    <w:p w14:paraId="400183CA" w14:textId="733176F5" w:rsidR="003D7D26" w:rsidRDefault="2C388DF0" w:rsidP="0058045D">
      <w:pPr>
        <w:pStyle w:val="Heading5"/>
      </w:pPr>
      <w:r>
        <w:t>whether the proposed extension to a</w:t>
      </w:r>
      <w:r w:rsidR="008B4729">
        <w:t>ny</w:t>
      </w:r>
      <w:r>
        <w:t xml:space="preserve"> Milestone Date</w:t>
      </w:r>
      <w:r w:rsidR="008B4729">
        <w:t>s</w:t>
      </w:r>
      <w:r>
        <w:t xml:space="preserve"> requested by Project Operator under subparagraph </w:t>
      </w:r>
      <w:r w:rsidR="00377F8A">
        <w:fldChar w:fldCharType="begin"/>
      </w:r>
      <w:r w:rsidR="00377F8A">
        <w:instrText xml:space="preserve"> REF _Ref165020137 \n \h </w:instrText>
      </w:r>
      <w:r w:rsidR="00377F8A">
        <w:fldChar w:fldCharType="separate"/>
      </w:r>
      <w:r w:rsidR="002E5C6A">
        <w:t>(a)</w:t>
      </w:r>
      <w:r w:rsidR="00377F8A">
        <w:fldChar w:fldCharType="end"/>
      </w:r>
      <w:r w:rsidR="00377F8A">
        <w:fldChar w:fldCharType="begin"/>
      </w:r>
      <w:r w:rsidR="00377F8A">
        <w:instrText xml:space="preserve"> REF _Ref165020139 \n \h </w:instrText>
      </w:r>
      <w:r w:rsidR="00377F8A">
        <w:fldChar w:fldCharType="separate"/>
      </w:r>
      <w:r w:rsidR="002E5C6A">
        <w:t>(i)</w:t>
      </w:r>
      <w:r w:rsidR="00377F8A">
        <w:fldChar w:fldCharType="end"/>
      </w:r>
      <w:r w:rsidR="00377F8A">
        <w:fldChar w:fldCharType="begin"/>
      </w:r>
      <w:r w:rsidR="00377F8A">
        <w:instrText xml:space="preserve"> REF _Ref165020201 \n \h </w:instrText>
      </w:r>
      <w:r w:rsidR="00377F8A">
        <w:fldChar w:fldCharType="separate"/>
      </w:r>
      <w:r w:rsidR="002E5C6A">
        <w:t>(D)</w:t>
      </w:r>
      <w:r w:rsidR="00377F8A">
        <w:fldChar w:fldCharType="end"/>
      </w:r>
      <w:r>
        <w:t xml:space="preserve"> is granted</w:t>
      </w:r>
      <w:r w:rsidR="00023353">
        <w:t>, in whole or in part</w:t>
      </w:r>
      <w:r w:rsidR="0025226E">
        <w:t xml:space="preserve"> or rejected</w:t>
      </w:r>
      <w:r>
        <w:t xml:space="preserve">; and </w:t>
      </w:r>
    </w:p>
    <w:p w14:paraId="1529A8D0" w14:textId="6610C2A1" w:rsidR="003D7D26" w:rsidRDefault="2C388DF0" w:rsidP="0058045D">
      <w:pPr>
        <w:pStyle w:val="Heading5"/>
      </w:pPr>
      <w:r>
        <w:t xml:space="preserve">if </w:t>
      </w:r>
      <w:r w:rsidR="007460DC">
        <w:t>the proposed extension is granted (in whole or in part), the new Milestone Date or</w:t>
      </w:r>
      <w:r>
        <w:t xml:space="preserve"> Milestone Date</w:t>
      </w:r>
      <w:r w:rsidR="007460DC">
        <w:t>s</w:t>
      </w:r>
      <w:r>
        <w:t xml:space="preserve">, </w:t>
      </w:r>
    </w:p>
    <w:p w14:paraId="7A3DF186" w14:textId="77777777" w:rsidR="00377F8A" w:rsidRDefault="2BC382E4" w:rsidP="003A24AE">
      <w:pPr>
        <w:spacing w:before="120" w:after="120"/>
        <w:ind w:left="2211"/>
      </w:pPr>
      <w:r>
        <w:t xml:space="preserve">by the later of: </w:t>
      </w:r>
    </w:p>
    <w:p w14:paraId="3567AA33" w14:textId="296EFDF1" w:rsidR="00377F8A" w:rsidRDefault="2C388DF0" w:rsidP="003A24AE">
      <w:pPr>
        <w:pStyle w:val="Heading5"/>
        <w:spacing w:before="120"/>
      </w:pPr>
      <w:r>
        <w:t xml:space="preserve">20 Business Days after receiving Project Operator’s notice under subparagraph </w:t>
      </w:r>
      <w:r w:rsidR="00377F8A">
        <w:fldChar w:fldCharType="begin"/>
      </w:r>
      <w:r w:rsidR="00377F8A">
        <w:instrText xml:space="preserve"> REF _Ref165020137 \n \h </w:instrText>
      </w:r>
      <w:r w:rsidR="00377F8A">
        <w:fldChar w:fldCharType="separate"/>
      </w:r>
      <w:r w:rsidR="002E5C6A">
        <w:t>(a)</w:t>
      </w:r>
      <w:r w:rsidR="00377F8A">
        <w:fldChar w:fldCharType="end"/>
      </w:r>
      <w:r w:rsidR="00377F8A">
        <w:fldChar w:fldCharType="begin"/>
      </w:r>
      <w:r w:rsidR="00377F8A">
        <w:instrText xml:space="preserve"> REF _Ref165020139 \n \h </w:instrText>
      </w:r>
      <w:r w:rsidR="00377F8A">
        <w:fldChar w:fldCharType="separate"/>
      </w:r>
      <w:r w:rsidR="002E5C6A">
        <w:t>(i)</w:t>
      </w:r>
      <w:r w:rsidR="00377F8A">
        <w:fldChar w:fldCharType="end"/>
      </w:r>
      <w:r>
        <w:t xml:space="preserve">; and </w:t>
      </w:r>
    </w:p>
    <w:p w14:paraId="64F93E91" w14:textId="70B60006" w:rsidR="00377F8A" w:rsidRDefault="2C388DF0" w:rsidP="0058045D">
      <w:pPr>
        <w:pStyle w:val="Heading5"/>
      </w:pPr>
      <w:bookmarkStart w:id="2255" w:name="_Ref165022904"/>
      <w:r>
        <w:t xml:space="preserve">20 Business Days after receiving any further information that the Commonwealth has requested from Project Operator under subparagraph </w:t>
      </w:r>
      <w:r w:rsidR="00377F8A">
        <w:fldChar w:fldCharType="begin"/>
      </w:r>
      <w:r w:rsidR="00377F8A">
        <w:instrText xml:space="preserve"> REF _Ref165020220 \n \h </w:instrText>
      </w:r>
      <w:r w:rsidR="00377F8A">
        <w:fldChar w:fldCharType="separate"/>
      </w:r>
      <w:r w:rsidR="002E5C6A">
        <w:t>(b)</w:t>
      </w:r>
      <w:r w:rsidR="00377F8A">
        <w:fldChar w:fldCharType="end"/>
      </w:r>
      <w:r w:rsidR="00377F8A">
        <w:fldChar w:fldCharType="begin"/>
      </w:r>
      <w:r w:rsidR="00377F8A">
        <w:instrText xml:space="preserve"> REF _Ref165020223 \n \h </w:instrText>
      </w:r>
      <w:r w:rsidR="00377F8A">
        <w:fldChar w:fldCharType="separate"/>
      </w:r>
      <w:r w:rsidR="002E5C6A">
        <w:t>(i)</w:t>
      </w:r>
      <w:r w:rsidR="00377F8A">
        <w:fldChar w:fldCharType="end"/>
      </w:r>
      <w:r>
        <w:t>.</w:t>
      </w:r>
      <w:bookmarkEnd w:id="2255"/>
    </w:p>
    <w:p w14:paraId="48E22AED" w14:textId="24C4A2A6" w:rsidR="0010693C" w:rsidRPr="0010693C" w:rsidRDefault="00377F8A" w:rsidP="0058045D">
      <w:pPr>
        <w:pStyle w:val="Heading3"/>
      </w:pPr>
      <w:bookmarkStart w:id="2256" w:name="_Ref180573589"/>
      <w:r w:rsidRPr="2C388DF0">
        <w:t>If Project Operator is</w:t>
      </w:r>
      <w:r w:rsidR="008B4729">
        <w:t xml:space="preserve"> or will be</w:t>
      </w:r>
      <w:r w:rsidRPr="2C388DF0">
        <w:t xml:space="preserve"> prevented or delayed in </w:t>
      </w:r>
      <w:r w:rsidR="00B076B2" w:rsidRPr="2C388DF0">
        <w:t>achieving</w:t>
      </w:r>
      <w:r w:rsidR="00417307">
        <w:rPr>
          <w:szCs w:val="18"/>
        </w:rPr>
        <w:t xml:space="preserve"> </w:t>
      </w:r>
      <w:r w:rsidR="00906601" w:rsidRPr="2C388DF0">
        <w:t xml:space="preserve">a Milestone </w:t>
      </w:r>
      <w:r w:rsidRPr="2C388DF0">
        <w:t xml:space="preserve">by the </w:t>
      </w:r>
      <w:r w:rsidR="00906601" w:rsidRPr="2C388DF0">
        <w:t xml:space="preserve">relevant Milestone Date </w:t>
      </w:r>
      <w:r w:rsidRPr="2C388DF0">
        <w:t xml:space="preserve">due to a Force Majeure Event, then </w:t>
      </w:r>
      <w:r w:rsidR="00906601" w:rsidRPr="2C388DF0">
        <w:t>the relevant Milestone Date</w:t>
      </w:r>
      <w:r w:rsidR="00BC2BE9">
        <w:t xml:space="preserve"> </w:t>
      </w:r>
      <w:r w:rsidR="003567DA">
        <w:t>will</w:t>
      </w:r>
      <w:r w:rsidR="003567DA" w:rsidRPr="2C388DF0">
        <w:t xml:space="preserve"> </w:t>
      </w:r>
      <w:r w:rsidRPr="2C388DF0">
        <w:t>be extended by one day for each day of delay</w:t>
      </w:r>
      <w:r w:rsidR="0072476F" w:rsidRPr="0072476F">
        <w:rPr>
          <w:szCs w:val="18"/>
        </w:rPr>
        <w:t xml:space="preserve"> </w:t>
      </w:r>
      <w:r w:rsidR="0072476F" w:rsidRPr="2C388DF0">
        <w:t>caused exclusively by the Force Majeure Event</w:t>
      </w:r>
      <w:r w:rsidR="003567DA">
        <w:t>, as determined by the Commonwealth, acting reasonably</w:t>
      </w:r>
      <w:r w:rsidR="0072476F" w:rsidRPr="2C388DF0">
        <w:t xml:space="preserve"> (and, for clarity, not including any </w:t>
      </w:r>
      <w:r w:rsidR="00FA4538" w:rsidRPr="2C388DF0">
        <w:t>C</w:t>
      </w:r>
      <w:r w:rsidR="0072476F" w:rsidRPr="2C388DF0">
        <w:t xml:space="preserve">oncurrent </w:t>
      </w:r>
      <w:r w:rsidR="00FA4538" w:rsidRPr="2C388DF0">
        <w:t>D</w:t>
      </w:r>
      <w:r w:rsidR="0072476F" w:rsidRPr="2C388DF0">
        <w:t>elays</w:t>
      </w:r>
      <w:r w:rsidR="000042A3">
        <w:t xml:space="preserve"> </w:t>
      </w:r>
      <w:r w:rsidR="000042A3" w:rsidRPr="0082131D">
        <w:t>unless the Commonwealth determines</w:t>
      </w:r>
      <w:r w:rsidR="000042A3">
        <w:t xml:space="preserve"> (in its absolute discretion)</w:t>
      </w:r>
      <w:r w:rsidR="000042A3" w:rsidRPr="0082131D">
        <w:t xml:space="preserve"> and advises Project Operator that it will allow the </w:t>
      </w:r>
      <w:r w:rsidR="000042A3">
        <w:t>extension of the Milestone Date</w:t>
      </w:r>
      <w:r w:rsidR="000042A3" w:rsidRPr="0082131D">
        <w:t>, in whole or in part, despite the Concurrent Delay</w:t>
      </w:r>
      <w:r w:rsidR="0072476F" w:rsidRPr="2C388DF0">
        <w:t>)</w:t>
      </w:r>
      <w:r w:rsidR="004F1F8F" w:rsidRPr="2C388DF0">
        <w:t xml:space="preserve"> in accordance with this clause </w:t>
      </w:r>
      <w:r w:rsidR="004F1F8F">
        <w:rPr>
          <w:szCs w:val="18"/>
        </w:rPr>
        <w:fldChar w:fldCharType="begin"/>
      </w:r>
      <w:r w:rsidR="004F1F8F">
        <w:rPr>
          <w:szCs w:val="18"/>
        </w:rPr>
        <w:instrText xml:space="preserve"> REF _Ref165020408 \w \h </w:instrText>
      </w:r>
      <w:r w:rsidR="004F1F8F">
        <w:rPr>
          <w:szCs w:val="18"/>
        </w:rPr>
      </w:r>
      <w:r w:rsidR="004F1F8F">
        <w:rPr>
          <w:szCs w:val="18"/>
        </w:rPr>
        <w:fldChar w:fldCharType="separate"/>
      </w:r>
      <w:r w:rsidR="002E5C6A">
        <w:rPr>
          <w:szCs w:val="18"/>
        </w:rPr>
        <w:t>5.2</w:t>
      </w:r>
      <w:r w:rsidR="004F1F8F">
        <w:rPr>
          <w:szCs w:val="18"/>
        </w:rPr>
        <w:fldChar w:fldCharType="end"/>
      </w:r>
      <w:r w:rsidRPr="2C388DF0">
        <w:t>, provided</w:t>
      </w:r>
      <w:r w:rsidR="003567DA">
        <w:t xml:space="preserve"> that</w:t>
      </w:r>
      <w:r w:rsidRPr="2C388DF0">
        <w:t xml:space="preserve"> the </w:t>
      </w:r>
      <w:r w:rsidR="00906601" w:rsidRPr="2C388DF0">
        <w:t xml:space="preserve">Milestone Date </w:t>
      </w:r>
      <w:r w:rsidRPr="2C388DF0">
        <w:t xml:space="preserve">may not be extended beyond the date that is </w:t>
      </w:r>
      <w:r w:rsidR="00A31077" w:rsidRPr="2C388DF0">
        <w:t>12</w:t>
      </w:r>
      <w:r w:rsidRPr="2C388DF0">
        <w:t xml:space="preserve"> months after the </w:t>
      </w:r>
      <w:r w:rsidR="00906601" w:rsidRPr="2C388DF0">
        <w:t xml:space="preserve">Milestone Date </w:t>
      </w:r>
      <w:r>
        <w:t xml:space="preserve">set out in item </w:t>
      </w:r>
      <w:r w:rsidR="00906601">
        <w:fldChar w:fldCharType="begin"/>
      </w:r>
      <w:r w:rsidR="00906601">
        <w:instrText xml:space="preserve"> REF _Ref159256658 \w \h </w:instrText>
      </w:r>
      <w:r w:rsidR="00906601">
        <w:fldChar w:fldCharType="separate"/>
      </w:r>
      <w:r w:rsidR="002E5C6A">
        <w:t>21</w:t>
      </w:r>
      <w:r w:rsidR="00906601">
        <w:fldChar w:fldCharType="end"/>
      </w:r>
      <w:r w:rsidR="00C075E7">
        <w:t xml:space="preserve"> </w:t>
      </w:r>
      <w:bookmarkStart w:id="2257" w:name="_Ref165020084"/>
      <w:r w:rsidR="00F81DE8">
        <w:t xml:space="preserve">and </w:t>
      </w:r>
      <w:r w:rsidR="00F81DE8">
        <w:fldChar w:fldCharType="begin"/>
      </w:r>
      <w:r w:rsidR="00F81DE8">
        <w:instrText xml:space="preserve"> REF _Ref159415173 \r \h </w:instrText>
      </w:r>
      <w:r w:rsidR="00F81DE8">
        <w:fldChar w:fldCharType="separate"/>
      </w:r>
      <w:r w:rsidR="002E5C6A">
        <w:t>22</w:t>
      </w:r>
      <w:r w:rsidR="00F81DE8">
        <w:fldChar w:fldCharType="end"/>
      </w:r>
      <w:r w:rsidR="00F81DE8">
        <w:t xml:space="preserve"> </w:t>
      </w:r>
      <w:r>
        <w:t xml:space="preserve">of the Reference Details </w:t>
      </w:r>
      <w:r w:rsidR="00023353">
        <w:t>as at the Signing Date</w:t>
      </w:r>
      <w:r>
        <w:t>.</w:t>
      </w:r>
      <w:bookmarkEnd w:id="2256"/>
      <w:bookmarkEnd w:id="2257"/>
      <w:r>
        <w:rPr>
          <w:szCs w:val="18"/>
        </w:rPr>
        <w:t xml:space="preserve"> </w:t>
      </w:r>
    </w:p>
    <w:p w14:paraId="27958F4E" w14:textId="46C59846" w:rsidR="00FA767F" w:rsidRDefault="49D70CC2" w:rsidP="0058045D">
      <w:pPr>
        <w:pStyle w:val="Heading2"/>
      </w:pPr>
      <w:bookmarkStart w:id="2258" w:name="_Toc166244827"/>
      <w:bookmarkStart w:id="2259" w:name="_Toc166256445"/>
      <w:bookmarkStart w:id="2260" w:name="_Toc166244828"/>
      <w:bookmarkStart w:id="2261" w:name="_Toc166256446"/>
      <w:bookmarkStart w:id="2262" w:name="_Toc166244829"/>
      <w:bookmarkStart w:id="2263" w:name="_Toc166256447"/>
      <w:bookmarkStart w:id="2264" w:name="_Ref103281885"/>
      <w:bookmarkStart w:id="2265" w:name="_Toc156909132"/>
      <w:bookmarkStart w:id="2266" w:name="_Toc207309577"/>
      <w:bookmarkEnd w:id="2258"/>
      <w:bookmarkEnd w:id="2259"/>
      <w:bookmarkEnd w:id="2260"/>
      <w:bookmarkEnd w:id="2261"/>
      <w:bookmarkEnd w:id="2262"/>
      <w:bookmarkEnd w:id="2263"/>
      <w:r>
        <w:t xml:space="preserve">Milestone Cure Plan other than </w:t>
      </w:r>
      <w:r w:rsidR="00023353">
        <w:t xml:space="preserve">for </w:t>
      </w:r>
      <w:r>
        <w:t>Force Majeure Event</w:t>
      </w:r>
      <w:bookmarkEnd w:id="2264"/>
      <w:bookmarkEnd w:id="2265"/>
      <w:bookmarkEnd w:id="2266"/>
    </w:p>
    <w:p w14:paraId="2FA76892" w14:textId="178F9347" w:rsidR="00622798" w:rsidRPr="00622798" w:rsidRDefault="2C388DF0" w:rsidP="0058045D">
      <w:pPr>
        <w:pStyle w:val="Heading3"/>
      </w:pPr>
      <w:bookmarkStart w:id="2267" w:name="_Ref165387239"/>
      <w:r>
        <w:t>Project Operator must notify the Commonwealth as soon as reasonably practicable after becoming aware that it will be, or is likely to be, delayed in achieving a Milestone by the relevant Milestone Date other than to the extent</w:t>
      </w:r>
      <w:r w:rsidR="000042A3">
        <w:t xml:space="preserve"> that</w:t>
      </w:r>
      <w:r>
        <w:t xml:space="preserve"> </w:t>
      </w:r>
      <w:r w:rsidR="00023353">
        <w:t xml:space="preserve">the delay is </w:t>
      </w:r>
      <w:r w:rsidR="003567DA">
        <w:t xml:space="preserve">as </w:t>
      </w:r>
      <w:r>
        <w:t>a result of a Force Majeure Event.</w:t>
      </w:r>
      <w:bookmarkEnd w:id="2267"/>
      <w:r>
        <w:t xml:space="preserve"> </w:t>
      </w:r>
    </w:p>
    <w:p w14:paraId="44637C96" w14:textId="77777777" w:rsidR="00622798" w:rsidRDefault="2C388DF0" w:rsidP="00961F64">
      <w:pPr>
        <w:pStyle w:val="Heading3"/>
        <w:keepNext/>
        <w:rPr>
          <w:szCs w:val="18"/>
        </w:rPr>
      </w:pPr>
      <w:bookmarkStart w:id="2268" w:name="_Ref204184465"/>
      <w:bookmarkStart w:id="2269" w:name="_Ref114217616"/>
      <w:bookmarkStart w:id="2270" w:name="_Ref103281879"/>
      <w:bookmarkStart w:id="2271" w:name="_Ref103709631"/>
      <w:r>
        <w:t>If:</w:t>
      </w:r>
      <w:bookmarkEnd w:id="2268"/>
      <w:r>
        <w:t xml:space="preserve"> </w:t>
      </w:r>
    </w:p>
    <w:p w14:paraId="37AF4E46" w14:textId="57B16348" w:rsidR="00622798" w:rsidRDefault="00622798" w:rsidP="0058045D">
      <w:pPr>
        <w:pStyle w:val="Heading4"/>
        <w:rPr>
          <w:szCs w:val="18"/>
        </w:rPr>
      </w:pPr>
      <w:r w:rsidRPr="2C388DF0">
        <w:t xml:space="preserve">Project Operator has notified the Commonwealth under paragraph </w:t>
      </w:r>
      <w:r>
        <w:rPr>
          <w:szCs w:val="18"/>
        </w:rPr>
        <w:fldChar w:fldCharType="begin"/>
      </w:r>
      <w:r>
        <w:rPr>
          <w:szCs w:val="18"/>
        </w:rPr>
        <w:instrText xml:space="preserve"> REF _Ref165387239 \n \h </w:instrText>
      </w:r>
      <w:r>
        <w:rPr>
          <w:szCs w:val="18"/>
        </w:rPr>
      </w:r>
      <w:r>
        <w:rPr>
          <w:szCs w:val="18"/>
        </w:rPr>
        <w:fldChar w:fldCharType="separate"/>
      </w:r>
      <w:r w:rsidR="002E5C6A">
        <w:rPr>
          <w:szCs w:val="18"/>
        </w:rPr>
        <w:t>(a)</w:t>
      </w:r>
      <w:r>
        <w:rPr>
          <w:szCs w:val="18"/>
        </w:rPr>
        <w:fldChar w:fldCharType="end"/>
      </w:r>
      <w:r w:rsidRPr="2C388DF0">
        <w:t>; or</w:t>
      </w:r>
    </w:p>
    <w:p w14:paraId="5B5AADB8" w14:textId="7F86AD95" w:rsidR="00622798" w:rsidRDefault="2C388DF0" w:rsidP="0058045D">
      <w:pPr>
        <w:pStyle w:val="Heading4"/>
        <w:rPr>
          <w:szCs w:val="18"/>
        </w:rPr>
      </w:pPr>
      <w:r>
        <w:t>a Milestone has not been satisfied on or before the relevant Milestone Date</w:t>
      </w:r>
      <w:r w:rsidR="0025226E">
        <w:t>,</w:t>
      </w:r>
    </w:p>
    <w:p w14:paraId="40C740F6" w14:textId="24CE7DFD" w:rsidR="001A73B8" w:rsidRDefault="2BC382E4" w:rsidP="008E4A1B">
      <w:pPr>
        <w:pStyle w:val="Heading4"/>
        <w:numPr>
          <w:ilvl w:val="0"/>
          <w:numId w:val="0"/>
        </w:numPr>
        <w:ind w:left="1474"/>
        <w:rPr>
          <w:szCs w:val="18"/>
        </w:rPr>
      </w:pPr>
      <w:r>
        <w:t>then</w:t>
      </w:r>
      <w:r w:rsidR="003567DA">
        <w:t>, within 30 Business Days after</w:t>
      </w:r>
      <w:r>
        <w:t xml:space="preserve"> the </w:t>
      </w:r>
      <w:r w:rsidR="003567DA">
        <w:t xml:space="preserve">earlier of Project Operator’s notice under paragraph </w:t>
      </w:r>
      <w:r w:rsidR="00B93906">
        <w:rPr>
          <w:szCs w:val="18"/>
        </w:rPr>
        <w:fldChar w:fldCharType="begin"/>
      </w:r>
      <w:r w:rsidR="00B93906">
        <w:rPr>
          <w:szCs w:val="18"/>
        </w:rPr>
        <w:instrText xml:space="preserve"> REF _Ref165387239 \n \h </w:instrText>
      </w:r>
      <w:r w:rsidR="00B93906">
        <w:rPr>
          <w:szCs w:val="18"/>
        </w:rPr>
      </w:r>
      <w:r w:rsidR="00B93906">
        <w:rPr>
          <w:szCs w:val="18"/>
        </w:rPr>
        <w:fldChar w:fldCharType="separate"/>
      </w:r>
      <w:r w:rsidR="002E5C6A">
        <w:rPr>
          <w:szCs w:val="18"/>
        </w:rPr>
        <w:t>(a)</w:t>
      </w:r>
      <w:r w:rsidR="00B93906">
        <w:rPr>
          <w:szCs w:val="18"/>
        </w:rPr>
        <w:fldChar w:fldCharType="end"/>
      </w:r>
      <w:r w:rsidR="003567DA">
        <w:t xml:space="preserve"> and the relevant Milestone Date (or such other period as is agreed between the parties), </w:t>
      </w:r>
      <w:r>
        <w:t>Project Operator</w:t>
      </w:r>
      <w:r w:rsidR="003567DA">
        <w:t xml:space="preserve"> must submit</w:t>
      </w:r>
      <w:r>
        <w:t xml:space="preserve"> a </w:t>
      </w:r>
      <w:r w:rsidR="003567DA">
        <w:t>draft</w:t>
      </w:r>
      <w:r>
        <w:t xml:space="preserve"> cure plan which demonstrates that Project Operator is reasonably likely to achieve that Milestone (“</w:t>
      </w:r>
      <w:r w:rsidRPr="2BC382E4">
        <w:rPr>
          <w:b/>
          <w:bCs/>
        </w:rPr>
        <w:t>Draft Milestone Cure Plan</w:t>
      </w:r>
      <w:r>
        <w:t>”).</w:t>
      </w:r>
      <w:bookmarkEnd w:id="2269"/>
    </w:p>
    <w:p w14:paraId="37140465" w14:textId="1DDF16FD" w:rsidR="00A9533D" w:rsidRPr="0044407D" w:rsidRDefault="003567DA" w:rsidP="0058045D">
      <w:pPr>
        <w:pStyle w:val="Heading3"/>
      </w:pPr>
      <w:bookmarkStart w:id="2272" w:name="_Ref165022762"/>
      <w:bookmarkStart w:id="2273" w:name="_Ref165388549"/>
      <w:bookmarkEnd w:id="2270"/>
      <w:bookmarkEnd w:id="2271"/>
      <w:r>
        <w:t>A</w:t>
      </w:r>
      <w:r w:rsidR="2C388DF0">
        <w:t xml:space="preserve"> Draft Milestone Cure Plan </w:t>
      </w:r>
      <w:r>
        <w:t xml:space="preserve">submitted by Project Operator under paragraph </w:t>
      </w:r>
      <w:r w:rsidR="00B93906">
        <w:fldChar w:fldCharType="begin"/>
      </w:r>
      <w:r w:rsidR="00B93906">
        <w:instrText xml:space="preserve"> REF _Ref204184465 \n \h </w:instrText>
      </w:r>
      <w:r w:rsidR="00B93906">
        <w:fldChar w:fldCharType="separate"/>
      </w:r>
      <w:r w:rsidR="002E5C6A">
        <w:t>(b)</w:t>
      </w:r>
      <w:r w:rsidR="00B93906">
        <w:fldChar w:fldCharType="end"/>
      </w:r>
      <w:r>
        <w:t xml:space="preserve"> must include </w:t>
      </w:r>
      <w:r w:rsidR="00023353">
        <w:t xml:space="preserve">any proposed changes to the </w:t>
      </w:r>
      <w:r>
        <w:t xml:space="preserve">affected </w:t>
      </w:r>
      <w:r w:rsidR="00023353">
        <w:t>Milestone Date</w:t>
      </w:r>
      <w:r>
        <w:t>(</w:t>
      </w:r>
      <w:r w:rsidR="00023353">
        <w:t>s</w:t>
      </w:r>
      <w:r>
        <w:t>)</w:t>
      </w:r>
      <w:r w:rsidR="00023353">
        <w:t xml:space="preserve"> and </w:t>
      </w:r>
      <w:r w:rsidR="2C388DF0">
        <w:t>sufficient detail for the Commonwealth to determine (at its discretion) whether the Draft Milestone Cure Plan should be approved or rejected. The Commonwealth may request any further information from Project Operator that the Commonwealth reasonably requires in order to determine whether to approve or reject the Draft Milestone Cure Plan, and Project Operator must promptly provide that information to the Commonwealth</w:t>
      </w:r>
      <w:bookmarkEnd w:id="2272"/>
      <w:r w:rsidR="2C388DF0">
        <w:t>.</w:t>
      </w:r>
      <w:bookmarkEnd w:id="2273"/>
    </w:p>
    <w:p w14:paraId="15F9672B" w14:textId="77777777" w:rsidR="001A73B8" w:rsidRPr="004C03B2" w:rsidRDefault="2C388DF0" w:rsidP="0058045D">
      <w:pPr>
        <w:pStyle w:val="Heading3"/>
      </w:pPr>
      <w:bookmarkStart w:id="2274" w:name="_Ref103281637"/>
      <w:bookmarkStart w:id="2275" w:name="_Ref106207653"/>
      <w:bookmarkStart w:id="2276" w:name="_Ref114217639"/>
      <w:r>
        <w:t>Within 40 Business Days after the later of receiving the Draft Milestone Cure Plan and receiving any further information requested by the Commonwealth, the Commonwealth must use reasonable endeavours to either approve or reject the Draft Milestone Cure Plan.</w:t>
      </w:r>
      <w:bookmarkEnd w:id="2274"/>
      <w:bookmarkEnd w:id="2275"/>
      <w:bookmarkEnd w:id="2276"/>
    </w:p>
    <w:p w14:paraId="1BF7933F" w14:textId="02544412" w:rsidR="001A73B8" w:rsidRDefault="2C388DF0" w:rsidP="0058045D">
      <w:pPr>
        <w:pStyle w:val="Heading3"/>
      </w:pPr>
      <w:bookmarkStart w:id="2277" w:name="_Ref106271813"/>
      <w:r>
        <w:t xml:space="preserve">If the Commonwealth approves (at its discretion) the Draft Milestone Cure Plan under paragraph </w:t>
      </w:r>
      <w:r w:rsidR="001A73B8">
        <w:fldChar w:fldCharType="begin"/>
      </w:r>
      <w:r w:rsidR="001A73B8">
        <w:instrText xml:space="preserve"> REF _Ref103281637 \n \h </w:instrText>
      </w:r>
      <w:r w:rsidR="001A73B8">
        <w:fldChar w:fldCharType="separate"/>
      </w:r>
      <w:r w:rsidR="002E5C6A">
        <w:t>(d)</w:t>
      </w:r>
      <w:r w:rsidR="001A73B8">
        <w:fldChar w:fldCharType="end"/>
      </w:r>
      <w:r>
        <w:t xml:space="preserve"> (“</w:t>
      </w:r>
      <w:r w:rsidRPr="2C388DF0">
        <w:rPr>
          <w:b/>
          <w:bCs/>
        </w:rPr>
        <w:t>Approved Milestone Cure Plan</w:t>
      </w:r>
      <w:r>
        <w:t>”), then:</w:t>
      </w:r>
      <w:bookmarkEnd w:id="2277"/>
      <w:r>
        <w:t xml:space="preserve"> </w:t>
      </w:r>
    </w:p>
    <w:p w14:paraId="03D89B54" w14:textId="77777777" w:rsidR="001A73B8" w:rsidRDefault="2C388DF0" w:rsidP="0058045D">
      <w:pPr>
        <w:pStyle w:val="Heading4"/>
        <w:rPr>
          <w:szCs w:val="18"/>
        </w:rPr>
      </w:pPr>
      <w:r>
        <w:t xml:space="preserve">Project Operator must comply with the Approved Milestone Cure Plan; </w:t>
      </w:r>
    </w:p>
    <w:p w14:paraId="27CB84EA" w14:textId="77777777" w:rsidR="001A73B8" w:rsidRDefault="2C388DF0" w:rsidP="0058045D">
      <w:pPr>
        <w:pStyle w:val="Heading4"/>
        <w:rPr>
          <w:szCs w:val="18"/>
        </w:rPr>
      </w:pPr>
      <w:r>
        <w:t>within 10 Business Days after the end of each month, Project Operator must provide to the Commonwealth a monthly report that sets out Project Operator’s progress in achieving the Approved Milestone Cure Plan; and</w:t>
      </w:r>
    </w:p>
    <w:p w14:paraId="45B6BC9B" w14:textId="393F82ED" w:rsidR="00805A37" w:rsidRPr="00ED4554" w:rsidRDefault="2C388DF0" w:rsidP="0058045D">
      <w:pPr>
        <w:pStyle w:val="Heading4"/>
        <w:rPr>
          <w:szCs w:val="18"/>
        </w:rPr>
      </w:pPr>
      <w:r>
        <w:t>any references to the Milestone Dates</w:t>
      </w:r>
      <w:r w:rsidR="00D9710C">
        <w:t xml:space="preserve"> in the Project Documents</w:t>
      </w:r>
      <w:r>
        <w:t xml:space="preserve"> will be read as being to the Milestone Dates as extended under the Approved Milestone Cure Plan.</w:t>
      </w:r>
    </w:p>
    <w:p w14:paraId="0E6E579C" w14:textId="77777777" w:rsidR="001A73B8" w:rsidRDefault="49D70CC2" w:rsidP="0058045D">
      <w:pPr>
        <w:pStyle w:val="Heading2"/>
      </w:pPr>
      <w:bookmarkStart w:id="2278" w:name="_Toc104385660"/>
      <w:bookmarkStart w:id="2279" w:name="_Toc104385661"/>
      <w:bookmarkStart w:id="2280" w:name="_Toc104385662"/>
      <w:bookmarkStart w:id="2281" w:name="_Toc104385663"/>
      <w:bookmarkStart w:id="2282" w:name="_Toc104385664"/>
      <w:bookmarkStart w:id="2283" w:name="_Toc104385665"/>
      <w:bookmarkStart w:id="2284" w:name="_Toc104385666"/>
      <w:bookmarkStart w:id="2285" w:name="_Toc104385667"/>
      <w:bookmarkStart w:id="2286" w:name="_Toc104385668"/>
      <w:bookmarkStart w:id="2287" w:name="_Toc104385669"/>
      <w:bookmarkStart w:id="2288" w:name="_Toc104385670"/>
      <w:bookmarkStart w:id="2289" w:name="_Toc104385671"/>
      <w:bookmarkStart w:id="2290" w:name="_Toc104385672"/>
      <w:bookmarkStart w:id="2291" w:name="_Toc104385673"/>
      <w:bookmarkStart w:id="2292" w:name="_Toc104385674"/>
      <w:bookmarkStart w:id="2293" w:name="_Ref103540128"/>
      <w:bookmarkStart w:id="2294" w:name="_Toc156909133"/>
      <w:bookmarkStart w:id="2295" w:name="_Ref165036155"/>
      <w:bookmarkStart w:id="2296" w:name="_Toc207309578"/>
      <w:bookmarkStart w:id="2297" w:name="_Hlk164869051"/>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r>
        <w:t>Failure to achieve a Milestone</w:t>
      </w:r>
      <w:bookmarkEnd w:id="2293"/>
      <w:bookmarkEnd w:id="2294"/>
      <w:bookmarkEnd w:id="2295"/>
      <w:bookmarkEnd w:id="2296"/>
    </w:p>
    <w:p w14:paraId="5744777C" w14:textId="77777777" w:rsidR="0025226E" w:rsidRDefault="0025226E" w:rsidP="008F660B">
      <w:pPr>
        <w:pStyle w:val="Heading3"/>
        <w:numPr>
          <w:ilvl w:val="2"/>
          <w:numId w:val="95"/>
        </w:numPr>
      </w:pPr>
      <w:bookmarkStart w:id="2298" w:name="_Ref206433430"/>
      <w:bookmarkStart w:id="2299" w:name="_Ref103710118"/>
      <w:r>
        <w:t>If:</w:t>
      </w:r>
      <w:bookmarkEnd w:id="2298"/>
    </w:p>
    <w:p w14:paraId="78A8A949" w14:textId="5D48457F" w:rsidR="0025226E" w:rsidRDefault="0025226E" w:rsidP="008F660B">
      <w:pPr>
        <w:pStyle w:val="Heading4"/>
        <w:numPr>
          <w:ilvl w:val="3"/>
          <w:numId w:val="95"/>
        </w:numPr>
      </w:pPr>
      <w:r w:rsidRPr="2C388DF0">
        <w:t>Project Operator has notified the Commonwealth under paragraph</w:t>
      </w:r>
      <w:r>
        <w:t> </w:t>
      </w:r>
      <w:r>
        <w:fldChar w:fldCharType="begin"/>
      </w:r>
      <w:r>
        <w:instrText xml:space="preserve"> REF _Ref165387239 \r \h </w:instrText>
      </w:r>
      <w:r>
        <w:fldChar w:fldCharType="separate"/>
      </w:r>
      <w:r w:rsidR="002E5C6A">
        <w:t>5.3(a)</w:t>
      </w:r>
      <w:r>
        <w:fldChar w:fldCharType="end"/>
      </w:r>
      <w:r w:rsidRPr="00225A77">
        <w:rPr>
          <w:szCs w:val="18"/>
        </w:rPr>
        <w:t xml:space="preserve"> that it is </w:t>
      </w:r>
      <w:r>
        <w:t xml:space="preserve">likely to be delayed in achieving a Milestone by the relevant Milestone Date; and </w:t>
      </w:r>
    </w:p>
    <w:p w14:paraId="79733C2B" w14:textId="77777777" w:rsidR="0025226E" w:rsidRDefault="0025226E" w:rsidP="008F660B">
      <w:pPr>
        <w:pStyle w:val="Heading4"/>
        <w:numPr>
          <w:ilvl w:val="3"/>
          <w:numId w:val="95"/>
        </w:numPr>
      </w:pPr>
      <w:r>
        <w:t xml:space="preserve">that Milestone has not been satisfied on or before the relevant Milestone Date, </w:t>
      </w:r>
    </w:p>
    <w:p w14:paraId="3A23B238" w14:textId="44BF73C9" w:rsidR="001A73B8" w:rsidRDefault="0025226E" w:rsidP="0025226E">
      <w:pPr>
        <w:pStyle w:val="Heading3"/>
      </w:pPr>
      <w:r>
        <w:t>then, s</w:t>
      </w:r>
      <w:r w:rsidR="2C388DF0">
        <w:t xml:space="preserve">ubject to paragraph </w:t>
      </w:r>
      <w:r w:rsidR="00A12FEE">
        <w:fldChar w:fldCharType="begin"/>
      </w:r>
      <w:r w:rsidR="00A12FEE">
        <w:instrText xml:space="preserve"> REF _Ref176971046 \n \h </w:instrText>
      </w:r>
      <w:r w:rsidR="00A12FEE">
        <w:fldChar w:fldCharType="separate"/>
      </w:r>
      <w:r w:rsidR="002E5C6A">
        <w:t>(c)</w:t>
      </w:r>
      <w:r w:rsidR="00A12FEE">
        <w:fldChar w:fldCharType="end"/>
      </w:r>
      <w:r w:rsidR="2C388DF0">
        <w:t>, the Commonwealth may terminate this agreement by written notice to Project Operator with immediate effect</w:t>
      </w:r>
      <w:r w:rsidR="00D9710C">
        <w:t xml:space="preserve"> if Project </w:t>
      </w:r>
      <w:r w:rsidR="00D9710C" w:rsidRPr="00847C21">
        <w:t xml:space="preserve">Operator </w:t>
      </w:r>
      <w:r w:rsidR="008B4729" w:rsidRPr="00847C21">
        <w:t>fails to do one or more</w:t>
      </w:r>
      <w:r w:rsidR="00D9710C" w:rsidRPr="00847C21">
        <w:t xml:space="preserve"> of the</w:t>
      </w:r>
      <w:r w:rsidR="00D9710C">
        <w:t xml:space="preserve"> following (as applicable)</w:t>
      </w:r>
      <w:r w:rsidR="2C388DF0">
        <w:t>:</w:t>
      </w:r>
      <w:bookmarkEnd w:id="2299"/>
      <w:r w:rsidR="2C388DF0">
        <w:t xml:space="preserve"> </w:t>
      </w:r>
    </w:p>
    <w:p w14:paraId="0678F12E" w14:textId="287C837C" w:rsidR="00496096" w:rsidRDefault="2C388DF0" w:rsidP="0058045D">
      <w:pPr>
        <w:pStyle w:val="Heading4"/>
      </w:pPr>
      <w:r>
        <w:t xml:space="preserve">submit a Draft Milestone Cure Plan </w:t>
      </w:r>
      <w:r w:rsidR="009437A2">
        <w:t xml:space="preserve">in accordance with </w:t>
      </w:r>
      <w:r>
        <w:t>clause</w:t>
      </w:r>
      <w:r w:rsidR="00D9710C">
        <w:t>s</w:t>
      </w:r>
      <w:r>
        <w:t xml:space="preserve"> </w:t>
      </w:r>
      <w:r w:rsidR="00496096">
        <w:fldChar w:fldCharType="begin"/>
      </w:r>
      <w:r w:rsidR="00496096">
        <w:instrText xml:space="preserve"> REF _Ref114217616 \w \h  \* MERGEFORMAT </w:instrText>
      </w:r>
      <w:r w:rsidR="00496096">
        <w:fldChar w:fldCharType="separate"/>
      </w:r>
      <w:r w:rsidR="002E5C6A">
        <w:t>5.3(b)</w:t>
      </w:r>
      <w:r w:rsidR="00496096">
        <w:fldChar w:fldCharType="end"/>
      </w:r>
      <w:r>
        <w:t xml:space="preserve"> and </w:t>
      </w:r>
      <w:r w:rsidR="00D9710C">
        <w:fldChar w:fldCharType="begin"/>
      </w:r>
      <w:r w:rsidR="00D9710C">
        <w:instrText xml:space="preserve"> REF _Ref165388549 \w \h </w:instrText>
      </w:r>
      <w:r w:rsidR="00D9710C">
        <w:fldChar w:fldCharType="separate"/>
      </w:r>
      <w:r w:rsidR="002E5C6A">
        <w:t>5.3(c)</w:t>
      </w:r>
      <w:r w:rsidR="00D9710C">
        <w:fldChar w:fldCharType="end"/>
      </w:r>
      <w:r w:rsidR="00D9710C">
        <w:t>;</w:t>
      </w:r>
    </w:p>
    <w:p w14:paraId="704E0999" w14:textId="1200574E" w:rsidR="0025226E" w:rsidRDefault="0025226E" w:rsidP="0025226E">
      <w:pPr>
        <w:pStyle w:val="Heading4"/>
      </w:pPr>
      <w:r w:rsidRPr="0025226E">
        <w:t xml:space="preserve">have that Draft Milestone Cure Plan approved by the Commonwealth in accordance with clause </w:t>
      </w:r>
      <w:r>
        <w:rPr>
          <w:szCs w:val="18"/>
        </w:rPr>
        <w:fldChar w:fldCharType="begin"/>
      </w:r>
      <w:r>
        <w:rPr>
          <w:szCs w:val="18"/>
        </w:rPr>
        <w:instrText xml:space="preserve"> REF _Ref114217639 \w \h </w:instrText>
      </w:r>
      <w:r>
        <w:rPr>
          <w:szCs w:val="18"/>
        </w:rPr>
      </w:r>
      <w:r>
        <w:rPr>
          <w:szCs w:val="18"/>
        </w:rPr>
        <w:fldChar w:fldCharType="separate"/>
      </w:r>
      <w:r w:rsidR="002E5C6A">
        <w:rPr>
          <w:szCs w:val="18"/>
        </w:rPr>
        <w:t>5.3(d)</w:t>
      </w:r>
      <w:r>
        <w:rPr>
          <w:szCs w:val="18"/>
        </w:rPr>
        <w:fldChar w:fldCharType="end"/>
      </w:r>
      <w:r w:rsidRPr="0025226E">
        <w:t>;</w:t>
      </w:r>
    </w:p>
    <w:p w14:paraId="15231111" w14:textId="77777777" w:rsidR="0025226E" w:rsidRDefault="0025226E" w:rsidP="008F660B">
      <w:pPr>
        <w:pStyle w:val="Heading4"/>
        <w:numPr>
          <w:ilvl w:val="3"/>
          <w:numId w:val="95"/>
        </w:numPr>
      </w:pPr>
      <w:r>
        <w:t>commence performing the Approved Milestone Cure Plan in accordance with its terms;</w:t>
      </w:r>
    </w:p>
    <w:p w14:paraId="786C0E22" w14:textId="5F9D87B0" w:rsidR="0025226E" w:rsidRDefault="00023353" w:rsidP="008F660B">
      <w:pPr>
        <w:pStyle w:val="Heading4"/>
        <w:numPr>
          <w:ilvl w:val="3"/>
          <w:numId w:val="95"/>
        </w:numPr>
      </w:pPr>
      <w:r>
        <w:t xml:space="preserve">continue to </w:t>
      </w:r>
      <w:r w:rsidR="2C388DF0">
        <w:t>comply with the Approved Milestone Cure Plan in all material respects</w:t>
      </w:r>
      <w:r w:rsidR="00C00FC6">
        <w:t xml:space="preserve"> and, if it fails to comply with the Approved Milestone Cure Plan,</w:t>
      </w:r>
      <w:r w:rsidR="001C460B">
        <w:t xml:space="preserve"> </w:t>
      </w:r>
      <w:r w:rsidR="2C388DF0">
        <w:t>remedy any failure within 20 Business Days after notice from the Commonwealth</w:t>
      </w:r>
      <w:r w:rsidR="0025226E" w:rsidRPr="0025226E">
        <w:t xml:space="preserve"> </w:t>
      </w:r>
      <w:r w:rsidR="00B11061">
        <w:t>(</w:t>
      </w:r>
      <w:r w:rsidR="0025226E">
        <w:t>unless it has nonetheless satisfied the relevant Milestone by the relevant date</w:t>
      </w:r>
      <w:bookmarkStart w:id="2300" w:name="_Hlk174398364"/>
      <w:r w:rsidR="0025226E">
        <w:t xml:space="preserve"> in the Approved Milestone Cure Plan, in which case only subparagraph </w:t>
      </w:r>
      <w:r w:rsidR="00AE59BE">
        <w:fldChar w:fldCharType="begin"/>
      </w:r>
      <w:r w:rsidR="00AE59BE">
        <w:instrText xml:space="preserve"> REF _Ref199348429 \r \h </w:instrText>
      </w:r>
      <w:r w:rsidR="00AE59BE">
        <w:fldChar w:fldCharType="separate"/>
      </w:r>
      <w:r w:rsidR="002E5C6A">
        <w:t>(v)</w:t>
      </w:r>
      <w:r w:rsidR="00AE59BE">
        <w:fldChar w:fldCharType="end"/>
      </w:r>
      <w:r w:rsidR="0025226E">
        <w:t xml:space="preserve"> applies</w:t>
      </w:r>
      <w:bookmarkEnd w:id="2300"/>
      <w:r w:rsidR="0025226E">
        <w:t>); and</w:t>
      </w:r>
    </w:p>
    <w:p w14:paraId="31655F3E" w14:textId="4DBEA5A4" w:rsidR="00D9710C" w:rsidRPr="00AD5A39" w:rsidRDefault="00D9710C" w:rsidP="00D315FD">
      <w:pPr>
        <w:pStyle w:val="Heading4"/>
      </w:pPr>
      <w:r>
        <w:t>satisfy the relevant Milestone by the relevant date set out in the Approved Milestone Cure Plan.</w:t>
      </w:r>
      <w:bookmarkStart w:id="2301" w:name="_Ref199348429"/>
    </w:p>
    <w:p w14:paraId="54AEC94A" w14:textId="206730A1" w:rsidR="001A73B8" w:rsidRDefault="00F65875" w:rsidP="0058045D">
      <w:pPr>
        <w:pStyle w:val="Heading3"/>
        <w:rPr>
          <w:szCs w:val="18"/>
        </w:rPr>
      </w:pPr>
      <w:bookmarkStart w:id="2302" w:name="_Ref108098007"/>
      <w:bookmarkStart w:id="2303" w:name="_Ref176971046"/>
      <w:bookmarkStart w:id="2304" w:name="_Ref103759665"/>
      <w:bookmarkEnd w:id="2301"/>
      <w:r w:rsidRPr="2C388DF0">
        <w:t>The Commonwealth</w:t>
      </w:r>
      <w:r w:rsidR="001A73B8" w:rsidRPr="2C388DF0">
        <w:t xml:space="preserve"> must not terminate this agreement pursuant to </w:t>
      </w:r>
      <w:r w:rsidR="00C96752">
        <w:t xml:space="preserve">paragraph </w:t>
      </w:r>
      <w:r w:rsidR="004000F7">
        <w:fldChar w:fldCharType="begin"/>
      </w:r>
      <w:r w:rsidR="004000F7">
        <w:instrText xml:space="preserve"> REF _Ref103710118 \n \h </w:instrText>
      </w:r>
      <w:r w:rsidR="004000F7">
        <w:fldChar w:fldCharType="separate"/>
      </w:r>
      <w:r w:rsidR="002E5C6A">
        <w:t>(a)</w:t>
      </w:r>
      <w:r w:rsidR="004000F7">
        <w:fldChar w:fldCharType="end"/>
      </w:r>
      <w:r w:rsidR="006B450A" w:rsidRPr="2C388DF0" w:rsidDel="006B450A">
        <w:t xml:space="preserve"> </w:t>
      </w:r>
      <w:r w:rsidR="001A73B8" w:rsidRPr="2C388DF0">
        <w:t xml:space="preserve">if </w:t>
      </w:r>
      <w:r w:rsidRPr="2C388DF0">
        <w:t>Project</w:t>
      </w:r>
      <w:r w:rsidR="001A73B8" w:rsidRPr="2C388DF0">
        <w:t xml:space="preserve"> Operator</w:t>
      </w:r>
      <w:r w:rsidR="00AC56FF">
        <w:rPr>
          <w:szCs w:val="18"/>
        </w:rPr>
        <w:t xml:space="preserve"> </w:t>
      </w:r>
      <w:bookmarkStart w:id="2305" w:name="_Ref165388410"/>
      <w:bookmarkEnd w:id="2302"/>
      <w:r w:rsidR="001A73B8" w:rsidRPr="2C388DF0">
        <w:t xml:space="preserve">has submitted a Draft Milestone Cure Plan to </w:t>
      </w:r>
      <w:r w:rsidR="004C7743" w:rsidRPr="2C388DF0">
        <w:t>the Commonwealth</w:t>
      </w:r>
      <w:r w:rsidR="001A73B8" w:rsidRPr="2C388DF0">
        <w:t xml:space="preserve"> under clause </w:t>
      </w:r>
      <w:r w:rsidR="00AC56FF">
        <w:fldChar w:fldCharType="begin"/>
      </w:r>
      <w:r w:rsidR="00AC56FF">
        <w:instrText xml:space="preserve"> REF _Ref114217616 \w \h </w:instrText>
      </w:r>
      <w:r w:rsidR="00AC56FF">
        <w:fldChar w:fldCharType="separate"/>
      </w:r>
      <w:r w:rsidR="002E5C6A">
        <w:t>5.3(b)</w:t>
      </w:r>
      <w:r w:rsidR="00AC56FF">
        <w:fldChar w:fldCharType="end"/>
      </w:r>
      <w:r w:rsidR="00AC56FF">
        <w:t xml:space="preserve"> </w:t>
      </w:r>
      <w:r w:rsidR="001A73B8" w:rsidRPr="2C388DF0">
        <w:t xml:space="preserve">and </w:t>
      </w:r>
      <w:r w:rsidR="004C7743" w:rsidRPr="2C388DF0">
        <w:t>the Commonwealth</w:t>
      </w:r>
      <w:r w:rsidR="001A73B8" w:rsidRPr="2C388DF0">
        <w:t xml:space="preserve"> has not yet approved or rejected the Draft Milestone Cure Plan under clause</w:t>
      </w:r>
      <w:r w:rsidR="0093359B">
        <w:t> </w:t>
      </w:r>
      <w:r w:rsidR="001A73B8">
        <w:rPr>
          <w:szCs w:val="18"/>
        </w:rPr>
        <w:fldChar w:fldCharType="begin"/>
      </w:r>
      <w:r w:rsidR="001A73B8">
        <w:rPr>
          <w:szCs w:val="18"/>
        </w:rPr>
        <w:instrText xml:space="preserve"> REF _Ref114217639 \w \h </w:instrText>
      </w:r>
      <w:r w:rsidR="001A73B8">
        <w:rPr>
          <w:szCs w:val="18"/>
        </w:rPr>
      </w:r>
      <w:r w:rsidR="001A73B8">
        <w:rPr>
          <w:szCs w:val="18"/>
        </w:rPr>
        <w:fldChar w:fldCharType="separate"/>
      </w:r>
      <w:r w:rsidR="002E5C6A">
        <w:rPr>
          <w:szCs w:val="18"/>
        </w:rPr>
        <w:t>5.3(d)</w:t>
      </w:r>
      <w:r w:rsidR="001A73B8">
        <w:rPr>
          <w:szCs w:val="18"/>
        </w:rPr>
        <w:fldChar w:fldCharType="end"/>
      </w:r>
      <w:r w:rsidR="001A73B8" w:rsidRPr="00740EEA">
        <w:rPr>
          <w:szCs w:val="18"/>
        </w:rPr>
        <w:t>.</w:t>
      </w:r>
      <w:bookmarkEnd w:id="2303"/>
      <w:bookmarkEnd w:id="2305"/>
      <w:r w:rsidR="001A73B8" w:rsidRPr="00740EEA">
        <w:rPr>
          <w:szCs w:val="18"/>
        </w:rPr>
        <w:t xml:space="preserve"> </w:t>
      </w:r>
    </w:p>
    <w:p w14:paraId="506CF75F" w14:textId="7A2E2874" w:rsidR="004D33B0" w:rsidRDefault="00B95E9A" w:rsidP="0058045D">
      <w:pPr>
        <w:pStyle w:val="Heading3"/>
        <w:rPr>
          <w:szCs w:val="18"/>
        </w:rPr>
      </w:pPr>
      <w:bookmarkStart w:id="2306" w:name="_Ref165024555"/>
      <w:r w:rsidRPr="2C388DF0">
        <w:t>In addition to the</w:t>
      </w:r>
      <w:r w:rsidR="004D17AA" w:rsidRPr="2C388DF0">
        <w:t xml:space="preserve"> Commonwealth</w:t>
      </w:r>
      <w:r w:rsidRPr="2C388DF0">
        <w:t>’s right to, and notwithstanding whether the Commonwealth does not, terminate</w:t>
      </w:r>
      <w:r w:rsidR="004D17AA" w:rsidRPr="2C388DF0">
        <w:t xml:space="preserve"> this agreement under paragraph</w:t>
      </w:r>
      <w:r w:rsidR="00C75751">
        <w:rPr>
          <w:szCs w:val="18"/>
        </w:rPr>
        <w:t> </w:t>
      </w:r>
      <w:r w:rsidR="004D17AA" w:rsidRPr="00AC56FF">
        <w:rPr>
          <w:szCs w:val="18"/>
        </w:rPr>
        <w:fldChar w:fldCharType="begin"/>
      </w:r>
      <w:r w:rsidR="004D17AA" w:rsidRPr="00AC56FF">
        <w:rPr>
          <w:szCs w:val="18"/>
        </w:rPr>
        <w:instrText xml:space="preserve"> REF _Ref103710118 \n \h </w:instrText>
      </w:r>
      <w:r w:rsidR="004D17AA" w:rsidRPr="00AC56FF">
        <w:rPr>
          <w:szCs w:val="18"/>
        </w:rPr>
      </w:r>
      <w:r w:rsidR="004D17AA" w:rsidRPr="00AC56FF">
        <w:rPr>
          <w:szCs w:val="18"/>
        </w:rPr>
        <w:fldChar w:fldCharType="separate"/>
      </w:r>
      <w:r w:rsidR="002E5C6A">
        <w:rPr>
          <w:szCs w:val="18"/>
        </w:rPr>
        <w:t>(a)</w:t>
      </w:r>
      <w:r w:rsidR="004D17AA" w:rsidRPr="00AC56FF">
        <w:rPr>
          <w:szCs w:val="18"/>
        </w:rPr>
        <w:fldChar w:fldCharType="end"/>
      </w:r>
      <w:r w:rsidRPr="2C388DF0">
        <w:t>, i</w:t>
      </w:r>
      <w:r w:rsidR="0044743B" w:rsidRPr="2C388DF0">
        <w:t xml:space="preserve">f Project Operator does not achieve Financial Close by 40 Business Days after the FC Sunset Date </w:t>
      </w:r>
      <w:r w:rsidR="004A0DDC">
        <w:rPr>
          <w:szCs w:val="18"/>
        </w:rPr>
        <w:t>(“</w:t>
      </w:r>
      <w:r w:rsidR="004A0DDC" w:rsidRPr="2C388DF0">
        <w:rPr>
          <w:b/>
          <w:bCs/>
        </w:rPr>
        <w:t>FC Cure Period</w:t>
      </w:r>
      <w:r w:rsidR="004A0DDC" w:rsidRPr="007F1A89">
        <w:rPr>
          <w:szCs w:val="18"/>
        </w:rPr>
        <w:t>”</w:t>
      </w:r>
      <w:r w:rsidR="004A0DDC">
        <w:rPr>
          <w:szCs w:val="18"/>
        </w:rPr>
        <w:t>)</w:t>
      </w:r>
      <w:r w:rsidR="002C7ACF">
        <w:rPr>
          <w:szCs w:val="18"/>
        </w:rPr>
        <w:t>,</w:t>
      </w:r>
      <w:r w:rsidR="0044743B" w:rsidRPr="2C388DF0">
        <w:t xml:space="preserve"> then t</w:t>
      </w:r>
      <w:r w:rsidR="004D33B0" w:rsidRPr="2C388DF0">
        <w:t>his agreement will automatically terminate with immediate effect</w:t>
      </w:r>
      <w:r w:rsidR="002C7ACF" w:rsidRPr="2C388DF0">
        <w:t xml:space="preserve"> unless</w:t>
      </w:r>
      <w:r w:rsidR="004D33B0">
        <w:rPr>
          <w:szCs w:val="18"/>
        </w:rPr>
        <w:t>:</w:t>
      </w:r>
      <w:bookmarkEnd w:id="2306"/>
      <w:r w:rsidR="004D33B0">
        <w:rPr>
          <w:szCs w:val="18"/>
        </w:rPr>
        <w:t xml:space="preserve"> </w:t>
      </w:r>
    </w:p>
    <w:p w14:paraId="7F5AC908" w14:textId="5934EF4E" w:rsidR="0058002E" w:rsidRPr="0058002E" w:rsidRDefault="002C7ACF" w:rsidP="006A46E7">
      <w:pPr>
        <w:pStyle w:val="Heading4"/>
        <w:keepNext/>
      </w:pPr>
      <w:r w:rsidRPr="2C388DF0">
        <w:t>Project Operator</w:t>
      </w:r>
      <w:r>
        <w:rPr>
          <w:szCs w:val="18"/>
        </w:rPr>
        <w:t xml:space="preserve"> </w:t>
      </w:r>
      <w:r w:rsidRPr="2C388DF0">
        <w:t xml:space="preserve">has submitted a Draft Milestone Cure Plan to the Commonwealth under clause </w:t>
      </w:r>
      <w:r>
        <w:fldChar w:fldCharType="begin"/>
      </w:r>
      <w:r>
        <w:instrText xml:space="preserve"> REF _Ref114217616 \w \h </w:instrText>
      </w:r>
      <w:r>
        <w:fldChar w:fldCharType="separate"/>
      </w:r>
      <w:r w:rsidR="002E5C6A">
        <w:t>5.3(b)</w:t>
      </w:r>
      <w:r>
        <w:fldChar w:fldCharType="end"/>
      </w:r>
      <w:r>
        <w:t xml:space="preserve"> (“</w:t>
      </w:r>
      <w:r>
        <w:fldChar w:fldCharType="begin"/>
      </w:r>
      <w:r>
        <w:instrText xml:space="preserve">  REF _Ref103281885 \h </w:instrText>
      </w:r>
      <w:r>
        <w:fldChar w:fldCharType="separate"/>
      </w:r>
      <w:r w:rsidR="002E5C6A">
        <w:t>Milestone Cure Plan other than for Force Majeure Event</w:t>
      </w:r>
      <w:r>
        <w:fldChar w:fldCharType="end"/>
      </w:r>
      <w:r>
        <w:t xml:space="preserve">”) </w:t>
      </w:r>
      <w:r w:rsidRPr="2C388DF0">
        <w:t xml:space="preserve">and the Commonwealth has not yet approved or rejected the Draft Milestone Cure Plan under clause </w:t>
      </w:r>
      <w:r>
        <w:rPr>
          <w:szCs w:val="18"/>
        </w:rPr>
        <w:fldChar w:fldCharType="begin"/>
      </w:r>
      <w:r>
        <w:rPr>
          <w:szCs w:val="18"/>
        </w:rPr>
        <w:instrText xml:space="preserve"> REF _Ref114217639 \w \h </w:instrText>
      </w:r>
      <w:r>
        <w:rPr>
          <w:szCs w:val="18"/>
        </w:rPr>
      </w:r>
      <w:r>
        <w:rPr>
          <w:szCs w:val="18"/>
        </w:rPr>
        <w:fldChar w:fldCharType="separate"/>
      </w:r>
      <w:r w:rsidR="002E5C6A">
        <w:rPr>
          <w:szCs w:val="18"/>
        </w:rPr>
        <w:t>5.3(d)</w:t>
      </w:r>
      <w:r>
        <w:rPr>
          <w:szCs w:val="18"/>
        </w:rPr>
        <w:fldChar w:fldCharType="end"/>
      </w:r>
      <w:r w:rsidR="0058002E" w:rsidRPr="2C388DF0">
        <w:t xml:space="preserve">, in which case: </w:t>
      </w:r>
    </w:p>
    <w:p w14:paraId="58DF29B9" w14:textId="555F119D" w:rsidR="0058002E" w:rsidRDefault="2C388DF0" w:rsidP="0058045D">
      <w:pPr>
        <w:pStyle w:val="Heading5"/>
      </w:pPr>
      <w:r>
        <w:t xml:space="preserve">if the Commonwealth approves the Draft Milestone Cure Plan, then this agreement </w:t>
      </w:r>
      <w:r w:rsidR="00AE59BE">
        <w:t>may not be</w:t>
      </w:r>
      <w:r>
        <w:t xml:space="preserve"> terminated</w:t>
      </w:r>
      <w:r w:rsidR="00AE59BE">
        <w:t xml:space="preserve"> by the Commonwealth</w:t>
      </w:r>
      <w:r>
        <w:t xml:space="preserve"> pursuant to this paragraph </w:t>
      </w:r>
      <w:r w:rsidR="0058002E">
        <w:fldChar w:fldCharType="begin"/>
      </w:r>
      <w:r w:rsidR="0058002E">
        <w:instrText xml:space="preserve"> REF _Ref165024555 \n \h </w:instrText>
      </w:r>
      <w:r w:rsidR="0058002E">
        <w:fldChar w:fldCharType="separate"/>
      </w:r>
      <w:r w:rsidR="002E5C6A">
        <w:t>(d)</w:t>
      </w:r>
      <w:r w:rsidR="0058002E">
        <w:fldChar w:fldCharType="end"/>
      </w:r>
      <w:r>
        <w:t xml:space="preserve"> and clause </w:t>
      </w:r>
      <w:r w:rsidR="0058002E">
        <w:fldChar w:fldCharType="begin"/>
      </w:r>
      <w:r w:rsidR="0058002E">
        <w:instrText xml:space="preserve"> REF _Ref106271813 \w \h </w:instrText>
      </w:r>
      <w:r w:rsidR="0058002E">
        <w:fldChar w:fldCharType="separate"/>
      </w:r>
      <w:r w:rsidR="002E5C6A">
        <w:t>5.3(e)</w:t>
      </w:r>
      <w:r w:rsidR="0058002E">
        <w:fldChar w:fldCharType="end"/>
      </w:r>
      <w:r>
        <w:t xml:space="preserve"> applies, and this clause </w:t>
      </w:r>
      <w:r w:rsidR="0058002E">
        <w:fldChar w:fldCharType="begin"/>
      </w:r>
      <w:r w:rsidR="0058002E">
        <w:instrText xml:space="preserve"> REF _Ref103540128 \w \h </w:instrText>
      </w:r>
      <w:r w:rsidR="0058002E">
        <w:fldChar w:fldCharType="separate"/>
      </w:r>
      <w:r w:rsidR="002E5C6A">
        <w:t>5.4</w:t>
      </w:r>
      <w:r w:rsidR="0058002E">
        <w:fldChar w:fldCharType="end"/>
      </w:r>
      <w:r>
        <w:t xml:space="preserve"> will apply to any subsequent failure to achieve the relevant Milestone; or</w:t>
      </w:r>
    </w:p>
    <w:p w14:paraId="045074C1" w14:textId="77777777" w:rsidR="0058002E" w:rsidRPr="0058002E" w:rsidRDefault="2C388DF0" w:rsidP="0058045D">
      <w:pPr>
        <w:pStyle w:val="Heading5"/>
      </w:pPr>
      <w:r>
        <w:t xml:space="preserve">if the Commonwealth rejects the Draft Milestone Cure Plan, then this agreement will automatically terminate with immediate effect on the date of the rejection; or </w:t>
      </w:r>
    </w:p>
    <w:p w14:paraId="1D9BBBB9" w14:textId="44D390AB" w:rsidR="00B95E9A" w:rsidRDefault="2C388DF0" w:rsidP="0058045D">
      <w:pPr>
        <w:pStyle w:val="Heading4"/>
      </w:pPr>
      <w:r>
        <w:t xml:space="preserve">prior to the end of the FC Cure Period, the Commonwealth notifies (at its discretion) Project Operator that the FC Cure Period is extended by 20 Business Days, in which case this paragraph </w:t>
      </w:r>
      <w:r w:rsidR="00220189">
        <w:fldChar w:fldCharType="begin"/>
      </w:r>
      <w:r w:rsidR="00220189">
        <w:instrText xml:space="preserve"> REF _Ref165024555 \n \h </w:instrText>
      </w:r>
      <w:r w:rsidR="00220189">
        <w:fldChar w:fldCharType="separate"/>
      </w:r>
      <w:r w:rsidR="002E5C6A">
        <w:t>(d)</w:t>
      </w:r>
      <w:r w:rsidR="00220189">
        <w:fldChar w:fldCharType="end"/>
      </w:r>
      <w:r>
        <w:t xml:space="preserve"> will apply at the expiry of the extended FC Cure Period.</w:t>
      </w:r>
    </w:p>
    <w:p w14:paraId="3A27A99A" w14:textId="39ADCD26" w:rsidR="000042A3" w:rsidRPr="00740EEA" w:rsidRDefault="000042A3" w:rsidP="008F660B">
      <w:pPr>
        <w:pStyle w:val="Heading3"/>
        <w:numPr>
          <w:ilvl w:val="2"/>
          <w:numId w:val="84"/>
        </w:numPr>
      </w:pPr>
      <w:r w:rsidRPr="00961F64">
        <w:t xml:space="preserve">If Project Operator provides a </w:t>
      </w:r>
      <w:r>
        <w:t>document purporting to be a cure plan</w:t>
      </w:r>
      <w:r w:rsidRPr="00961F64">
        <w:t xml:space="preserve"> </w:t>
      </w:r>
      <w:r w:rsidR="00C96752">
        <w:t>in circumstances in which one is not required by this agreement</w:t>
      </w:r>
      <w:r w:rsidRPr="00961F64">
        <w:t xml:space="preserve">, this will not constitute a Draft </w:t>
      </w:r>
      <w:r>
        <w:t xml:space="preserve">Milestone </w:t>
      </w:r>
      <w:r w:rsidRPr="00961F64">
        <w:t>Cure Plan under clause</w:t>
      </w:r>
      <w:r>
        <w:t> </w:t>
      </w:r>
      <w:r>
        <w:fldChar w:fldCharType="begin"/>
      </w:r>
      <w:r>
        <w:instrText xml:space="preserve"> REF _Ref103281885 \w \h </w:instrText>
      </w:r>
      <w:r>
        <w:fldChar w:fldCharType="separate"/>
      </w:r>
      <w:r w:rsidR="002E5C6A">
        <w:t>5.3</w:t>
      </w:r>
      <w:r>
        <w:fldChar w:fldCharType="end"/>
      </w:r>
      <w:r>
        <w:t xml:space="preserve"> </w:t>
      </w:r>
      <w:r w:rsidRPr="00961F64">
        <w:t xml:space="preserve">and will not detract from </w:t>
      </w:r>
      <w:r>
        <w:t xml:space="preserve">or otherwise affect or limit </w:t>
      </w:r>
      <w:r w:rsidRPr="00961F64">
        <w:t xml:space="preserve">the Commonwealth’s rights of termination under </w:t>
      </w:r>
      <w:r>
        <w:t xml:space="preserve">this </w:t>
      </w:r>
      <w:r w:rsidRPr="00961F64">
        <w:t>clause</w:t>
      </w:r>
      <w:r>
        <w:t> </w:t>
      </w:r>
      <w:r>
        <w:fldChar w:fldCharType="begin"/>
      </w:r>
      <w:r>
        <w:instrText xml:space="preserve"> REF _Ref103540128 \w \h </w:instrText>
      </w:r>
      <w:r>
        <w:fldChar w:fldCharType="separate"/>
      </w:r>
      <w:r w:rsidR="002E5C6A">
        <w:t>5.4</w:t>
      </w:r>
      <w:r>
        <w:fldChar w:fldCharType="end"/>
      </w:r>
      <w:r w:rsidRPr="00961F64">
        <w:t>.</w:t>
      </w:r>
    </w:p>
    <w:p w14:paraId="7A7D771A" w14:textId="299C312D" w:rsidR="001A73B8" w:rsidRDefault="2C388DF0" w:rsidP="0058045D">
      <w:pPr>
        <w:pStyle w:val="Heading1"/>
      </w:pPr>
      <w:bookmarkStart w:id="2307" w:name="_Toc156909134"/>
      <w:bookmarkStart w:id="2308" w:name="_Ref159345992"/>
      <w:bookmarkStart w:id="2309" w:name="_Ref159506058"/>
      <w:bookmarkStart w:id="2310" w:name="_Toc207309579"/>
      <w:bookmarkEnd w:id="2297"/>
      <w:bookmarkEnd w:id="2304"/>
      <w:r>
        <w:t>Construction of Project</w:t>
      </w:r>
      <w:bookmarkEnd w:id="2307"/>
      <w:bookmarkEnd w:id="2308"/>
      <w:bookmarkEnd w:id="2309"/>
      <w:r w:rsidR="00694524">
        <w:t xml:space="preserve"> [and the </w:t>
      </w:r>
      <w:r w:rsidR="009437A2">
        <w:t>[</w:t>
      </w:r>
      <w:r w:rsidR="00694524">
        <w:t>Associated</w:t>
      </w:r>
      <w:r w:rsidR="00302319">
        <w:t>/Existing</w:t>
      </w:r>
      <w:r w:rsidR="009437A2">
        <w:t>]</w:t>
      </w:r>
      <w:r w:rsidR="00694524">
        <w:t xml:space="preserve"> Project]</w:t>
      </w:r>
      <w:bookmarkEnd w:id="2310"/>
    </w:p>
    <w:p w14:paraId="08B5884E" w14:textId="186A2094" w:rsidR="006A46E7" w:rsidRPr="006A46E7" w:rsidRDefault="006A46E7" w:rsidP="008F660B">
      <w:pPr>
        <w:pStyle w:val="Heading2"/>
        <w:numPr>
          <w:ilvl w:val="1"/>
          <w:numId w:val="72"/>
        </w:numPr>
        <w:rPr>
          <w:szCs w:val="18"/>
        </w:rPr>
      </w:pPr>
      <w:bookmarkStart w:id="2311" w:name="_Toc207309580"/>
      <w:r w:rsidRPr="006A46E7">
        <w:rPr>
          <w:sz w:val="20"/>
          <w:szCs w:val="18"/>
        </w:rPr>
        <w:t>Construction of the Project</w:t>
      </w:r>
      <w:r>
        <w:rPr>
          <w:sz w:val="20"/>
          <w:szCs w:val="18"/>
        </w:rPr>
        <w:t xml:space="preserve"> </w:t>
      </w:r>
      <w:r w:rsidRPr="006A46E7">
        <w:rPr>
          <w:sz w:val="20"/>
          <w:szCs w:val="18"/>
        </w:rPr>
        <w:t>[and the Associated Project]</w:t>
      </w:r>
      <w:bookmarkEnd w:id="2311"/>
    </w:p>
    <w:p w14:paraId="3A4F2AEA" w14:textId="3AA5E100" w:rsidR="001A73B8" w:rsidRPr="00615A3B" w:rsidRDefault="2BC382E4" w:rsidP="006A46E7">
      <w:pPr>
        <w:ind w:left="737"/>
      </w:pPr>
      <w:r w:rsidRPr="008F660B">
        <w:t xml:space="preserve">On and from Financial Close, Project Operator must: </w:t>
      </w:r>
    </w:p>
    <w:p w14:paraId="0A2E2043" w14:textId="0C382194" w:rsidR="001A73B8" w:rsidRDefault="2C388DF0" w:rsidP="006A46E7">
      <w:pPr>
        <w:pStyle w:val="Heading3"/>
        <w:spacing w:before="120"/>
      </w:pPr>
      <w:bookmarkStart w:id="2312" w:name="_Ref206160190"/>
      <w:r>
        <w:t>construct the Project</w:t>
      </w:r>
      <w:r w:rsidR="00694524">
        <w:t xml:space="preserve"> [</w:t>
      </w:r>
      <w:r w:rsidR="000830F3">
        <w:t xml:space="preserve">and, to the extent that Project Operator constructs the Associated Project, construct the Associated Project] </w:t>
      </w:r>
      <w:r>
        <w:t xml:space="preserve">in accordance with the Social Licence Commitments, Good Industry Practice and all applicable Laws and </w:t>
      </w:r>
      <w:r w:rsidR="001C4044">
        <w:t>A</w:t>
      </w:r>
      <w:r>
        <w:t xml:space="preserve">uthorisations; </w:t>
      </w:r>
      <w:r w:rsidR="00B12A34">
        <w:t>[</w:t>
      </w:r>
      <w:r w:rsidR="00B12A34" w:rsidRPr="00B54394">
        <w:rPr>
          <w:b/>
          <w:bCs/>
          <w:i/>
          <w:iCs/>
          <w:highlight w:val="lightGray"/>
        </w:rPr>
        <w:t xml:space="preserve">Note: words in square brackets </w:t>
      </w:r>
      <w:r w:rsidR="004000F7">
        <w:rPr>
          <w:b/>
          <w:bCs/>
          <w:i/>
          <w:iCs/>
          <w:highlight w:val="lightGray"/>
        </w:rPr>
        <w:t xml:space="preserve">are </w:t>
      </w:r>
      <w:r w:rsidR="00B12A34" w:rsidRPr="00B54394">
        <w:rPr>
          <w:b/>
          <w:bCs/>
          <w:i/>
          <w:iCs/>
          <w:highlight w:val="lightGray"/>
        </w:rPr>
        <w:t xml:space="preserve">to be included for </w:t>
      </w:r>
      <w:r w:rsidR="00066D56">
        <w:rPr>
          <w:b/>
          <w:bCs/>
          <w:i/>
          <w:iCs/>
          <w:highlight w:val="lightGray"/>
        </w:rPr>
        <w:t xml:space="preserve">all </w:t>
      </w:r>
      <w:r w:rsidR="00B12A34" w:rsidRPr="00B54394">
        <w:rPr>
          <w:b/>
          <w:bCs/>
          <w:i/>
          <w:iCs/>
          <w:highlight w:val="lightGray"/>
        </w:rPr>
        <w:t>Hybrid Projects for which the Associated Project is not</w:t>
      </w:r>
      <w:r w:rsidR="009437A2">
        <w:rPr>
          <w:b/>
          <w:bCs/>
          <w:i/>
          <w:iCs/>
          <w:highlight w:val="lightGray"/>
        </w:rPr>
        <w:t xml:space="preserve"> constructed</w:t>
      </w:r>
      <w:r w:rsidR="00AE504A">
        <w:rPr>
          <w:b/>
          <w:bCs/>
          <w:i/>
          <w:iCs/>
          <w:highlight w:val="lightGray"/>
        </w:rPr>
        <w:t xml:space="preserve"> as at the Signing Date</w:t>
      </w:r>
      <w:r w:rsidR="00B12A34" w:rsidRPr="00B54394">
        <w:rPr>
          <w:b/>
          <w:bCs/>
          <w:i/>
          <w:iCs/>
          <w:highlight w:val="lightGray"/>
        </w:rPr>
        <w:t>.</w:t>
      </w:r>
      <w:r w:rsidR="00B12A34">
        <w:t>]</w:t>
      </w:r>
      <w:bookmarkEnd w:id="2312"/>
      <w:r w:rsidR="00B12A34" w:rsidDel="00B12A34">
        <w:t xml:space="preserve"> </w:t>
      </w:r>
    </w:p>
    <w:p w14:paraId="2698683C" w14:textId="77777777" w:rsidR="001A73B8" w:rsidRDefault="2C388DF0" w:rsidP="0058045D">
      <w:pPr>
        <w:pStyle w:val="Heading3"/>
      </w:pPr>
      <w:bookmarkStart w:id="2313" w:name="_Ref103709999"/>
      <w:r>
        <w:t>use its best endeavours to satisfy the COD Conditions by the COD Target Date;</w:t>
      </w:r>
      <w:bookmarkEnd w:id="2313"/>
      <w:r>
        <w:t xml:space="preserve"> </w:t>
      </w:r>
    </w:p>
    <w:p w14:paraId="3FE37A9F" w14:textId="77777777" w:rsidR="001A73B8" w:rsidRPr="00AD5A39" w:rsidRDefault="2C388DF0" w:rsidP="0058045D">
      <w:pPr>
        <w:pStyle w:val="Heading3"/>
      </w:pPr>
      <w:r>
        <w:t>satisfy the COD Conditions by the COD Sunset Date; and</w:t>
      </w:r>
    </w:p>
    <w:p w14:paraId="14E401C7" w14:textId="7A87A862" w:rsidR="001A73B8" w:rsidRPr="007B5F85" w:rsidRDefault="001A73B8" w:rsidP="0058045D">
      <w:pPr>
        <w:pStyle w:val="Heading3"/>
        <w:rPr>
          <w:szCs w:val="18"/>
        </w:rPr>
      </w:pPr>
      <w:bookmarkStart w:id="2314" w:name="_Ref206160192"/>
      <w:r w:rsidRPr="00225577">
        <w:t>report</w:t>
      </w:r>
      <w:r w:rsidRPr="29D99465">
        <w:t xml:space="preserve"> on the construction of the Project</w:t>
      </w:r>
      <w:r w:rsidR="00694524">
        <w:t xml:space="preserve"> </w:t>
      </w:r>
      <w:r w:rsidR="000830F3">
        <w:t xml:space="preserve">[and, to the extent that Project Operator constructs the Associated Project, report on the Associated Project] </w:t>
      </w:r>
      <w:r w:rsidR="00694524">
        <w:t>[</w:t>
      </w:r>
      <w:r w:rsidR="00066D56">
        <w:t>and the Existing Project</w:t>
      </w:r>
      <w:r w:rsidR="000830F3">
        <w:t>]</w:t>
      </w:r>
      <w:r>
        <w:rPr>
          <w:szCs w:val="18"/>
        </w:rPr>
        <w:t xml:space="preserve"> </w:t>
      </w:r>
      <w:r w:rsidRPr="29D99465">
        <w:t>as set out in clause</w:t>
      </w:r>
      <w:r w:rsidR="0093359B">
        <w:t> </w:t>
      </w:r>
      <w:r w:rsidR="0093359B">
        <w:fldChar w:fldCharType="begin"/>
      </w:r>
      <w:r w:rsidR="0093359B">
        <w:instrText xml:space="preserve"> REF _Ref167304778 \w \h </w:instrText>
      </w:r>
      <w:r w:rsidR="0093359B">
        <w:fldChar w:fldCharType="separate"/>
      </w:r>
      <w:r w:rsidR="002E5C6A">
        <w:t>12.1</w:t>
      </w:r>
      <w:r w:rsidR="0093359B">
        <w:fldChar w:fldCharType="end"/>
      </w:r>
      <w:r w:rsidR="0093359B">
        <w:t xml:space="preserve"> (“</w:t>
      </w:r>
      <w:r w:rsidR="0093359B">
        <w:fldChar w:fldCharType="begin"/>
      </w:r>
      <w:r w:rsidR="0093359B">
        <w:instrText xml:space="preserve"> REF _Ref167304903 \h </w:instrText>
      </w:r>
      <w:r w:rsidR="0093359B">
        <w:fldChar w:fldCharType="separate"/>
      </w:r>
      <w:r w:rsidR="002E5C6A" w:rsidRPr="00F06646">
        <w:t>Development and construction reports</w:t>
      </w:r>
      <w:r w:rsidR="0093359B">
        <w:fldChar w:fldCharType="end"/>
      </w:r>
      <w:r w:rsidR="0093359B">
        <w:t>”).</w:t>
      </w:r>
      <w:r w:rsidR="00694524">
        <w:t xml:space="preserve"> </w:t>
      </w:r>
      <w:bookmarkEnd w:id="2314"/>
      <w:r w:rsidR="002F03AD">
        <w:t>[</w:t>
      </w:r>
      <w:r w:rsidR="002F03AD" w:rsidRPr="00B54394">
        <w:rPr>
          <w:b/>
          <w:bCs/>
          <w:i/>
          <w:iCs/>
          <w:highlight w:val="lightGray"/>
        </w:rPr>
        <w:t xml:space="preserve">Note: words in square brackets </w:t>
      </w:r>
      <w:r w:rsidR="002F03AD">
        <w:rPr>
          <w:b/>
          <w:bCs/>
          <w:i/>
          <w:iCs/>
          <w:highlight w:val="lightGray"/>
        </w:rPr>
        <w:t xml:space="preserve">are </w:t>
      </w:r>
      <w:r w:rsidR="002F03AD" w:rsidRPr="00B54394">
        <w:rPr>
          <w:b/>
          <w:bCs/>
          <w:i/>
          <w:iCs/>
          <w:highlight w:val="lightGray"/>
        </w:rPr>
        <w:t xml:space="preserve">to be included for </w:t>
      </w:r>
      <w:r w:rsidR="002F03AD">
        <w:rPr>
          <w:b/>
          <w:bCs/>
          <w:i/>
          <w:iCs/>
          <w:highlight w:val="lightGray"/>
        </w:rPr>
        <w:t xml:space="preserve">all </w:t>
      </w:r>
      <w:r w:rsidR="002F03AD" w:rsidRPr="00B54394">
        <w:rPr>
          <w:b/>
          <w:bCs/>
          <w:i/>
          <w:iCs/>
          <w:highlight w:val="lightGray"/>
        </w:rPr>
        <w:t>Hybrid Projects for which the Associated Project is not</w:t>
      </w:r>
      <w:r w:rsidR="002F03AD">
        <w:rPr>
          <w:b/>
          <w:bCs/>
          <w:i/>
          <w:iCs/>
          <w:highlight w:val="lightGray"/>
        </w:rPr>
        <w:t xml:space="preserve"> constructed as at the Signing Date</w:t>
      </w:r>
      <w:r w:rsidR="002F03AD" w:rsidRPr="00B54394">
        <w:rPr>
          <w:b/>
          <w:bCs/>
          <w:i/>
          <w:iCs/>
          <w:highlight w:val="lightGray"/>
        </w:rPr>
        <w:t>.</w:t>
      </w:r>
      <w:r w:rsidR="002F03AD">
        <w:t>]</w:t>
      </w:r>
      <w:r w:rsidR="002F03AD" w:rsidDel="00B12A34">
        <w:t xml:space="preserve"> </w:t>
      </w:r>
    </w:p>
    <w:p w14:paraId="45C7F72C" w14:textId="7F16AAE3" w:rsidR="007B5F85" w:rsidRPr="006C0B48" w:rsidRDefault="007B5F85" w:rsidP="008F660B">
      <w:pPr>
        <w:pStyle w:val="Heading3"/>
        <w:numPr>
          <w:ilvl w:val="0"/>
          <w:numId w:val="0"/>
        </w:numPr>
        <w:ind w:left="1474"/>
      </w:pPr>
      <w:r>
        <w:t>[</w:t>
      </w:r>
      <w:r w:rsidRPr="00B5754D">
        <w:rPr>
          <w:b/>
          <w:bCs/>
          <w:i/>
          <w:iCs/>
          <w:highlight w:val="lightGray"/>
        </w:rPr>
        <w:t>Note:</w:t>
      </w:r>
      <w:r>
        <w:rPr>
          <w:b/>
          <w:bCs/>
          <w:i/>
          <w:iCs/>
          <w:highlight w:val="lightGray"/>
        </w:rPr>
        <w:t xml:space="preserve"> Project Operator is </w:t>
      </w:r>
      <w:r w:rsidRPr="00B5754D">
        <w:rPr>
          <w:b/>
          <w:bCs/>
          <w:i/>
          <w:iCs/>
          <w:highlight w:val="lightGray"/>
        </w:rPr>
        <w:t xml:space="preserve">not obliged to deliver the Associated Project under this </w:t>
      </w:r>
      <w:r>
        <w:rPr>
          <w:b/>
          <w:bCs/>
          <w:i/>
          <w:iCs/>
          <w:highlight w:val="lightGray"/>
        </w:rPr>
        <w:t>a</w:t>
      </w:r>
      <w:r w:rsidRPr="00B5754D">
        <w:rPr>
          <w:b/>
          <w:bCs/>
          <w:i/>
          <w:iCs/>
          <w:highlight w:val="lightGray"/>
        </w:rPr>
        <w:t xml:space="preserve">greement. However, to the extent that Project Operator does </w:t>
      </w:r>
      <w:r>
        <w:rPr>
          <w:b/>
          <w:bCs/>
          <w:i/>
          <w:iCs/>
          <w:highlight w:val="lightGray"/>
        </w:rPr>
        <w:t>construct</w:t>
      </w:r>
      <w:r w:rsidRPr="00B5754D">
        <w:rPr>
          <w:b/>
          <w:bCs/>
          <w:i/>
          <w:iCs/>
          <w:highlight w:val="lightGray"/>
        </w:rPr>
        <w:t xml:space="preserve"> the Associated Project (irrespective of whether Project Operator ultimately delivers the Associated Project), the requirements of paragraphs </w:t>
      </w:r>
      <w:r>
        <w:rPr>
          <w:b/>
          <w:bCs/>
          <w:i/>
          <w:iCs/>
          <w:highlight w:val="lightGray"/>
        </w:rPr>
        <w:fldChar w:fldCharType="begin"/>
      </w:r>
      <w:r>
        <w:rPr>
          <w:b/>
          <w:bCs/>
          <w:i/>
          <w:iCs/>
          <w:highlight w:val="lightGray"/>
        </w:rPr>
        <w:instrText xml:space="preserve"> REF _Ref206160190 \r \h </w:instrText>
      </w:r>
      <w:r>
        <w:rPr>
          <w:b/>
          <w:bCs/>
          <w:i/>
          <w:iCs/>
          <w:highlight w:val="lightGray"/>
        </w:rPr>
      </w:r>
      <w:r>
        <w:rPr>
          <w:b/>
          <w:bCs/>
          <w:i/>
          <w:iCs/>
          <w:highlight w:val="lightGray"/>
        </w:rPr>
        <w:fldChar w:fldCharType="separate"/>
      </w:r>
      <w:r w:rsidR="002E5C6A">
        <w:rPr>
          <w:b/>
          <w:bCs/>
          <w:i/>
          <w:iCs/>
          <w:highlight w:val="lightGray"/>
        </w:rPr>
        <w:t>(a)</w:t>
      </w:r>
      <w:r>
        <w:rPr>
          <w:b/>
          <w:bCs/>
          <w:i/>
          <w:iCs/>
          <w:highlight w:val="lightGray"/>
        </w:rPr>
        <w:fldChar w:fldCharType="end"/>
      </w:r>
      <w:r>
        <w:rPr>
          <w:b/>
          <w:bCs/>
          <w:i/>
          <w:iCs/>
          <w:highlight w:val="lightGray"/>
        </w:rPr>
        <w:t xml:space="preserve"> and </w:t>
      </w:r>
      <w:r>
        <w:rPr>
          <w:b/>
          <w:bCs/>
          <w:i/>
          <w:iCs/>
          <w:highlight w:val="lightGray"/>
        </w:rPr>
        <w:fldChar w:fldCharType="begin"/>
      </w:r>
      <w:r>
        <w:rPr>
          <w:b/>
          <w:bCs/>
          <w:i/>
          <w:iCs/>
          <w:highlight w:val="lightGray"/>
        </w:rPr>
        <w:instrText xml:space="preserve"> REF _Ref206160192 \r \h </w:instrText>
      </w:r>
      <w:r>
        <w:rPr>
          <w:b/>
          <w:bCs/>
          <w:i/>
          <w:iCs/>
          <w:highlight w:val="lightGray"/>
        </w:rPr>
      </w:r>
      <w:r>
        <w:rPr>
          <w:b/>
          <w:bCs/>
          <w:i/>
          <w:iCs/>
          <w:highlight w:val="lightGray"/>
        </w:rPr>
        <w:fldChar w:fldCharType="separate"/>
      </w:r>
      <w:r w:rsidR="002E5C6A">
        <w:rPr>
          <w:b/>
          <w:bCs/>
          <w:i/>
          <w:iCs/>
          <w:highlight w:val="lightGray"/>
        </w:rPr>
        <w:t>(d)</w:t>
      </w:r>
      <w:r>
        <w:rPr>
          <w:b/>
          <w:bCs/>
          <w:i/>
          <w:iCs/>
          <w:highlight w:val="lightGray"/>
        </w:rPr>
        <w:fldChar w:fldCharType="end"/>
      </w:r>
      <w:r>
        <w:rPr>
          <w:b/>
          <w:bCs/>
          <w:i/>
          <w:iCs/>
          <w:highlight w:val="lightGray"/>
        </w:rPr>
        <w:t xml:space="preserve"> </w:t>
      </w:r>
      <w:r w:rsidRPr="00B5754D">
        <w:rPr>
          <w:b/>
          <w:bCs/>
          <w:i/>
          <w:iCs/>
          <w:highlight w:val="lightGray"/>
        </w:rPr>
        <w:t>will apply to Project Operator</w:t>
      </w:r>
      <w:r w:rsidRPr="008F660B">
        <w:rPr>
          <w:b/>
          <w:bCs/>
          <w:highlight w:val="lightGray"/>
        </w:rPr>
        <w:t>.</w:t>
      </w:r>
      <w:r w:rsidRPr="008F660B">
        <w:rPr>
          <w:highlight w:val="lightGray"/>
        </w:rPr>
        <w:t>]</w:t>
      </w:r>
    </w:p>
    <w:p w14:paraId="6DDEAEF9" w14:textId="77777777" w:rsidR="006A46E7" w:rsidRPr="00462205" w:rsidRDefault="006A46E7" w:rsidP="006A46E7">
      <w:pPr>
        <w:pStyle w:val="Heading2"/>
        <w:numPr>
          <w:ilvl w:val="1"/>
          <w:numId w:val="72"/>
        </w:numPr>
        <w:rPr>
          <w:sz w:val="20"/>
          <w:szCs w:val="18"/>
        </w:rPr>
      </w:pPr>
      <w:bookmarkStart w:id="2315" w:name="_Toc207309581"/>
      <w:bookmarkStart w:id="2316" w:name="_Ref206181751"/>
      <w:r w:rsidRPr="00462205">
        <w:rPr>
          <w:sz w:val="20"/>
          <w:szCs w:val="18"/>
        </w:rPr>
        <w:t>Construction of the Existing Project</w:t>
      </w:r>
      <w:bookmarkEnd w:id="2315"/>
    </w:p>
    <w:p w14:paraId="1A428355" w14:textId="77743862" w:rsidR="007B5F85" w:rsidRDefault="002F03AD" w:rsidP="006A46E7">
      <w:pPr>
        <w:spacing w:before="120"/>
        <w:ind w:left="737"/>
        <w:rPr>
          <w:b/>
        </w:rPr>
      </w:pPr>
      <w:r>
        <w:t>[</w:t>
      </w:r>
      <w:r w:rsidRPr="008F660B">
        <w:t>During the Term</w:t>
      </w:r>
      <w:r>
        <w:t>, Project Operator must:</w:t>
      </w:r>
      <w:bookmarkEnd w:id="2316"/>
    </w:p>
    <w:p w14:paraId="5D66DECA" w14:textId="77777777" w:rsidR="002F03AD" w:rsidRDefault="002F03AD" w:rsidP="006A46E7">
      <w:pPr>
        <w:pStyle w:val="Heading3"/>
        <w:numPr>
          <w:ilvl w:val="2"/>
          <w:numId w:val="114"/>
        </w:numPr>
        <w:spacing w:before="120"/>
      </w:pPr>
      <w:r>
        <w:t>construct the Existing Project in accordance with the Social Licence Commitments, Good Industry Practice and all applicable Laws and Authorisations; and</w:t>
      </w:r>
    </w:p>
    <w:p w14:paraId="71693B0B" w14:textId="60F9E641" w:rsidR="002F03AD" w:rsidRDefault="002F03AD" w:rsidP="008F660B">
      <w:pPr>
        <w:pStyle w:val="Heading3"/>
        <w:numPr>
          <w:ilvl w:val="2"/>
          <w:numId w:val="114"/>
        </w:numPr>
      </w:pPr>
      <w:r w:rsidDel="00B12A34">
        <w:t xml:space="preserve"> </w:t>
      </w:r>
      <w:r w:rsidRPr="00225577">
        <w:t>report</w:t>
      </w:r>
      <w:r w:rsidRPr="29D99465">
        <w:t xml:space="preserve"> on the construction of the </w:t>
      </w:r>
      <w:r>
        <w:t xml:space="preserve">Existing </w:t>
      </w:r>
      <w:r w:rsidRPr="29D99465">
        <w:t>Project</w:t>
      </w:r>
      <w:r>
        <w:t xml:space="preserve"> </w:t>
      </w:r>
      <w:r w:rsidRPr="29D99465">
        <w:t>as set out in clause</w:t>
      </w:r>
      <w:r>
        <w:t> </w:t>
      </w:r>
      <w:r>
        <w:fldChar w:fldCharType="begin"/>
      </w:r>
      <w:r>
        <w:instrText xml:space="preserve"> REF _Ref167304778 \w \h </w:instrText>
      </w:r>
      <w:r>
        <w:fldChar w:fldCharType="separate"/>
      </w:r>
      <w:r w:rsidR="002E5C6A">
        <w:t>12.1</w:t>
      </w:r>
      <w:r>
        <w:fldChar w:fldCharType="end"/>
      </w:r>
      <w:r>
        <w:t xml:space="preserve"> (“</w:t>
      </w:r>
      <w:r>
        <w:fldChar w:fldCharType="begin"/>
      </w:r>
      <w:r>
        <w:instrText xml:space="preserve"> REF _Ref167304903 \h </w:instrText>
      </w:r>
      <w:r>
        <w:fldChar w:fldCharType="separate"/>
      </w:r>
      <w:r w:rsidR="002E5C6A" w:rsidRPr="00F06646">
        <w:t>Development and construction reports</w:t>
      </w:r>
      <w:r>
        <w:fldChar w:fldCharType="end"/>
      </w:r>
      <w:r>
        <w:t>”).]</w:t>
      </w:r>
    </w:p>
    <w:p w14:paraId="566E3F13" w14:textId="0D3E9C98" w:rsidR="002F03AD" w:rsidRPr="002F03AD" w:rsidRDefault="002F03AD" w:rsidP="008F660B">
      <w:pPr>
        <w:pStyle w:val="Indent2"/>
      </w:pPr>
      <w:r>
        <w:t>[</w:t>
      </w:r>
      <w:r w:rsidRPr="002F03AD">
        <w:rPr>
          <w:b/>
          <w:bCs/>
          <w:i/>
          <w:iCs/>
          <w:highlight w:val="lightGray"/>
        </w:rPr>
        <w:t xml:space="preserve">Note: this clause </w:t>
      </w:r>
      <w:r w:rsidR="00F2769B">
        <w:rPr>
          <w:b/>
          <w:bCs/>
          <w:i/>
          <w:iCs/>
          <w:highlight w:val="lightGray"/>
        </w:rPr>
        <w:fldChar w:fldCharType="begin"/>
      </w:r>
      <w:r w:rsidR="00F2769B">
        <w:rPr>
          <w:b/>
          <w:bCs/>
          <w:i/>
          <w:iCs/>
          <w:highlight w:val="lightGray"/>
        </w:rPr>
        <w:instrText xml:space="preserve"> REF _Ref206181751 \r \h </w:instrText>
      </w:r>
      <w:r w:rsidR="00F2769B">
        <w:rPr>
          <w:b/>
          <w:bCs/>
          <w:i/>
          <w:iCs/>
          <w:highlight w:val="lightGray"/>
        </w:rPr>
      </w:r>
      <w:r w:rsidR="00F2769B">
        <w:rPr>
          <w:b/>
          <w:bCs/>
          <w:i/>
          <w:iCs/>
          <w:highlight w:val="lightGray"/>
        </w:rPr>
        <w:fldChar w:fldCharType="separate"/>
      </w:r>
      <w:r w:rsidR="002E5C6A">
        <w:rPr>
          <w:b/>
          <w:bCs/>
          <w:i/>
          <w:iCs/>
          <w:highlight w:val="lightGray"/>
        </w:rPr>
        <w:t>6.2</w:t>
      </w:r>
      <w:r w:rsidR="00F2769B">
        <w:rPr>
          <w:b/>
          <w:bCs/>
          <w:i/>
          <w:iCs/>
          <w:highlight w:val="lightGray"/>
        </w:rPr>
        <w:fldChar w:fldCharType="end"/>
      </w:r>
      <w:r w:rsidRPr="002F03AD">
        <w:rPr>
          <w:b/>
          <w:bCs/>
          <w:i/>
          <w:iCs/>
          <w:highlight w:val="lightGray"/>
        </w:rPr>
        <w:t xml:space="preserve"> is to be included for all Existing Projects which have not reached their commercial operations date as at the Signing Date.</w:t>
      </w:r>
      <w:r>
        <w:t>]</w:t>
      </w:r>
    </w:p>
    <w:p w14:paraId="0A24E4DF" w14:textId="77777777" w:rsidR="001A73B8" w:rsidRDefault="2C388DF0" w:rsidP="0058045D">
      <w:pPr>
        <w:pStyle w:val="Heading1"/>
      </w:pPr>
      <w:bookmarkStart w:id="2317" w:name="_Ref103589240"/>
      <w:bookmarkStart w:id="2318" w:name="_Toc156909135"/>
      <w:bookmarkStart w:id="2319" w:name="_Toc207309582"/>
      <w:r>
        <w:t>COD Conditions</w:t>
      </w:r>
      <w:bookmarkEnd w:id="2317"/>
      <w:bookmarkEnd w:id="2318"/>
      <w:bookmarkEnd w:id="2319"/>
    </w:p>
    <w:p w14:paraId="446CED9E" w14:textId="77777777" w:rsidR="001A73B8" w:rsidRDefault="49D70CC2" w:rsidP="008F660B">
      <w:pPr>
        <w:pStyle w:val="Heading2"/>
        <w:numPr>
          <w:ilvl w:val="1"/>
          <w:numId w:val="72"/>
        </w:numPr>
      </w:pPr>
      <w:bookmarkStart w:id="2320" w:name="_Ref103543813"/>
      <w:bookmarkStart w:id="2321" w:name="_Toc156909136"/>
      <w:bookmarkStart w:id="2322" w:name="_Ref167303438"/>
      <w:bookmarkStart w:id="2323" w:name="_Ref167305321"/>
      <w:bookmarkStart w:id="2324" w:name="_Ref167305720"/>
      <w:bookmarkStart w:id="2325" w:name="_Ref167305760"/>
      <w:bookmarkStart w:id="2326" w:name="_Toc207309583"/>
      <w:r>
        <w:t>COD Conditions</w:t>
      </w:r>
      <w:bookmarkEnd w:id="2320"/>
      <w:bookmarkEnd w:id="2321"/>
      <w:bookmarkEnd w:id="2322"/>
      <w:bookmarkEnd w:id="2323"/>
      <w:bookmarkEnd w:id="2324"/>
      <w:bookmarkEnd w:id="2325"/>
      <w:bookmarkEnd w:id="2326"/>
    </w:p>
    <w:p w14:paraId="21E49F7E" w14:textId="15834F52" w:rsidR="001A73B8" w:rsidRDefault="001A73B8" w:rsidP="00DB5156">
      <w:pPr>
        <w:pStyle w:val="BodyText"/>
        <w:keepNext/>
        <w:ind w:left="737" w:firstLine="27"/>
      </w:pPr>
      <w:r>
        <w:t xml:space="preserve">On or before the COD Sunset </w:t>
      </w:r>
      <w:r w:rsidRPr="00847C21">
        <w:t>Date</w:t>
      </w:r>
      <w:r w:rsidR="008B4729" w:rsidRPr="00847C21">
        <w:t xml:space="preserve"> </w:t>
      </w:r>
      <w:r w:rsidR="008B4729" w:rsidRPr="008F660B">
        <w:t>and unless waived by the Commonwealth in writing</w:t>
      </w:r>
      <w:r w:rsidRPr="00847C21">
        <w:t xml:space="preserve">, </w:t>
      </w:r>
      <w:r w:rsidR="002C3FC2" w:rsidRPr="00847C21">
        <w:t>Project</w:t>
      </w:r>
      <w:r w:rsidRPr="00847C21">
        <w:t xml:space="preserve"> Operator must ensure</w:t>
      </w:r>
      <w:r>
        <w:t xml:space="preserve"> that</w:t>
      </w:r>
      <w:r w:rsidRPr="00AD5A39">
        <w:t xml:space="preserve">: </w:t>
      </w:r>
    </w:p>
    <w:p w14:paraId="2C6642DD" w14:textId="77777777" w:rsidR="0014518E" w:rsidRDefault="0014518E" w:rsidP="0058045D">
      <w:pPr>
        <w:pStyle w:val="Heading3"/>
      </w:pPr>
      <w:bookmarkStart w:id="2327" w:name="_Ref103712127"/>
      <w:r>
        <w:t>the Project must:</w:t>
      </w:r>
    </w:p>
    <w:p w14:paraId="6A1FE2C3" w14:textId="0BD6C5AF" w:rsidR="004E2698" w:rsidRDefault="0014518E" w:rsidP="00467340">
      <w:pPr>
        <w:pStyle w:val="Heading4"/>
        <w:numPr>
          <w:ilvl w:val="3"/>
          <w:numId w:val="44"/>
        </w:numPr>
      </w:pPr>
      <w:r>
        <w:t xml:space="preserve">be capable </w:t>
      </w:r>
      <w:r w:rsidR="004E2698">
        <w:t xml:space="preserve">of exporting electrical energy through the </w:t>
      </w:r>
      <w:r w:rsidR="009437A2">
        <w:t xml:space="preserve">Measurement </w:t>
      </w:r>
      <w:r w:rsidR="004E2698">
        <w:t xml:space="preserve">Point </w:t>
      </w:r>
      <w:r w:rsidR="009437A2">
        <w:t xml:space="preserve">for the Project </w:t>
      </w:r>
      <w:r w:rsidR="004E2698">
        <w:t xml:space="preserve">at a level of </w:t>
      </w:r>
      <w:r w:rsidR="009C1766">
        <w:t xml:space="preserve">export </w:t>
      </w:r>
      <w:r w:rsidR="004E2698">
        <w:t xml:space="preserve">that is </w:t>
      </w:r>
      <w:r w:rsidR="009C1766">
        <w:t xml:space="preserve">between 95% and 105% of </w:t>
      </w:r>
      <w:r w:rsidR="004E2698">
        <w:t xml:space="preserve">the </w:t>
      </w:r>
      <w:r w:rsidR="004A0277">
        <w:t>Export</w:t>
      </w:r>
      <w:r w:rsidR="004E2698">
        <w:t xml:space="preserve"> Capacity;</w:t>
      </w:r>
    </w:p>
    <w:p w14:paraId="644B41CF" w14:textId="496A7429" w:rsidR="004E2698" w:rsidRDefault="004E2698" w:rsidP="00467340">
      <w:pPr>
        <w:pStyle w:val="Heading4"/>
        <w:numPr>
          <w:ilvl w:val="3"/>
          <w:numId w:val="44"/>
        </w:numPr>
      </w:pPr>
      <w:r>
        <w:t xml:space="preserve">be capable of importing electrical energy at a level </w:t>
      </w:r>
      <w:r w:rsidR="009C1766">
        <w:t xml:space="preserve">of import </w:t>
      </w:r>
      <w:r>
        <w:t xml:space="preserve">that is </w:t>
      </w:r>
      <w:r w:rsidR="009C1766">
        <w:t xml:space="preserve">between 95% and 105% of </w:t>
      </w:r>
      <w:r>
        <w:t>the Import Capacity; and</w:t>
      </w:r>
    </w:p>
    <w:p w14:paraId="36287C6A" w14:textId="3C6F2656" w:rsidR="004E2698" w:rsidRDefault="004E2698" w:rsidP="00467340">
      <w:pPr>
        <w:pStyle w:val="Heading4"/>
        <w:numPr>
          <w:ilvl w:val="3"/>
          <w:numId w:val="44"/>
        </w:numPr>
      </w:pPr>
      <w:r>
        <w:t xml:space="preserve">have an energy storage </w:t>
      </w:r>
      <w:r w:rsidRPr="00D0181E">
        <w:t xml:space="preserve">capacity that is </w:t>
      </w:r>
      <w:r w:rsidR="00E32DF0" w:rsidRPr="00D0181E">
        <w:t xml:space="preserve">between 95% and 105% of </w:t>
      </w:r>
      <w:r w:rsidRPr="00D0181E">
        <w:t>the Storage Capacity,</w:t>
      </w:r>
      <w:r w:rsidR="00B25B83" w:rsidRPr="00D0181E">
        <w:t xml:space="preserve"> [</w:t>
      </w:r>
      <w:r w:rsidR="00B25B83" w:rsidRPr="006D54FC">
        <w:rPr>
          <w:b/>
          <w:bCs/>
          <w:i/>
          <w:iCs/>
          <w:highlight w:val="lightGray"/>
        </w:rPr>
        <w:t xml:space="preserve">Note: </w:t>
      </w:r>
      <w:r w:rsidR="00CC1D85" w:rsidRPr="006D54FC">
        <w:rPr>
          <w:b/>
          <w:bCs/>
          <w:i/>
          <w:iCs/>
          <w:highlight w:val="lightGray"/>
        </w:rPr>
        <w:t>see agreement cover note regarding Non-Storage Projects</w:t>
      </w:r>
      <w:r w:rsidR="00B25B83" w:rsidRPr="006D54FC">
        <w:rPr>
          <w:b/>
          <w:bCs/>
          <w:i/>
          <w:iCs/>
          <w:highlight w:val="lightGray"/>
        </w:rPr>
        <w:t>.</w:t>
      </w:r>
      <w:r w:rsidR="00B25B83" w:rsidRPr="00D0181E">
        <w:t>]</w:t>
      </w:r>
    </w:p>
    <w:p w14:paraId="4A39BCA8" w14:textId="1632A487" w:rsidR="001A73B8" w:rsidRPr="00961F64" w:rsidRDefault="004E2698" w:rsidP="008E4A1B">
      <w:pPr>
        <w:pStyle w:val="Heading4"/>
        <w:numPr>
          <w:ilvl w:val="0"/>
          <w:numId w:val="0"/>
        </w:numPr>
        <w:ind w:left="1474"/>
      </w:pPr>
      <w:r>
        <w:t xml:space="preserve">in each case when tested in accordance with Good Industry Practice and </w:t>
      </w:r>
      <w:r w:rsidRPr="00961F64">
        <w:t>all applicable Laws</w:t>
      </w:r>
      <w:r w:rsidR="2C388DF0" w:rsidRPr="00961F64">
        <w:t>;</w:t>
      </w:r>
      <w:bookmarkEnd w:id="2327"/>
      <w:r w:rsidR="2C388DF0" w:rsidRPr="00961F64">
        <w:t xml:space="preserve"> </w:t>
      </w:r>
    </w:p>
    <w:p w14:paraId="3DDB9BD5" w14:textId="08771F19" w:rsidR="00931BA1" w:rsidRPr="00961F64" w:rsidRDefault="00957062" w:rsidP="00931BA1">
      <w:pPr>
        <w:pStyle w:val="Heading3"/>
      </w:pPr>
      <w:bookmarkStart w:id="2328" w:name="_Ref204068718"/>
      <w:bookmarkStart w:id="2329" w:name="_Ref172211350"/>
      <w:r>
        <w:t>[if the Associated Project proceeds,</w:t>
      </w:r>
      <w:r w:rsidR="00931BA1" w:rsidRPr="00961F64">
        <w:t xml:space="preserve"> </w:t>
      </w:r>
      <w:r w:rsidR="00066D56">
        <w:t xml:space="preserve">and </w:t>
      </w:r>
      <w:r w:rsidR="00931BA1" w:rsidRPr="00961F64">
        <w:t>the Associated Project Commencement Date:</w:t>
      </w:r>
      <w:bookmarkEnd w:id="2328"/>
    </w:p>
    <w:p w14:paraId="2407642E" w14:textId="41D3E5CC" w:rsidR="001A73B8" w:rsidRPr="00961F64" w:rsidRDefault="00931BA1" w:rsidP="00B053F0">
      <w:pPr>
        <w:pStyle w:val="Heading4"/>
      </w:pPr>
      <w:r w:rsidRPr="00961F64">
        <w:t xml:space="preserve">has occurred or is expected to occur within 6 months </w:t>
      </w:r>
      <w:r w:rsidR="00C81802">
        <w:t>after</w:t>
      </w:r>
      <w:r w:rsidRPr="00961F64">
        <w:t xml:space="preserve"> the satisfaction of the COD Conditions, then </w:t>
      </w:r>
      <w:r w:rsidR="2C388DF0" w:rsidRPr="00961F64">
        <w:t>Project Operator has installed metering in accordance with clause</w:t>
      </w:r>
      <w:r w:rsidR="00C81802">
        <w:t xml:space="preserve"> </w:t>
      </w:r>
      <w:r w:rsidR="00CB420F">
        <w:fldChar w:fldCharType="begin"/>
      </w:r>
      <w:r w:rsidR="00CB420F">
        <w:instrText xml:space="preserve"> REF _Ref200025655 \r \h </w:instrText>
      </w:r>
      <w:r w:rsidR="00CB420F">
        <w:fldChar w:fldCharType="separate"/>
      </w:r>
      <w:r w:rsidR="002E5C6A">
        <w:t>4.2</w:t>
      </w:r>
      <w:r w:rsidR="00CB420F">
        <w:fldChar w:fldCharType="end"/>
      </w:r>
      <w:r w:rsidR="2C388DF0" w:rsidRPr="00961F64">
        <w:t>);</w:t>
      </w:r>
      <w:bookmarkEnd w:id="2329"/>
      <w:r w:rsidRPr="00961F64">
        <w:t xml:space="preserve"> and</w:t>
      </w:r>
    </w:p>
    <w:p w14:paraId="4BD93E6E" w14:textId="71AD0470" w:rsidR="009437A2" w:rsidRDefault="009437A2" w:rsidP="008F660B">
      <w:pPr>
        <w:pStyle w:val="Heading4"/>
        <w:numPr>
          <w:ilvl w:val="3"/>
          <w:numId w:val="61"/>
        </w:numPr>
      </w:pPr>
      <w:r>
        <w:t xml:space="preserve">Project Operator has agreed with Western Power any amendment required to the ETAC or any other relevant arrangement with Western Power; and </w:t>
      </w:r>
    </w:p>
    <w:p w14:paraId="141CEC6A" w14:textId="66266980" w:rsidR="009437A2" w:rsidRPr="008F660B" w:rsidRDefault="009437A2" w:rsidP="008F660B">
      <w:pPr>
        <w:pStyle w:val="Heading3"/>
        <w:keepNext/>
        <w:numPr>
          <w:ilvl w:val="0"/>
          <w:numId w:val="0"/>
        </w:numPr>
        <w:shd w:val="clear" w:color="auto" w:fill="FFFFFF" w:themeFill="background1"/>
        <w:ind w:left="737" w:firstLine="737"/>
        <w:rPr>
          <w:b/>
          <w:bCs/>
          <w:i/>
          <w:iCs/>
        </w:rPr>
      </w:pPr>
      <w:r w:rsidRPr="009E2AE6">
        <w:rPr>
          <w:b/>
          <w:bCs/>
          <w:i/>
          <w:iCs/>
        </w:rPr>
        <w:t>[</w:t>
      </w:r>
      <w:r w:rsidRPr="006D54FC">
        <w:rPr>
          <w:b/>
          <w:bCs/>
          <w:i/>
          <w:iCs/>
          <w:highlight w:val="lightGray"/>
        </w:rPr>
        <w:t xml:space="preserve">Note: Paragraph </w:t>
      </w:r>
      <w:r>
        <w:rPr>
          <w:b/>
          <w:bCs/>
          <w:i/>
          <w:iCs/>
          <w:highlight w:val="lightGray"/>
        </w:rPr>
        <w:fldChar w:fldCharType="begin"/>
      </w:r>
      <w:r>
        <w:rPr>
          <w:b/>
          <w:bCs/>
          <w:i/>
          <w:iCs/>
          <w:highlight w:val="lightGray"/>
        </w:rPr>
        <w:instrText xml:space="preserve"> REF _Ref204068718 \n \h </w:instrText>
      </w:r>
      <w:r>
        <w:rPr>
          <w:b/>
          <w:bCs/>
          <w:i/>
          <w:iCs/>
          <w:highlight w:val="lightGray"/>
        </w:rPr>
      </w:r>
      <w:r>
        <w:rPr>
          <w:b/>
          <w:bCs/>
          <w:i/>
          <w:iCs/>
          <w:highlight w:val="lightGray"/>
        </w:rPr>
        <w:fldChar w:fldCharType="separate"/>
      </w:r>
      <w:r w:rsidR="002E5C6A">
        <w:rPr>
          <w:b/>
          <w:bCs/>
          <w:i/>
          <w:iCs/>
          <w:highlight w:val="lightGray"/>
        </w:rPr>
        <w:t>(b)</w:t>
      </w:r>
      <w:r>
        <w:rPr>
          <w:b/>
          <w:bCs/>
          <w:i/>
          <w:iCs/>
          <w:highlight w:val="lightGray"/>
        </w:rPr>
        <w:fldChar w:fldCharType="end"/>
      </w:r>
      <w:r w:rsidRPr="00957062">
        <w:rPr>
          <w:b/>
          <w:bCs/>
          <w:i/>
          <w:iCs/>
          <w:highlight w:val="lightGray"/>
        </w:rPr>
        <w:t xml:space="preserve"> is to be included for all Hybrid Projects.</w:t>
      </w:r>
      <w:r w:rsidRPr="0014518E">
        <w:rPr>
          <w:b/>
          <w:bCs/>
          <w:i/>
          <w:iCs/>
        </w:rPr>
        <w:t>]</w:t>
      </w:r>
    </w:p>
    <w:p w14:paraId="64BC6118" w14:textId="77777777" w:rsidR="00C25755" w:rsidRDefault="00C25755" w:rsidP="00C25755">
      <w:pPr>
        <w:pStyle w:val="Heading3"/>
        <w:keepNext/>
      </w:pPr>
      <w:bookmarkStart w:id="2330" w:name="_Ref205658869"/>
      <w:bookmarkStart w:id="2331" w:name="_Ref172211383"/>
      <w:r>
        <w:t>[Project Operator has:</w:t>
      </w:r>
      <w:bookmarkEnd w:id="2330"/>
    </w:p>
    <w:p w14:paraId="29E5CE6E" w14:textId="1F3821A8" w:rsidR="00C25755" w:rsidRDefault="00C25755" w:rsidP="00C25755">
      <w:pPr>
        <w:pStyle w:val="Heading4"/>
      </w:pPr>
      <w:r>
        <w:t xml:space="preserve">has installed metering in accordance with clause </w:t>
      </w:r>
      <w:r>
        <w:fldChar w:fldCharType="begin"/>
      </w:r>
      <w:r>
        <w:instrText xml:space="preserve"> REF _Ref155787474 \r \h  \* MERGEFORMAT </w:instrText>
      </w:r>
      <w:r>
        <w:fldChar w:fldCharType="separate"/>
      </w:r>
      <w:r w:rsidR="002E5C6A">
        <w:t>4.2</w:t>
      </w:r>
      <w:r>
        <w:fldChar w:fldCharType="end"/>
      </w:r>
      <w:r>
        <w:t xml:space="preserve"> (“Staged Project metering”); and</w:t>
      </w:r>
    </w:p>
    <w:p w14:paraId="702D1D56" w14:textId="77777777" w:rsidR="00C25755" w:rsidRDefault="00C25755" w:rsidP="00C25755">
      <w:pPr>
        <w:pStyle w:val="Heading4"/>
      </w:pPr>
      <w:r>
        <w:t>agreed with Western Power any amendment required to the ETAC or any other relevant arrangement with Western Power;]</w:t>
      </w:r>
    </w:p>
    <w:p w14:paraId="2B946D3D" w14:textId="2C8E3380" w:rsidR="00C25755" w:rsidRDefault="00C25755" w:rsidP="008F660B">
      <w:pPr>
        <w:pStyle w:val="Heading3"/>
        <w:numPr>
          <w:ilvl w:val="2"/>
          <w:numId w:val="0"/>
        </w:numPr>
        <w:ind w:left="737" w:firstLine="737"/>
      </w:pPr>
      <w:r>
        <w:t>[</w:t>
      </w:r>
      <w:r>
        <w:rPr>
          <w:b/>
          <w:i/>
          <w:highlight w:val="lightGray"/>
        </w:rPr>
        <w:t xml:space="preserve">Note: paragraph </w:t>
      </w:r>
      <w:r>
        <w:rPr>
          <w:b/>
          <w:i/>
          <w:highlight w:val="lightGray"/>
        </w:rPr>
        <w:fldChar w:fldCharType="begin"/>
      </w:r>
      <w:r>
        <w:rPr>
          <w:b/>
          <w:i/>
          <w:highlight w:val="lightGray"/>
        </w:rPr>
        <w:instrText xml:space="preserve"> REF _Ref205658869 \n \h </w:instrText>
      </w:r>
      <w:r>
        <w:rPr>
          <w:b/>
          <w:i/>
          <w:highlight w:val="lightGray"/>
        </w:rPr>
      </w:r>
      <w:r>
        <w:rPr>
          <w:b/>
          <w:i/>
          <w:highlight w:val="lightGray"/>
        </w:rPr>
        <w:fldChar w:fldCharType="separate"/>
      </w:r>
      <w:r w:rsidR="002E5C6A">
        <w:rPr>
          <w:b/>
          <w:i/>
          <w:highlight w:val="lightGray"/>
        </w:rPr>
        <w:t>(c)</w:t>
      </w:r>
      <w:r>
        <w:rPr>
          <w:b/>
          <w:i/>
          <w:highlight w:val="lightGray"/>
        </w:rPr>
        <w:fldChar w:fldCharType="end"/>
      </w:r>
      <w:r>
        <w:rPr>
          <w:b/>
          <w:i/>
          <w:highlight w:val="lightGray"/>
        </w:rPr>
        <w:t xml:space="preserve"> is to be included for all Staged Projects.</w:t>
      </w:r>
      <w:r>
        <w:rPr>
          <w:highlight w:val="lightGray"/>
        </w:rPr>
        <w:t>]</w:t>
      </w:r>
    </w:p>
    <w:p w14:paraId="4A9B08CF" w14:textId="0EA905D4" w:rsidR="00836E25" w:rsidRPr="00E04115" w:rsidRDefault="0077628E" w:rsidP="0058045D">
      <w:pPr>
        <w:pStyle w:val="Heading3"/>
      </w:pPr>
      <w:bookmarkStart w:id="2332" w:name="_Ref206753379"/>
      <w:r>
        <w:t>AEMO has assigned</w:t>
      </w:r>
      <w:r w:rsidR="00C74E7A">
        <w:t xml:space="preserve"> Peak</w:t>
      </w:r>
      <w:r>
        <w:t xml:space="preserve"> Capacity Credits to Project </w:t>
      </w:r>
      <w:r w:rsidR="00097C5B">
        <w:t xml:space="preserve">Operator for the Project in respect of </w:t>
      </w:r>
      <w:r w:rsidR="00B467B4">
        <w:t>a</w:t>
      </w:r>
      <w:r w:rsidR="0041432B">
        <w:t xml:space="preserve"> </w:t>
      </w:r>
      <w:r w:rsidR="00EF0C07">
        <w:t>Support</w:t>
      </w:r>
      <w:r w:rsidR="0041432B">
        <w:t xml:space="preserve"> </w:t>
      </w:r>
      <w:r w:rsidR="0041432B" w:rsidRPr="00E04115">
        <w:t xml:space="preserve">Year </w:t>
      </w:r>
      <w:r w:rsidR="00B467B4" w:rsidRPr="00E04115">
        <w:t>commencing no later than the COD Sunset Date;</w:t>
      </w:r>
      <w:bookmarkEnd w:id="2331"/>
      <w:bookmarkEnd w:id="2332"/>
      <w:r w:rsidR="002112B0" w:rsidRPr="00E04115">
        <w:t xml:space="preserve"> </w:t>
      </w:r>
    </w:p>
    <w:p w14:paraId="38ADCDB5" w14:textId="71350377" w:rsidR="00836E25" w:rsidRPr="00E97049" w:rsidRDefault="00836E25" w:rsidP="00836E25">
      <w:pPr>
        <w:pStyle w:val="Heading3"/>
        <w:numPr>
          <w:ilvl w:val="0"/>
          <w:numId w:val="0"/>
        </w:numPr>
        <w:ind w:left="1474"/>
      </w:pPr>
      <w:r w:rsidRPr="006D54FC">
        <w:t>[</w:t>
      </w:r>
      <w:r w:rsidRPr="008E4A1B">
        <w:rPr>
          <w:b/>
          <w:bCs/>
          <w:i/>
          <w:iCs/>
          <w:highlight w:val="lightGray"/>
        </w:rPr>
        <w:t xml:space="preserve">Note: </w:t>
      </w:r>
      <w:r w:rsidR="00E97049" w:rsidRPr="008E4A1B">
        <w:rPr>
          <w:b/>
          <w:bCs/>
          <w:i/>
          <w:iCs/>
          <w:highlight w:val="lightGray"/>
        </w:rPr>
        <w:t xml:space="preserve">paragraph </w:t>
      </w:r>
      <w:r w:rsidR="006D2163">
        <w:rPr>
          <w:b/>
          <w:bCs/>
          <w:i/>
          <w:iCs/>
          <w:highlight w:val="lightGray"/>
        </w:rPr>
        <w:fldChar w:fldCharType="begin"/>
      </w:r>
      <w:r w:rsidR="006D2163">
        <w:rPr>
          <w:b/>
          <w:bCs/>
          <w:i/>
          <w:iCs/>
          <w:highlight w:val="lightGray"/>
        </w:rPr>
        <w:instrText xml:space="preserve"> REF _Ref206753379 \r \h </w:instrText>
      </w:r>
      <w:r w:rsidR="006D2163">
        <w:rPr>
          <w:b/>
          <w:bCs/>
          <w:i/>
          <w:iCs/>
          <w:highlight w:val="lightGray"/>
        </w:rPr>
      </w:r>
      <w:r w:rsidR="006D2163">
        <w:rPr>
          <w:b/>
          <w:bCs/>
          <w:i/>
          <w:iCs/>
          <w:highlight w:val="lightGray"/>
        </w:rPr>
        <w:fldChar w:fldCharType="separate"/>
      </w:r>
      <w:r w:rsidR="002E5C6A">
        <w:rPr>
          <w:b/>
          <w:bCs/>
          <w:i/>
          <w:iCs/>
          <w:highlight w:val="lightGray"/>
        </w:rPr>
        <w:t>(d)</w:t>
      </w:r>
      <w:r w:rsidR="006D2163">
        <w:rPr>
          <w:b/>
          <w:bCs/>
          <w:i/>
          <w:iCs/>
          <w:highlight w:val="lightGray"/>
        </w:rPr>
        <w:fldChar w:fldCharType="end"/>
      </w:r>
      <w:r w:rsidR="00066D56">
        <w:rPr>
          <w:b/>
          <w:bCs/>
          <w:i/>
          <w:iCs/>
          <w:highlight w:val="lightGray"/>
        </w:rPr>
        <w:fldChar w:fldCharType="begin"/>
      </w:r>
      <w:r w:rsidR="00066D56">
        <w:rPr>
          <w:b/>
          <w:bCs/>
          <w:i/>
          <w:iCs/>
          <w:highlight w:val="lightGray"/>
        </w:rPr>
        <w:instrText xml:space="preserve"> REF _Ref172211383 \n \h </w:instrText>
      </w:r>
      <w:r w:rsidR="00066D56">
        <w:rPr>
          <w:b/>
          <w:bCs/>
          <w:i/>
          <w:iCs/>
          <w:highlight w:val="lightGray"/>
        </w:rPr>
      </w:r>
      <w:r w:rsidR="00066D56">
        <w:rPr>
          <w:b/>
          <w:bCs/>
          <w:i/>
          <w:iCs/>
          <w:highlight w:val="lightGray"/>
        </w:rPr>
        <w:fldChar w:fldCharType="separate"/>
      </w:r>
      <w:r w:rsidR="002E5C6A">
        <w:rPr>
          <w:b/>
          <w:bCs/>
          <w:i/>
          <w:iCs/>
          <w:highlight w:val="lightGray"/>
        </w:rPr>
        <w:t>(c)</w:t>
      </w:r>
      <w:r w:rsidR="00066D56">
        <w:rPr>
          <w:b/>
          <w:bCs/>
          <w:i/>
          <w:iCs/>
          <w:highlight w:val="lightGray"/>
        </w:rPr>
        <w:fldChar w:fldCharType="end"/>
      </w:r>
      <w:r w:rsidR="00E97049" w:rsidRPr="008E4A1B">
        <w:rPr>
          <w:b/>
          <w:bCs/>
          <w:i/>
          <w:iCs/>
          <w:highlight w:val="lightGray"/>
        </w:rPr>
        <w:t xml:space="preserve"> </w:t>
      </w:r>
      <w:r w:rsidR="00066D56">
        <w:rPr>
          <w:b/>
          <w:bCs/>
          <w:i/>
          <w:iCs/>
          <w:highlight w:val="lightGray"/>
        </w:rPr>
        <w:t xml:space="preserve">above is </w:t>
      </w:r>
      <w:r w:rsidR="00E97049" w:rsidRPr="008E4A1B">
        <w:rPr>
          <w:b/>
          <w:bCs/>
          <w:i/>
          <w:iCs/>
          <w:highlight w:val="lightGray"/>
        </w:rPr>
        <w:t>to be replaced with the bracketed words below for all Hybrid Projects.</w:t>
      </w:r>
      <w:r w:rsidR="00E97049" w:rsidRPr="006D54FC">
        <w:t>]</w:t>
      </w:r>
    </w:p>
    <w:p w14:paraId="295E4132" w14:textId="77777777" w:rsidR="00C95A3C" w:rsidRDefault="00283F02" w:rsidP="00C95A3C">
      <w:pPr>
        <w:pStyle w:val="Heading3"/>
      </w:pPr>
      <w:r>
        <w:t>[</w:t>
      </w:r>
      <w:r w:rsidR="00DD293F">
        <w:t>If the Associated Project proceeds</w:t>
      </w:r>
      <w:r w:rsidR="00066D56">
        <w:t>,</w:t>
      </w:r>
      <w:r w:rsidR="00DD293F">
        <w:t xml:space="preserve"> </w:t>
      </w:r>
      <w:r w:rsidR="00C95A3C">
        <w:t xml:space="preserve">and the Associated Project Commencement Date: </w:t>
      </w:r>
    </w:p>
    <w:p w14:paraId="20A398AF" w14:textId="77777777" w:rsidR="00C95A3C" w:rsidRDefault="00C95A3C" w:rsidP="00C95A3C">
      <w:pPr>
        <w:pStyle w:val="Heading4"/>
      </w:pPr>
      <w:r>
        <w:t xml:space="preserve">has occurred, </w:t>
      </w:r>
      <w:r w:rsidR="00770EEC">
        <w:t>AEMO has assigned</w:t>
      </w:r>
      <w:r w:rsidR="00C74E7A" w:rsidRPr="00C74E7A">
        <w:t xml:space="preserve"> </w:t>
      </w:r>
      <w:r w:rsidR="00C74E7A">
        <w:t>Peak</w:t>
      </w:r>
      <w:r w:rsidR="00770EEC">
        <w:t xml:space="preserve"> Capacity Credit</w:t>
      </w:r>
      <w:r w:rsidR="00E03831">
        <w:t>s</w:t>
      </w:r>
      <w:r w:rsidR="00770EEC">
        <w:t xml:space="preserve"> to Project Operator for the Project as a Separately Certified Component </w:t>
      </w:r>
      <w:r w:rsidR="00F92D69">
        <w:t xml:space="preserve">separate from the Associated Project in respect of a </w:t>
      </w:r>
      <w:r w:rsidR="00993790">
        <w:t>Support</w:t>
      </w:r>
      <w:r w:rsidR="00F92D69">
        <w:t xml:space="preserve"> Year commencing no later than the COD Sunset Date;</w:t>
      </w:r>
      <w:r>
        <w:t xml:space="preserve"> or</w:t>
      </w:r>
    </w:p>
    <w:p w14:paraId="7EB970CB" w14:textId="3019D63F" w:rsidR="00283F02" w:rsidRDefault="00C95A3C" w:rsidP="00C95A3C">
      <w:pPr>
        <w:pStyle w:val="Heading4"/>
      </w:pPr>
      <w:r>
        <w:t>has not occurred, AEMO has assigned Peak Capacity Credits to Project Operator for the Project in respect of a Support Year commencing no later than the COD Sunset Date;]</w:t>
      </w:r>
    </w:p>
    <w:p w14:paraId="47604A00" w14:textId="77777777" w:rsidR="00C95A3C" w:rsidRDefault="00C95A3C" w:rsidP="00C95A3C">
      <w:pPr>
        <w:pStyle w:val="Indent3"/>
        <w:ind w:left="737"/>
      </w:pPr>
      <w:r>
        <w:t>[</w:t>
      </w:r>
      <w:r>
        <w:rPr>
          <w:b/>
          <w:bCs/>
          <w:i/>
          <w:iCs/>
          <w:highlight w:val="lightGray"/>
        </w:rPr>
        <w:t>Note: paragraph (d) to be replaced with the bracketed words below for all Staged Projects.</w:t>
      </w:r>
      <w:r>
        <w:t>]</w:t>
      </w:r>
    </w:p>
    <w:p w14:paraId="72225AE4" w14:textId="5D41D6FD" w:rsidR="00C95A3C" w:rsidRPr="0014518E" w:rsidRDefault="00C95A3C" w:rsidP="008F660B">
      <w:pPr>
        <w:pStyle w:val="Indent3"/>
        <w:keepNext/>
      </w:pPr>
      <w:r>
        <w:t xml:space="preserve">[AEMO has assigned Peak Capacity Credits to Project Operator for the Project as a Separately Certified Component separate from the Existing Project in respect of a Support Year commencing no later than the COD Sunset Date;] </w:t>
      </w:r>
    </w:p>
    <w:p w14:paraId="2B2905FF" w14:textId="412C4CF2" w:rsidR="007C7DF2" w:rsidRDefault="004E523B" w:rsidP="00AF73C7">
      <w:pPr>
        <w:pStyle w:val="Heading3"/>
        <w:keepNext/>
      </w:pPr>
      <w:bookmarkStart w:id="2333" w:name="_Ref105614210"/>
      <w:r>
        <w:t xml:space="preserve">Western Power </w:t>
      </w:r>
      <w:r w:rsidR="00BE407B">
        <w:t xml:space="preserve">or AEMO </w:t>
      </w:r>
      <w:r w:rsidR="2C388DF0" w:rsidRPr="0014518E">
        <w:t xml:space="preserve">has confirmed that the Project is unconditionally released from a hold point </w:t>
      </w:r>
      <w:r w:rsidR="007C7DF2">
        <w:t>so that the Project is permitted to:</w:t>
      </w:r>
    </w:p>
    <w:p w14:paraId="5FD7D0FD" w14:textId="6A3D0786" w:rsidR="007C7DF2" w:rsidRDefault="007C7DF2" w:rsidP="00467340">
      <w:pPr>
        <w:pStyle w:val="Heading4"/>
        <w:numPr>
          <w:ilvl w:val="3"/>
          <w:numId w:val="44"/>
        </w:numPr>
      </w:pPr>
      <w:r>
        <w:t xml:space="preserve">export electrical energy through the </w:t>
      </w:r>
      <w:r w:rsidR="00C95A3C">
        <w:t xml:space="preserve">Measurement </w:t>
      </w:r>
      <w:r>
        <w:t xml:space="preserve">Point </w:t>
      </w:r>
      <w:r w:rsidR="00C95A3C">
        <w:t xml:space="preserve">for the Project </w:t>
      </w:r>
      <w:r>
        <w:t xml:space="preserve">at a level of </w:t>
      </w:r>
      <w:r w:rsidR="00E32DF0">
        <w:t>export</w:t>
      </w:r>
      <w:r>
        <w:t xml:space="preserve"> that is </w:t>
      </w:r>
      <w:r w:rsidR="00E32DF0">
        <w:t>between 95% and 105% of</w:t>
      </w:r>
      <w:r>
        <w:t xml:space="preserve"> the </w:t>
      </w:r>
      <w:r w:rsidR="004A0277">
        <w:t>Export</w:t>
      </w:r>
      <w:r>
        <w:t xml:space="preserve"> Capacity</w:t>
      </w:r>
      <w:r w:rsidR="2C388DF0" w:rsidRPr="0014518E">
        <w:t>;</w:t>
      </w:r>
      <w:r>
        <w:t xml:space="preserve"> and</w:t>
      </w:r>
    </w:p>
    <w:p w14:paraId="75797371" w14:textId="42569B50" w:rsidR="001A73B8" w:rsidRPr="0014518E" w:rsidRDefault="007C7DF2" w:rsidP="00467340">
      <w:pPr>
        <w:pStyle w:val="Heading4"/>
        <w:numPr>
          <w:ilvl w:val="3"/>
          <w:numId w:val="44"/>
        </w:numPr>
      </w:pPr>
      <w:r>
        <w:t xml:space="preserve">import electrical energy at a level </w:t>
      </w:r>
      <w:r w:rsidR="00E32DF0">
        <w:t xml:space="preserve">of import </w:t>
      </w:r>
      <w:r>
        <w:t xml:space="preserve">that is </w:t>
      </w:r>
      <w:r w:rsidR="00E32DF0">
        <w:t xml:space="preserve">between 95% and 105% of </w:t>
      </w:r>
      <w:r>
        <w:t>the Import Capacity;</w:t>
      </w:r>
      <w:r w:rsidR="2C388DF0" w:rsidRPr="0014518E">
        <w:t xml:space="preserve"> </w:t>
      </w:r>
    </w:p>
    <w:bookmarkEnd w:id="2333"/>
    <w:p w14:paraId="4F4EA7B7" w14:textId="290CCAC6" w:rsidR="001A73B8" w:rsidRDefault="2C388DF0" w:rsidP="00A0771D">
      <w:pPr>
        <w:pStyle w:val="Heading3"/>
      </w:pPr>
      <w:r w:rsidRPr="0014518E">
        <w:t xml:space="preserve">Project Operator (or its intermediary) has been registered as </w:t>
      </w:r>
      <w:r w:rsidR="009B2B93">
        <w:t xml:space="preserve">a </w:t>
      </w:r>
      <w:r w:rsidRPr="0014518E">
        <w:t xml:space="preserve">Market </w:t>
      </w:r>
      <w:r w:rsidR="00080232">
        <w:t>Participant</w:t>
      </w:r>
      <w:r w:rsidRPr="0014518E">
        <w:t xml:space="preserve"> with AEMO in respect of the Project and</w:t>
      </w:r>
      <w:r w:rsidR="00725937" w:rsidRPr="0014518E">
        <w:t xml:space="preserve"> </w:t>
      </w:r>
      <w:r w:rsidRPr="0014518E">
        <w:t xml:space="preserve">the Project is classified as </w:t>
      </w:r>
      <w:r w:rsidR="00C95A3C">
        <w:t>one</w:t>
      </w:r>
      <w:r w:rsidR="0013651A">
        <w:t xml:space="preserve"> </w:t>
      </w:r>
      <w:r w:rsidR="00C95A3C">
        <w:t>[</w:t>
      </w:r>
      <w:r w:rsidRPr="0014518E">
        <w:t>“</w:t>
      </w:r>
      <w:r w:rsidR="00D26243">
        <w:t>S</w:t>
      </w:r>
      <w:r w:rsidRPr="0014518E">
        <w:t xml:space="preserve">cheduled </w:t>
      </w:r>
      <w:r w:rsidR="00D26243">
        <w:t>Facility</w:t>
      </w:r>
      <w:r w:rsidRPr="0014518E">
        <w:t>”</w:t>
      </w:r>
      <w:r w:rsidR="00C95A3C">
        <w:t>] [“Semi-Scheduled Facility”]</w:t>
      </w:r>
      <w:r w:rsidRPr="0014518E">
        <w:t xml:space="preserve"> (as defined in the </w:t>
      </w:r>
      <w:r w:rsidR="004A1236">
        <w:t>ESM Rules</w:t>
      </w:r>
      <w:r w:rsidRPr="0014518E">
        <w:t xml:space="preserve">); </w:t>
      </w:r>
      <w:r w:rsidR="00C95A3C">
        <w:rPr>
          <w:highlight w:val="lightGray"/>
        </w:rPr>
        <w:t>[</w:t>
      </w:r>
      <w:r w:rsidR="00C95A3C">
        <w:rPr>
          <w:b/>
          <w:bCs/>
          <w:i/>
          <w:iCs/>
          <w:highlight w:val="lightGray"/>
        </w:rPr>
        <w:t>Note: applicable facility classification to be specified in this paragraph.</w:t>
      </w:r>
      <w:r w:rsidR="00C95A3C">
        <w:rPr>
          <w:highlight w:val="lightGray"/>
        </w:rPr>
        <w:t>]</w:t>
      </w:r>
    </w:p>
    <w:p w14:paraId="17850674" w14:textId="71BED1F1" w:rsidR="00D26243" w:rsidRDefault="00D26243" w:rsidP="006D54FC">
      <w:pPr>
        <w:pStyle w:val="Heading3"/>
        <w:numPr>
          <w:ilvl w:val="0"/>
          <w:numId w:val="0"/>
        </w:numPr>
        <w:shd w:val="clear" w:color="auto" w:fill="FFFFFF" w:themeFill="background1"/>
        <w:ind w:left="1474"/>
        <w:rPr>
          <w:b/>
          <w:bCs/>
          <w:i/>
          <w:iCs/>
        </w:rPr>
      </w:pPr>
      <w:r w:rsidRPr="009E2AE6">
        <w:rPr>
          <w:b/>
          <w:bCs/>
          <w:i/>
          <w:iCs/>
        </w:rPr>
        <w:t>[</w:t>
      </w:r>
      <w:r w:rsidRPr="006D54FC">
        <w:rPr>
          <w:b/>
          <w:bCs/>
          <w:i/>
          <w:iCs/>
          <w:highlight w:val="lightGray"/>
        </w:rPr>
        <w:t>Note: Project to be classified as a Semi-Scheduled Facility for all Hybrid Projects.</w:t>
      </w:r>
      <w:r w:rsidRPr="0014518E">
        <w:rPr>
          <w:b/>
          <w:bCs/>
          <w:i/>
          <w:iCs/>
        </w:rPr>
        <w:t>]</w:t>
      </w:r>
    </w:p>
    <w:p w14:paraId="26BDEF6E" w14:textId="77777777" w:rsidR="00C95A3C" w:rsidRDefault="00C95A3C" w:rsidP="008F660B">
      <w:pPr>
        <w:pStyle w:val="Indent2"/>
        <w:ind w:left="1474"/>
      </w:pPr>
      <w:r w:rsidRPr="00982398">
        <w:t>[</w:t>
      </w:r>
      <w:r>
        <w:rPr>
          <w:b/>
          <w:bCs/>
          <w:i/>
          <w:iCs/>
          <w:highlight w:val="lightGray"/>
        </w:rPr>
        <w:t>Note: paragraph (f) to be replaced with the bracketed words below for all Hybrid Projects.</w:t>
      </w:r>
      <w:r>
        <w:t>]</w:t>
      </w:r>
    </w:p>
    <w:p w14:paraId="5F9722F4" w14:textId="77777777" w:rsidR="00C95A3C" w:rsidRDefault="00C95A3C" w:rsidP="00C95A3C">
      <w:pPr>
        <w:pStyle w:val="Indent2"/>
        <w:ind w:left="1474" w:hanging="737"/>
      </w:pPr>
      <w:r>
        <w:tab/>
        <w:t>[</w:t>
      </w:r>
      <w:r w:rsidRPr="00982398">
        <w:t xml:space="preserve">Project </w:t>
      </w:r>
      <w:r>
        <w:t xml:space="preserve">Operator (or its intermediary) has been registered as a Market Participant with AEMO in respect of the Project and the Hybrid Project is </w:t>
      </w:r>
      <w:r w:rsidRPr="00982398">
        <w:t xml:space="preserve">classified as </w:t>
      </w:r>
      <w:r>
        <w:t>one [“Scheduled Facility]” [“</w:t>
      </w:r>
      <w:r w:rsidRPr="00982398">
        <w:t>Semi-Scheduled Facility</w:t>
      </w:r>
      <w:r>
        <w:t xml:space="preserve">”] (as defined in the ESM Rules;) </w:t>
      </w:r>
      <w:r>
        <w:rPr>
          <w:highlight w:val="lightGray"/>
        </w:rPr>
        <w:t>[</w:t>
      </w:r>
      <w:r>
        <w:rPr>
          <w:b/>
          <w:bCs/>
          <w:i/>
          <w:iCs/>
          <w:highlight w:val="lightGray"/>
        </w:rPr>
        <w:t>Note: applicable facility classification to be specified in this paragraph.</w:t>
      </w:r>
      <w:r w:rsidRPr="00982398">
        <w:rPr>
          <w:highlight w:val="lightGray"/>
        </w:rPr>
        <w:t>]</w:t>
      </w:r>
    </w:p>
    <w:p w14:paraId="4424DC3B" w14:textId="77777777" w:rsidR="00C95A3C" w:rsidRDefault="00C95A3C" w:rsidP="008F660B">
      <w:pPr>
        <w:pStyle w:val="Indent2"/>
        <w:ind w:left="1474"/>
      </w:pPr>
      <w:r>
        <w:t>[</w:t>
      </w:r>
      <w:r>
        <w:rPr>
          <w:b/>
          <w:bCs/>
          <w:i/>
          <w:iCs/>
          <w:highlight w:val="lightGray"/>
        </w:rPr>
        <w:t>Note: paragraph (f) to be replaced with the bracketed words below for all Staged Projects for which there are two Connection Points.</w:t>
      </w:r>
      <w:r>
        <w:t>]</w:t>
      </w:r>
    </w:p>
    <w:p w14:paraId="5521AB5C" w14:textId="77777777" w:rsidR="00C95A3C" w:rsidRDefault="00C95A3C" w:rsidP="00C95A3C">
      <w:pPr>
        <w:pStyle w:val="Indent2"/>
        <w:ind w:left="1474" w:hanging="737"/>
      </w:pPr>
      <w:r>
        <w:tab/>
        <w:t xml:space="preserve">[Project Operator (or its intermediary) has been registered as a Market Participant with AEMO in respect of the Project and the Staged Project is classified as one [“Scheduled Facility]” [“Semi-Scheduled Facility”] (as defined in the ESM Rules;) </w:t>
      </w:r>
      <w:r>
        <w:rPr>
          <w:highlight w:val="lightGray"/>
        </w:rPr>
        <w:t>[</w:t>
      </w:r>
      <w:r>
        <w:rPr>
          <w:b/>
          <w:bCs/>
          <w:i/>
          <w:iCs/>
          <w:highlight w:val="lightGray"/>
        </w:rPr>
        <w:t>Note: applicable facility classification to be specified in this paragraph.</w:t>
      </w:r>
      <w:r>
        <w:rPr>
          <w:highlight w:val="lightGray"/>
        </w:rPr>
        <w:t>]</w:t>
      </w:r>
    </w:p>
    <w:p w14:paraId="655543FD" w14:textId="777C32E6" w:rsidR="001A73B8" w:rsidRPr="00F06646" w:rsidRDefault="2C388DF0" w:rsidP="0058045D">
      <w:pPr>
        <w:pStyle w:val="Heading3"/>
      </w:pPr>
      <w:r>
        <w:t xml:space="preserve">the Commonwealth has confirmed to Project Operator pursuant to clause </w:t>
      </w:r>
      <w:r w:rsidR="005D0BEB">
        <w:fldChar w:fldCharType="begin"/>
      </w:r>
      <w:r w:rsidR="005D0BEB">
        <w:instrText xml:space="preserve"> REF _Ref94878032 \w \h </w:instrText>
      </w:r>
      <w:r w:rsidR="005D0BEB">
        <w:fldChar w:fldCharType="separate"/>
      </w:r>
      <w:r w:rsidR="002E5C6A">
        <w:t>12.4</w:t>
      </w:r>
      <w:r w:rsidR="005D0BEB">
        <w:fldChar w:fldCharType="end"/>
      </w:r>
      <w:r>
        <w:t xml:space="preserve"> (“</w:t>
      </w:r>
      <w:r w:rsidR="005D0BEB" w:rsidRPr="00F06646">
        <w:fldChar w:fldCharType="begin"/>
      </w:r>
      <w:r w:rsidR="005D0BEB" w:rsidRPr="00F06646">
        <w:instrText xml:space="preserve">  REF _Ref94878032 \h </w:instrText>
      </w:r>
      <w:r w:rsidR="00F06646">
        <w:instrText xml:space="preserve"> \* MERGEFORMAT </w:instrText>
      </w:r>
      <w:r w:rsidR="005D0BEB" w:rsidRPr="00F06646">
        <w:fldChar w:fldCharType="separate"/>
      </w:r>
      <w:r w:rsidR="002E5C6A" w:rsidRPr="00F06646">
        <w:t>Social Licence Commitments Reporting</w:t>
      </w:r>
      <w:r w:rsidR="005D0BEB" w:rsidRPr="00F06646">
        <w:fldChar w:fldCharType="end"/>
      </w:r>
      <w:r w:rsidRPr="00F06646">
        <w:t xml:space="preserve">”) that all Social Licence Commitments </w:t>
      </w:r>
      <w:r w:rsidR="00BE5618">
        <w:t>that</w:t>
      </w:r>
      <w:r w:rsidR="00BE5618" w:rsidRPr="00F06646">
        <w:t xml:space="preserve"> </w:t>
      </w:r>
      <w:r w:rsidRPr="00F06646">
        <w:t>are to be satisfied prior to the Commercial Operations Date have been satisfied;</w:t>
      </w:r>
      <w:r w:rsidR="0036687D" w:rsidRPr="00F06646">
        <w:t xml:space="preserve"> </w:t>
      </w:r>
    </w:p>
    <w:p w14:paraId="08F45B63" w14:textId="77777777" w:rsidR="00F12177" w:rsidRPr="008E4A1B" w:rsidRDefault="00030F01" w:rsidP="0058045D">
      <w:pPr>
        <w:pStyle w:val="Heading3"/>
      </w:pPr>
      <w:r w:rsidRPr="00F12177">
        <w:t>Project Operator has</w:t>
      </w:r>
      <w:r w:rsidR="00F12177" w:rsidRPr="008E4A1B">
        <w:t>:</w:t>
      </w:r>
    </w:p>
    <w:p w14:paraId="21628EB4" w14:textId="562C050C" w:rsidR="00F12177" w:rsidRPr="008E4A1B" w:rsidRDefault="00030F01" w:rsidP="00F12177">
      <w:pPr>
        <w:pStyle w:val="Heading4"/>
      </w:pPr>
      <w:r w:rsidRPr="00F12177">
        <w:t>submitted</w:t>
      </w:r>
      <w:r w:rsidR="00090AAF" w:rsidRPr="008E4A1B">
        <w:t xml:space="preserve"> the first Annual Maintenance </w:t>
      </w:r>
      <w:r w:rsidR="00F12177" w:rsidRPr="008E4A1B">
        <w:t>Program</w:t>
      </w:r>
      <w:r w:rsidRPr="00F12177">
        <w:t xml:space="preserve"> under clause</w:t>
      </w:r>
      <w:r w:rsidR="00921681">
        <w:t> </w:t>
      </w:r>
      <w:r w:rsidR="00090AAF" w:rsidRPr="008E4A1B">
        <w:fldChar w:fldCharType="begin"/>
      </w:r>
      <w:r w:rsidR="00090AAF" w:rsidRPr="008E4A1B">
        <w:instrText xml:space="preserve"> REF _Ref170472056 \w \h </w:instrText>
      </w:r>
      <w:r w:rsidR="00F12177">
        <w:instrText xml:space="preserve"> \* MERGEFORMAT </w:instrText>
      </w:r>
      <w:r w:rsidR="00090AAF" w:rsidRPr="008E4A1B">
        <w:fldChar w:fldCharType="separate"/>
      </w:r>
      <w:r w:rsidR="002E5C6A">
        <w:t>8.8</w:t>
      </w:r>
      <w:r w:rsidR="00090AAF" w:rsidRPr="008E4A1B">
        <w:fldChar w:fldCharType="end"/>
      </w:r>
      <w:r w:rsidR="00F12177" w:rsidRPr="008E4A1B">
        <w:t xml:space="preserve"> and either the Commonwealth has not requested any changes, or Project Operator has confirmed the changes proposed by the Commonwealth; </w:t>
      </w:r>
      <w:r w:rsidRPr="00F12177">
        <w:t xml:space="preserve">and </w:t>
      </w:r>
    </w:p>
    <w:p w14:paraId="0B309257" w14:textId="423CA50B" w:rsidR="00C95A3C" w:rsidRDefault="00030F01" w:rsidP="00C95A3C">
      <w:pPr>
        <w:pStyle w:val="Heading4"/>
      </w:pPr>
      <w:r w:rsidRPr="00F12177">
        <w:t xml:space="preserve">provided </w:t>
      </w:r>
      <w:r w:rsidR="0006394D">
        <w:t xml:space="preserve">to </w:t>
      </w:r>
      <w:r w:rsidRPr="00F12177">
        <w:t xml:space="preserve">the Commonwealth a copy of its Trading Protocol in a form </w:t>
      </w:r>
      <w:r w:rsidR="0006394D">
        <w:t xml:space="preserve">that </w:t>
      </w:r>
      <w:r w:rsidRPr="00F12177">
        <w:t>complies with the applicable requirements of this agreement</w:t>
      </w:r>
      <w:r w:rsidR="00C95A3C">
        <w:t>; and</w:t>
      </w:r>
    </w:p>
    <w:p w14:paraId="4DA92D9D" w14:textId="5D993DE9" w:rsidR="00C95A3C" w:rsidRPr="00F12177" w:rsidRDefault="00C95A3C" w:rsidP="008F660B">
      <w:pPr>
        <w:pStyle w:val="Heading3"/>
        <w:numPr>
          <w:ilvl w:val="2"/>
          <w:numId w:val="61"/>
        </w:numPr>
      </w:pPr>
      <w:r>
        <w:t xml:space="preserve">[the Existing Project Commencement Date has occurred prior to the Commercial Operations Date], </w:t>
      </w:r>
      <w:r>
        <w:rPr>
          <w:highlight w:val="lightGray"/>
        </w:rPr>
        <w:t>[</w:t>
      </w:r>
      <w:r>
        <w:rPr>
          <w:b/>
          <w:bCs/>
          <w:i/>
          <w:iCs/>
          <w:highlight w:val="lightGray"/>
        </w:rPr>
        <w:t>Note: paragraph (i) to be included for all Staged Projects.</w:t>
      </w:r>
      <w:r>
        <w:rPr>
          <w:highlight w:val="lightGray"/>
        </w:rPr>
        <w:t>]</w:t>
      </w:r>
    </w:p>
    <w:p w14:paraId="4856E4CF" w14:textId="4FCDD2D7" w:rsidR="001A73B8" w:rsidRDefault="2BC382E4" w:rsidP="003A24AE">
      <w:pPr>
        <w:pStyle w:val="Heading3"/>
        <w:numPr>
          <w:ilvl w:val="0"/>
          <w:numId w:val="0"/>
        </w:numPr>
        <w:ind w:left="737"/>
      </w:pPr>
      <w:r w:rsidRPr="00F12177">
        <w:t>(</w:t>
      </w:r>
      <w:r w:rsidRPr="00847C21">
        <w:t>each</w:t>
      </w:r>
      <w:r w:rsidR="008B4729" w:rsidRPr="00847C21">
        <w:t xml:space="preserve"> of paragraphs (a) to (i)</w:t>
      </w:r>
      <w:r w:rsidRPr="00F12177">
        <w:t xml:space="preserve"> a “</w:t>
      </w:r>
      <w:r w:rsidRPr="00F12177">
        <w:rPr>
          <w:b/>
          <w:bCs/>
        </w:rPr>
        <w:t>COD Condition</w:t>
      </w:r>
      <w:r w:rsidRPr="00F12177">
        <w:t>”).</w:t>
      </w:r>
      <w:r>
        <w:t xml:space="preserve"> </w:t>
      </w:r>
    </w:p>
    <w:p w14:paraId="4894C373" w14:textId="77777777" w:rsidR="001A73B8" w:rsidRDefault="49D70CC2" w:rsidP="0058045D">
      <w:pPr>
        <w:pStyle w:val="Heading2"/>
      </w:pPr>
      <w:bookmarkStart w:id="2334" w:name="_Ref100147140"/>
      <w:bookmarkStart w:id="2335" w:name="_Toc156909137"/>
      <w:bookmarkStart w:id="2336" w:name="_Toc207309584"/>
      <w:r>
        <w:t>Notification of satisfaction</w:t>
      </w:r>
      <w:bookmarkEnd w:id="2334"/>
      <w:bookmarkEnd w:id="2335"/>
      <w:bookmarkEnd w:id="2336"/>
    </w:p>
    <w:p w14:paraId="0E1ADBFC" w14:textId="77777777" w:rsidR="001A73B8" w:rsidRDefault="2C388DF0" w:rsidP="0058045D">
      <w:pPr>
        <w:pStyle w:val="Heading3"/>
      </w:pPr>
      <w:r>
        <w:t>The COD Conditions are for the benefit of the Commonwealth and may only be waived by the Commonwealth in writing.</w:t>
      </w:r>
    </w:p>
    <w:p w14:paraId="377617C8" w14:textId="3907FF80" w:rsidR="00005E52" w:rsidRDefault="2C388DF0" w:rsidP="0058045D">
      <w:pPr>
        <w:pStyle w:val="Heading3"/>
      </w:pPr>
      <w:r>
        <w:t>Project Operator must notify the Commonwealth 20 Business Days prior to the date on which it reasonably expects to achieve a COD Condition. If, after Project Operator provides that notice to the Commonwealth, the date on which Project Operator reasonably expects to achieve that COD Condition changes, then Project Operator must notify the Commonwealth promptly of the revised date.</w:t>
      </w:r>
    </w:p>
    <w:p w14:paraId="0CF3C331" w14:textId="77777777" w:rsidR="00BE407B" w:rsidRDefault="00BE407B" w:rsidP="00BE407B">
      <w:pPr>
        <w:pStyle w:val="Heading3"/>
      </w:pPr>
      <w:bookmarkStart w:id="2337" w:name="_Ref174106217"/>
      <w:bookmarkStart w:id="2338" w:name="_Hlk174398547"/>
      <w:bookmarkStart w:id="2339" w:name="_Ref104218773"/>
      <w:r w:rsidRPr="007D2131">
        <w:t>If a COD Condition has been achieved before the Signing Date, Project Operator must notify the Commonwealth within 20 Business Days after the Signing Date</w:t>
      </w:r>
      <w:bookmarkEnd w:id="2337"/>
      <w:r w:rsidRPr="00DA7581">
        <w:t>.</w:t>
      </w:r>
    </w:p>
    <w:p w14:paraId="7DB412CA" w14:textId="01FD922A" w:rsidR="00BE407B" w:rsidRDefault="00BE407B" w:rsidP="0058045D">
      <w:pPr>
        <w:pStyle w:val="Heading3"/>
      </w:pPr>
      <w:bookmarkStart w:id="2340" w:name="_Ref177060910"/>
      <w:bookmarkEnd w:id="2338"/>
      <w:r>
        <w:t xml:space="preserve">When </w:t>
      </w:r>
      <w:r w:rsidRPr="00A93ED5">
        <w:t xml:space="preserve">paragraph </w:t>
      </w:r>
      <w:r w:rsidRPr="00A93ED5">
        <w:fldChar w:fldCharType="begin"/>
      </w:r>
      <w:r w:rsidRPr="00A93ED5">
        <w:instrText xml:space="preserve"> REF _Ref174106217 \r \h </w:instrText>
      </w:r>
      <w:r>
        <w:instrText xml:space="preserve"> \* MERGEFORMAT </w:instrText>
      </w:r>
      <w:r w:rsidRPr="00A93ED5">
        <w:fldChar w:fldCharType="separate"/>
      </w:r>
      <w:r w:rsidR="002E5C6A">
        <w:t>(c)</w:t>
      </w:r>
      <w:r w:rsidRPr="00A93ED5">
        <w:fldChar w:fldCharType="end"/>
      </w:r>
      <w:r w:rsidRPr="00A93ED5">
        <w:t xml:space="preserve"> does not apply</w:t>
      </w:r>
      <w:r>
        <w:t xml:space="preserve">, </w:t>
      </w:r>
      <w:r w:rsidR="2C388DF0">
        <w:t>Project Operator must notify the Commonwealth within 10 Business Days after becoming aware that it has satisfied a COD Condition.</w:t>
      </w:r>
      <w:bookmarkEnd w:id="2340"/>
      <w:r w:rsidR="2C388DF0">
        <w:t xml:space="preserve"> </w:t>
      </w:r>
    </w:p>
    <w:p w14:paraId="487B2733" w14:textId="46EC756A" w:rsidR="001A73B8" w:rsidRPr="00ED4FC6" w:rsidRDefault="00BE407B" w:rsidP="0058045D">
      <w:pPr>
        <w:pStyle w:val="Heading3"/>
      </w:pPr>
      <w:r>
        <w:t xml:space="preserve">The notice under paragraph </w:t>
      </w:r>
      <w:r>
        <w:fldChar w:fldCharType="begin"/>
      </w:r>
      <w:r>
        <w:instrText xml:space="preserve"> REF _Ref174106217 \r \h </w:instrText>
      </w:r>
      <w:r>
        <w:fldChar w:fldCharType="separate"/>
      </w:r>
      <w:r w:rsidR="002E5C6A">
        <w:t>(c)</w:t>
      </w:r>
      <w:r>
        <w:fldChar w:fldCharType="end"/>
      </w:r>
      <w:r>
        <w:t xml:space="preserve"> or</w:t>
      </w:r>
      <w:r w:rsidR="001A6FCE">
        <w:t xml:space="preserve"> </w:t>
      </w:r>
      <w:r w:rsidR="001A6FCE">
        <w:fldChar w:fldCharType="begin"/>
      </w:r>
      <w:r w:rsidR="001A6FCE">
        <w:instrText xml:space="preserve"> REF _Ref177060910 \r \h </w:instrText>
      </w:r>
      <w:r w:rsidR="001A6FCE">
        <w:fldChar w:fldCharType="separate"/>
      </w:r>
      <w:r w:rsidR="002E5C6A">
        <w:t>(d)</w:t>
      </w:r>
      <w:r w:rsidR="001A6FCE">
        <w:fldChar w:fldCharType="end"/>
      </w:r>
      <w:r>
        <w:t xml:space="preserve"> </w:t>
      </w:r>
      <w:r w:rsidR="2C388DF0">
        <w:t>must include evidence reasonably required to demonstrate that the COD Condition has been satisfied in accordance with this agreement.</w:t>
      </w:r>
      <w:bookmarkEnd w:id="2339"/>
    </w:p>
    <w:p w14:paraId="379BBDAC" w14:textId="77777777" w:rsidR="001A73B8" w:rsidRDefault="2C388DF0" w:rsidP="0058045D">
      <w:pPr>
        <w:pStyle w:val="Heading3"/>
      </w:pPr>
      <w:bookmarkStart w:id="2341" w:name="_Toc105762531"/>
      <w:bookmarkStart w:id="2342" w:name="_Toc105762532"/>
      <w:bookmarkStart w:id="2343" w:name="_Toc105762533"/>
      <w:bookmarkEnd w:id="2341"/>
      <w:bookmarkEnd w:id="2342"/>
      <w:bookmarkEnd w:id="2343"/>
      <w:r>
        <w:t xml:space="preserve">Project Operator is taken to not achieve the COD Conditions unless and until Project Operator delivers to the Commonwealth: </w:t>
      </w:r>
    </w:p>
    <w:p w14:paraId="6CC849C5" w14:textId="446A3D4A" w:rsidR="001A73B8" w:rsidRDefault="2C388DF0" w:rsidP="0058045D">
      <w:pPr>
        <w:pStyle w:val="Heading4"/>
      </w:pPr>
      <w:r>
        <w:t xml:space="preserve">a report, </w:t>
      </w:r>
      <w:r w:rsidR="0006394D">
        <w:t xml:space="preserve">that </w:t>
      </w:r>
      <w:r>
        <w:t xml:space="preserve">Project Operator has commissioned and received from an appropriately qualified independent engineering firm </w:t>
      </w:r>
      <w:r w:rsidR="0006394D">
        <w:t xml:space="preserve">that has no conflict of interest, that has been </w:t>
      </w:r>
      <w:r>
        <w:t xml:space="preserve">nominated by Project Operator and approved by the Commonwealth, and upon which the Commonwealth may rely (subject to standard and reasonable limitations of liability and qualifications which that firm imposes on such reliance in the ordinary course of its business), confirming that the COD Conditions set out in clause </w:t>
      </w:r>
      <w:r w:rsidR="001A73B8">
        <w:fldChar w:fldCharType="begin"/>
      </w:r>
      <w:r w:rsidR="001A73B8">
        <w:instrText xml:space="preserve"> REF _Ref103712127 \w \h </w:instrText>
      </w:r>
      <w:r w:rsidR="001A73B8">
        <w:fldChar w:fldCharType="separate"/>
      </w:r>
      <w:r w:rsidR="002E5C6A">
        <w:t>7.1(a)</w:t>
      </w:r>
      <w:r w:rsidR="001A73B8">
        <w:fldChar w:fldCharType="end"/>
      </w:r>
      <w:r>
        <w:t xml:space="preserve"> have been satisfied; and</w:t>
      </w:r>
    </w:p>
    <w:p w14:paraId="5AC3060C" w14:textId="54C59B8C" w:rsidR="001A73B8" w:rsidRDefault="2C388DF0" w:rsidP="0058045D">
      <w:pPr>
        <w:pStyle w:val="Heading4"/>
      </w:pPr>
      <w:r>
        <w:t xml:space="preserve">certification by a director of Project Operator that the information contained in each notice from Project Operator to the Commonwealth under paragraph </w:t>
      </w:r>
      <w:r w:rsidR="001A73B8">
        <w:fldChar w:fldCharType="begin"/>
      </w:r>
      <w:r w:rsidR="001A73B8">
        <w:instrText xml:space="preserve"> REF _Ref104218773 \n \h </w:instrText>
      </w:r>
      <w:r w:rsidR="001A73B8">
        <w:fldChar w:fldCharType="separate"/>
      </w:r>
      <w:r w:rsidR="002E5C6A">
        <w:t>(c)</w:t>
      </w:r>
      <w:r w:rsidR="001A73B8">
        <w:fldChar w:fldCharType="end"/>
      </w:r>
      <w:r w:rsidR="007E4657">
        <w:t xml:space="preserve"> or </w:t>
      </w:r>
      <w:r w:rsidR="007E4657">
        <w:fldChar w:fldCharType="begin"/>
      </w:r>
      <w:r w:rsidR="007E4657">
        <w:instrText xml:space="preserve"> REF _Ref177060910 \r \h </w:instrText>
      </w:r>
      <w:r w:rsidR="007E4657">
        <w:fldChar w:fldCharType="separate"/>
      </w:r>
      <w:r w:rsidR="002E5C6A">
        <w:t>(d)</w:t>
      </w:r>
      <w:r w:rsidR="007E4657">
        <w:fldChar w:fldCharType="end"/>
      </w:r>
      <w:r>
        <w:t xml:space="preserve"> </w:t>
      </w:r>
      <w:r w:rsidR="00C95A3C">
        <w:t xml:space="preserve">in respect of each COD Condition referred to in clause </w:t>
      </w:r>
      <w:r w:rsidR="00C95A3C">
        <w:fldChar w:fldCharType="begin"/>
      </w:r>
      <w:r w:rsidR="00C95A3C">
        <w:instrText xml:space="preserve"> REF _Ref103543813 \r \h </w:instrText>
      </w:r>
      <w:r w:rsidR="00C95A3C">
        <w:fldChar w:fldCharType="separate"/>
      </w:r>
      <w:r w:rsidR="002E5C6A">
        <w:t>7.1</w:t>
      </w:r>
      <w:r w:rsidR="00C95A3C">
        <w:fldChar w:fldCharType="end"/>
      </w:r>
      <w:r w:rsidR="00C95A3C">
        <w:t xml:space="preserve"> (“</w:t>
      </w:r>
      <w:r w:rsidR="00C95A3C">
        <w:fldChar w:fldCharType="begin"/>
      </w:r>
      <w:r w:rsidR="00C95A3C">
        <w:instrText xml:space="preserve"> REF _Ref103543813 \h </w:instrText>
      </w:r>
      <w:r w:rsidR="00C95A3C">
        <w:fldChar w:fldCharType="separate"/>
      </w:r>
      <w:r w:rsidR="002E5C6A">
        <w:t>COD Conditions</w:t>
      </w:r>
      <w:r w:rsidR="00C95A3C">
        <w:fldChar w:fldCharType="end"/>
      </w:r>
      <w:r w:rsidR="00C95A3C">
        <w:t xml:space="preserve">”) </w:t>
      </w:r>
      <w:r>
        <w:t>is true and correct</w:t>
      </w:r>
      <w:bookmarkStart w:id="2344" w:name="_Ref89613971"/>
      <w:r>
        <w:t>,</w:t>
      </w:r>
    </w:p>
    <w:p w14:paraId="06CBE164" w14:textId="7655DB38" w:rsidR="001A73B8" w:rsidRDefault="001A73B8" w:rsidP="003A24AE">
      <w:pPr>
        <w:pStyle w:val="Heading4"/>
        <w:numPr>
          <w:ilvl w:val="0"/>
          <w:numId w:val="0"/>
        </w:numPr>
        <w:ind w:left="1474"/>
      </w:pPr>
      <w:r>
        <w:t xml:space="preserve">which may accompany </w:t>
      </w:r>
      <w:r w:rsidR="002A246E">
        <w:t>Project</w:t>
      </w:r>
      <w:r>
        <w:t xml:space="preserve"> Operator’s notice to </w:t>
      </w:r>
      <w:r w:rsidR="002A246E">
        <w:t>the Commonwealth</w:t>
      </w:r>
      <w:r>
        <w:t xml:space="preserve"> under paragraph </w:t>
      </w:r>
      <w:r>
        <w:fldChar w:fldCharType="begin"/>
      </w:r>
      <w:r>
        <w:instrText xml:space="preserve"> REF _Ref104218773 \n \h </w:instrText>
      </w:r>
      <w:r>
        <w:fldChar w:fldCharType="separate"/>
      </w:r>
      <w:r w:rsidR="002E5C6A">
        <w:t>(c)</w:t>
      </w:r>
      <w:r>
        <w:fldChar w:fldCharType="end"/>
      </w:r>
      <w:r w:rsidR="007E4657">
        <w:t xml:space="preserve"> or </w:t>
      </w:r>
      <w:r w:rsidR="007E4657">
        <w:fldChar w:fldCharType="begin"/>
      </w:r>
      <w:r w:rsidR="007E4657">
        <w:instrText xml:space="preserve"> REF _Ref177060910 \r \h </w:instrText>
      </w:r>
      <w:r w:rsidR="007E4657">
        <w:fldChar w:fldCharType="separate"/>
      </w:r>
      <w:r w:rsidR="002E5C6A">
        <w:t>(d)</w:t>
      </w:r>
      <w:r w:rsidR="007E4657">
        <w:fldChar w:fldCharType="end"/>
      </w:r>
      <w:r>
        <w:t xml:space="preserve">. </w:t>
      </w:r>
      <w:bookmarkEnd w:id="2344"/>
    </w:p>
    <w:p w14:paraId="56926370" w14:textId="77777777" w:rsidR="00332792" w:rsidRDefault="49D70CC2" w:rsidP="0058045D">
      <w:pPr>
        <w:pStyle w:val="Heading2"/>
      </w:pPr>
      <w:bookmarkStart w:id="2345" w:name="_Ref159418233"/>
      <w:bookmarkStart w:id="2346" w:name="_Toc207309585"/>
      <w:r>
        <w:t>Extension for Force Majeure Event prior to commercial operations</w:t>
      </w:r>
      <w:bookmarkEnd w:id="2345"/>
      <w:bookmarkEnd w:id="2346"/>
    </w:p>
    <w:p w14:paraId="48FD9CAC" w14:textId="26AA65E4" w:rsidR="00332792" w:rsidRDefault="2C388DF0" w:rsidP="00DB5156">
      <w:pPr>
        <w:pStyle w:val="Heading3"/>
        <w:keepNext/>
      </w:pPr>
      <w:bookmarkStart w:id="2347" w:name="_Ref108098209"/>
      <w:r>
        <w:t xml:space="preserve">If Project Operator is, or reasonably expects that it will be, delayed in satisfying </w:t>
      </w:r>
      <w:r w:rsidR="005B6502">
        <w:t xml:space="preserve">one or more of </w:t>
      </w:r>
      <w:r>
        <w:t xml:space="preserve">the COD Conditions by the COD </w:t>
      </w:r>
      <w:r w:rsidR="00511FF0">
        <w:t xml:space="preserve">Sunset Date </w:t>
      </w:r>
      <w:r>
        <w:t xml:space="preserve">as a result of a Force Majeure Event, </w:t>
      </w:r>
      <w:bookmarkStart w:id="2348" w:name="_Ref103537247"/>
      <w:r>
        <w:t>then Project Operator must:</w:t>
      </w:r>
      <w:bookmarkEnd w:id="2347"/>
      <w:bookmarkEnd w:id="2348"/>
      <w:r>
        <w:t xml:space="preserve"> </w:t>
      </w:r>
    </w:p>
    <w:p w14:paraId="44705C48" w14:textId="3C9E4272" w:rsidR="00332792" w:rsidRDefault="2C388DF0" w:rsidP="0058045D">
      <w:pPr>
        <w:pStyle w:val="Heading4"/>
      </w:pPr>
      <w:bookmarkStart w:id="2349" w:name="_Ref159509943"/>
      <w:r>
        <w:t xml:space="preserve">notify the Commonwealth of the occurrence of </w:t>
      </w:r>
      <w:r w:rsidR="005B6502">
        <w:t>the</w:t>
      </w:r>
      <w:r>
        <w:t xml:space="preserve"> Force Majeure Event as soon as reasonably practicable (and no later than </w:t>
      </w:r>
      <w:r w:rsidR="00BE407B">
        <w:t xml:space="preserve">10 </w:t>
      </w:r>
      <w:r>
        <w:t xml:space="preserve">Business Days after </w:t>
      </w:r>
      <w:r w:rsidR="00BE407B">
        <w:t>it becomes aware</w:t>
      </w:r>
      <w:r w:rsidR="001A051E">
        <w:t>, or should reasonably have become aware,</w:t>
      </w:r>
      <w:r w:rsidR="00BE407B">
        <w:t xml:space="preserve"> of </w:t>
      </w:r>
      <w:r>
        <w:t>the commencement of the Force Majeure Event) giving reasonable details of:</w:t>
      </w:r>
      <w:bookmarkEnd w:id="2349"/>
      <w:r>
        <w:t xml:space="preserve"> </w:t>
      </w:r>
    </w:p>
    <w:p w14:paraId="25912248" w14:textId="77777777" w:rsidR="00332792" w:rsidRDefault="2C388DF0" w:rsidP="0058045D">
      <w:pPr>
        <w:pStyle w:val="Heading5"/>
      </w:pPr>
      <w:r>
        <w:t>the date on which the Force Majeure Event commenced;</w:t>
      </w:r>
    </w:p>
    <w:p w14:paraId="4BDCDBC1" w14:textId="77777777" w:rsidR="00332792" w:rsidRDefault="2C388DF0" w:rsidP="0058045D">
      <w:pPr>
        <w:pStyle w:val="Heading5"/>
      </w:pPr>
      <w:r>
        <w:t xml:space="preserve">the Force Majeure Event, including its expected duration; </w:t>
      </w:r>
    </w:p>
    <w:p w14:paraId="72E74C68" w14:textId="7B8B7848" w:rsidR="00332792" w:rsidRDefault="2C388DF0" w:rsidP="0058045D">
      <w:pPr>
        <w:pStyle w:val="Heading5"/>
      </w:pPr>
      <w:r>
        <w:t xml:space="preserve">any COD Conditions </w:t>
      </w:r>
      <w:r w:rsidR="005B6502">
        <w:t>that will be</w:t>
      </w:r>
      <w:r>
        <w:t xml:space="preserve"> delayed or </w:t>
      </w:r>
      <w:r w:rsidR="005B6502">
        <w:t xml:space="preserve">are </w:t>
      </w:r>
      <w:r>
        <w:t xml:space="preserve">expected to be delayed by the Force Majeure Event, including the extent to which they can be achieved by the COD </w:t>
      </w:r>
      <w:r w:rsidR="00511FF0">
        <w:t>Sunset Date</w:t>
      </w:r>
      <w:r>
        <w:t xml:space="preserve"> </w:t>
      </w:r>
      <w:r w:rsidR="00C95A3C">
        <w:t xml:space="preserve">(as relevant) </w:t>
      </w:r>
      <w:r>
        <w:t xml:space="preserve">or are </w:t>
      </w:r>
      <w:r w:rsidR="005B6502">
        <w:t>expected to be delayed</w:t>
      </w:r>
      <w:r>
        <w:t>; and</w:t>
      </w:r>
    </w:p>
    <w:p w14:paraId="2E6B350F" w14:textId="3DD25C3D" w:rsidR="00332792" w:rsidRPr="00AD5A39" w:rsidRDefault="00191850" w:rsidP="0058045D">
      <w:pPr>
        <w:pStyle w:val="Heading5"/>
      </w:pPr>
      <w:bookmarkStart w:id="2350" w:name="_Ref159509982"/>
      <w:r>
        <w:t xml:space="preserve">subject to paragraph </w:t>
      </w:r>
      <w:r>
        <w:fldChar w:fldCharType="begin"/>
      </w:r>
      <w:r>
        <w:instrText xml:space="preserve"> REF _Ref171492162 \n \h </w:instrText>
      </w:r>
      <w:r>
        <w:fldChar w:fldCharType="separate"/>
      </w:r>
      <w:r w:rsidR="002E5C6A">
        <w:t>(c)</w:t>
      </w:r>
      <w:r>
        <w:fldChar w:fldCharType="end"/>
      </w:r>
      <w:r>
        <w:t xml:space="preserve">, </w:t>
      </w:r>
      <w:r w:rsidR="2C388DF0">
        <w:t xml:space="preserve">any proposed extensions to the COD </w:t>
      </w:r>
      <w:r>
        <w:t xml:space="preserve">Sunset Date </w:t>
      </w:r>
      <w:r w:rsidR="2C388DF0">
        <w:t>to reflect the impact of the Force Majeure Event on Project Operator’s achievement of the COD Conditions;</w:t>
      </w:r>
      <w:bookmarkEnd w:id="2350"/>
      <w:r w:rsidR="2C388DF0">
        <w:t xml:space="preserve"> </w:t>
      </w:r>
    </w:p>
    <w:p w14:paraId="61DF3CEA" w14:textId="3098E859" w:rsidR="00332792" w:rsidRDefault="2C388DF0" w:rsidP="0058045D">
      <w:pPr>
        <w:pStyle w:val="Heading4"/>
      </w:pPr>
      <w:r>
        <w:t xml:space="preserve">keep the Commonwealth informed of any material changes </w:t>
      </w:r>
      <w:r w:rsidR="005B6502">
        <w:t xml:space="preserve">to </w:t>
      </w:r>
      <w:r>
        <w:t xml:space="preserve">or developments </w:t>
      </w:r>
      <w:r w:rsidR="005B6502">
        <w:t>concerning</w:t>
      </w:r>
      <w:r>
        <w:t xml:space="preserve"> the information provided to the Commonwealth in the notice </w:t>
      </w:r>
      <w:r w:rsidR="005B6502">
        <w:t xml:space="preserve">given </w:t>
      </w:r>
      <w:r>
        <w:t xml:space="preserve">under subparagraph </w:t>
      </w:r>
      <w:r w:rsidR="00332792">
        <w:fldChar w:fldCharType="begin"/>
      </w:r>
      <w:r w:rsidR="00332792">
        <w:instrText xml:space="preserve"> REF _Ref108098209 \n \h </w:instrText>
      </w:r>
      <w:r w:rsidR="00332792">
        <w:fldChar w:fldCharType="separate"/>
      </w:r>
      <w:r w:rsidR="002E5C6A">
        <w:t>(a)</w:t>
      </w:r>
      <w:r w:rsidR="00332792">
        <w:fldChar w:fldCharType="end"/>
      </w:r>
      <w:r w:rsidR="00332792">
        <w:fldChar w:fldCharType="begin"/>
      </w:r>
      <w:r w:rsidR="00332792">
        <w:instrText xml:space="preserve"> REF _Ref159509943 \n \h </w:instrText>
      </w:r>
      <w:r w:rsidR="00332792">
        <w:fldChar w:fldCharType="separate"/>
      </w:r>
      <w:r w:rsidR="002E5C6A">
        <w:t>(i)</w:t>
      </w:r>
      <w:r w:rsidR="00332792">
        <w:fldChar w:fldCharType="end"/>
      </w:r>
      <w:r>
        <w:t>; and</w:t>
      </w:r>
    </w:p>
    <w:p w14:paraId="4C30CD40" w14:textId="3FCDC532" w:rsidR="00332792" w:rsidRDefault="2C388DF0" w:rsidP="0058045D">
      <w:pPr>
        <w:pStyle w:val="Heading4"/>
      </w:pPr>
      <w:r>
        <w:t>use its best endeavours to overcome</w:t>
      </w:r>
      <w:r w:rsidR="00403126">
        <w:t xml:space="preserve"> or, whe</w:t>
      </w:r>
      <w:r w:rsidR="00E635E2">
        <w:t>n</w:t>
      </w:r>
      <w:r w:rsidR="00403126">
        <w:t xml:space="preserve"> that is not reasonably practicable,</w:t>
      </w:r>
      <w:r>
        <w:t xml:space="preserve"> </w:t>
      </w:r>
      <w:r w:rsidR="00E635E2">
        <w:t xml:space="preserve">to </w:t>
      </w:r>
      <w:r>
        <w:t>mitigate the impact of the Force Majeure Event.</w:t>
      </w:r>
    </w:p>
    <w:p w14:paraId="073EEDD7" w14:textId="414D8C47" w:rsidR="00332792" w:rsidRDefault="2C388DF0" w:rsidP="0058045D">
      <w:pPr>
        <w:pStyle w:val="Heading3"/>
      </w:pPr>
      <w:bookmarkStart w:id="2351" w:name="_Ref108098218"/>
      <w:r>
        <w:t xml:space="preserve">On receiving Project Operator’s notice </w:t>
      </w:r>
      <w:r w:rsidR="005B6502">
        <w:t xml:space="preserve">given </w:t>
      </w:r>
      <w:r>
        <w:t xml:space="preserve">under subparagraph </w:t>
      </w:r>
      <w:r w:rsidR="00332792">
        <w:fldChar w:fldCharType="begin"/>
      </w:r>
      <w:r w:rsidR="00332792">
        <w:instrText xml:space="preserve"> REF _Ref108098209 \n \h </w:instrText>
      </w:r>
      <w:r w:rsidR="00332792">
        <w:fldChar w:fldCharType="separate"/>
      </w:r>
      <w:r w:rsidR="002E5C6A">
        <w:t>(a)</w:t>
      </w:r>
      <w:r w:rsidR="00332792">
        <w:fldChar w:fldCharType="end"/>
      </w:r>
      <w:r w:rsidR="00332792">
        <w:fldChar w:fldCharType="begin"/>
      </w:r>
      <w:r w:rsidR="00332792">
        <w:instrText xml:space="preserve"> REF _Ref159509943 \n \h </w:instrText>
      </w:r>
      <w:r w:rsidR="00332792">
        <w:fldChar w:fldCharType="separate"/>
      </w:r>
      <w:r w:rsidR="002E5C6A">
        <w:t>(i)</w:t>
      </w:r>
      <w:r w:rsidR="00332792">
        <w:fldChar w:fldCharType="end"/>
      </w:r>
      <w:r>
        <w:t>, the Commonwealth:</w:t>
      </w:r>
      <w:bookmarkEnd w:id="2351"/>
      <w:r>
        <w:t xml:space="preserve"> </w:t>
      </w:r>
    </w:p>
    <w:p w14:paraId="1436FF90" w14:textId="77777777" w:rsidR="00332792" w:rsidRDefault="2C388DF0" w:rsidP="0058045D">
      <w:pPr>
        <w:pStyle w:val="Heading4"/>
      </w:pPr>
      <w:bookmarkStart w:id="2352" w:name="_Ref103537395"/>
      <w:r>
        <w:t>may request any further information from Project Operator that the Commonwealth reasonably requires in order to assess the impact of the Force Majeure Event on Project Operator’s achievement of the COD Conditions (as relevant), and Project Operator must promptly provide that information to the Commonwealth; and</w:t>
      </w:r>
      <w:bookmarkEnd w:id="2352"/>
    </w:p>
    <w:p w14:paraId="1CF70278" w14:textId="675B25F7" w:rsidR="003D7D26" w:rsidRDefault="00191850" w:rsidP="0058045D">
      <w:pPr>
        <w:pStyle w:val="Heading4"/>
      </w:pPr>
      <w:r>
        <w:t xml:space="preserve">subject to paragraph </w:t>
      </w:r>
      <w:r>
        <w:fldChar w:fldCharType="begin"/>
      </w:r>
      <w:r>
        <w:instrText xml:space="preserve"> REF _Ref171492162 \n \h </w:instrText>
      </w:r>
      <w:r>
        <w:fldChar w:fldCharType="separate"/>
      </w:r>
      <w:r w:rsidR="002E5C6A">
        <w:t>(c)</w:t>
      </w:r>
      <w:r>
        <w:fldChar w:fldCharType="end"/>
      </w:r>
      <w:r>
        <w:t xml:space="preserve">, </w:t>
      </w:r>
      <w:r w:rsidR="2C388DF0">
        <w:t xml:space="preserve">must confirm: </w:t>
      </w:r>
    </w:p>
    <w:p w14:paraId="4B267030" w14:textId="3381AF03" w:rsidR="003D7D26" w:rsidRDefault="2C388DF0" w:rsidP="0058045D">
      <w:pPr>
        <w:pStyle w:val="Heading5"/>
      </w:pPr>
      <w:r>
        <w:t>whether the proposed extension to the</w:t>
      </w:r>
      <w:r w:rsidR="001A051E">
        <w:t xml:space="preserve"> </w:t>
      </w:r>
      <w:r w:rsidR="00191850">
        <w:t>COD Sunset Date</w:t>
      </w:r>
      <w:r>
        <w:t xml:space="preserve"> requested by Project Operator under subparagraph </w:t>
      </w:r>
      <w:r w:rsidR="00332792">
        <w:fldChar w:fldCharType="begin"/>
      </w:r>
      <w:r w:rsidR="00332792">
        <w:instrText xml:space="preserve"> REF _Ref108098209 \n \h </w:instrText>
      </w:r>
      <w:r w:rsidR="00332792">
        <w:fldChar w:fldCharType="separate"/>
      </w:r>
      <w:r w:rsidR="002E5C6A">
        <w:t>(a)</w:t>
      </w:r>
      <w:r w:rsidR="00332792">
        <w:fldChar w:fldCharType="end"/>
      </w:r>
      <w:r w:rsidR="00332792">
        <w:fldChar w:fldCharType="begin"/>
      </w:r>
      <w:r w:rsidR="00332792">
        <w:instrText xml:space="preserve"> REF _Ref159509943 \n \h </w:instrText>
      </w:r>
      <w:r w:rsidR="00332792">
        <w:fldChar w:fldCharType="separate"/>
      </w:r>
      <w:r w:rsidR="002E5C6A">
        <w:t>(i)</w:t>
      </w:r>
      <w:r w:rsidR="00332792">
        <w:fldChar w:fldCharType="end"/>
      </w:r>
      <w:r w:rsidR="00332792">
        <w:fldChar w:fldCharType="begin"/>
      </w:r>
      <w:r w:rsidR="00332792">
        <w:instrText xml:space="preserve"> REF _Ref159509982 \n \h </w:instrText>
      </w:r>
      <w:r w:rsidR="00332792">
        <w:fldChar w:fldCharType="separate"/>
      </w:r>
      <w:r w:rsidR="002E5C6A">
        <w:t>(D)</w:t>
      </w:r>
      <w:r w:rsidR="00332792">
        <w:fldChar w:fldCharType="end"/>
      </w:r>
      <w:r>
        <w:t xml:space="preserve"> is granted</w:t>
      </w:r>
      <w:r w:rsidR="004056BF">
        <w:t>,</w:t>
      </w:r>
      <w:r w:rsidR="005B6502">
        <w:t xml:space="preserve"> </w:t>
      </w:r>
      <w:r w:rsidR="004056BF">
        <w:t>i</w:t>
      </w:r>
      <w:r w:rsidR="005B6502">
        <w:t>n whole or in part</w:t>
      </w:r>
      <w:r w:rsidR="0000349D">
        <w:t>, or rejected</w:t>
      </w:r>
      <w:r>
        <w:t xml:space="preserve">; and </w:t>
      </w:r>
    </w:p>
    <w:p w14:paraId="1CAABCED" w14:textId="1627333C" w:rsidR="003D7D26" w:rsidRDefault="2C388DF0" w:rsidP="00935643">
      <w:pPr>
        <w:pStyle w:val="Heading5"/>
        <w:keepNext/>
      </w:pPr>
      <w:r>
        <w:t xml:space="preserve">the new COD </w:t>
      </w:r>
      <w:r w:rsidR="00191850">
        <w:t>Sunset Date</w:t>
      </w:r>
      <w:r w:rsidR="00C95A3C">
        <w:t xml:space="preserve"> (</w:t>
      </w:r>
      <w:r w:rsidR="00E0320A">
        <w:t>if applicable</w:t>
      </w:r>
      <w:r w:rsidR="00C95A3C">
        <w:t>)</w:t>
      </w:r>
      <w:r>
        <w:t xml:space="preserve">, </w:t>
      </w:r>
    </w:p>
    <w:p w14:paraId="5D1EA19E" w14:textId="77777777" w:rsidR="00332792" w:rsidRDefault="2BC382E4" w:rsidP="003A24AE">
      <w:pPr>
        <w:pStyle w:val="Heading5"/>
        <w:numPr>
          <w:ilvl w:val="0"/>
          <w:numId w:val="0"/>
        </w:numPr>
        <w:ind w:left="2211"/>
      </w:pPr>
      <w:r>
        <w:t xml:space="preserve">by the later of: </w:t>
      </w:r>
    </w:p>
    <w:p w14:paraId="7B2B1C36" w14:textId="7B64E51B" w:rsidR="00332792" w:rsidRDefault="2C388DF0" w:rsidP="0058045D">
      <w:pPr>
        <w:pStyle w:val="Heading5"/>
      </w:pPr>
      <w:r>
        <w:t xml:space="preserve">20 Business Days after receiving Project Operator’s notice under subparagraph </w:t>
      </w:r>
      <w:r w:rsidR="00332792">
        <w:fldChar w:fldCharType="begin"/>
      </w:r>
      <w:r w:rsidR="00332792">
        <w:instrText xml:space="preserve"> REF _Ref108098209 \n \h </w:instrText>
      </w:r>
      <w:r w:rsidR="00332792">
        <w:fldChar w:fldCharType="separate"/>
      </w:r>
      <w:r w:rsidR="002E5C6A">
        <w:t>(a)</w:t>
      </w:r>
      <w:r w:rsidR="00332792">
        <w:fldChar w:fldCharType="end"/>
      </w:r>
      <w:r w:rsidR="00332792">
        <w:fldChar w:fldCharType="begin"/>
      </w:r>
      <w:r w:rsidR="00332792">
        <w:instrText xml:space="preserve"> REF _Ref159509943 \n \h </w:instrText>
      </w:r>
      <w:r w:rsidR="00332792">
        <w:fldChar w:fldCharType="separate"/>
      </w:r>
      <w:r w:rsidR="002E5C6A">
        <w:t>(i)</w:t>
      </w:r>
      <w:r w:rsidR="00332792">
        <w:fldChar w:fldCharType="end"/>
      </w:r>
      <w:r>
        <w:t xml:space="preserve">; and </w:t>
      </w:r>
    </w:p>
    <w:p w14:paraId="3FE64073" w14:textId="11355D8F" w:rsidR="00332792" w:rsidRDefault="2C388DF0" w:rsidP="0058045D">
      <w:pPr>
        <w:pStyle w:val="Heading5"/>
      </w:pPr>
      <w:r>
        <w:t xml:space="preserve">20 Business Days after receiving any further information that the Commonwealth has requested from Project Operator under subparagraph </w:t>
      </w:r>
      <w:r w:rsidR="00332792">
        <w:fldChar w:fldCharType="begin"/>
      </w:r>
      <w:r w:rsidR="00332792">
        <w:instrText xml:space="preserve"> REF _Ref108098218 \n \h </w:instrText>
      </w:r>
      <w:r w:rsidR="00332792">
        <w:fldChar w:fldCharType="separate"/>
      </w:r>
      <w:r w:rsidR="002E5C6A">
        <w:t>(b)</w:t>
      </w:r>
      <w:r w:rsidR="00332792">
        <w:fldChar w:fldCharType="end"/>
      </w:r>
      <w:r w:rsidR="00332792">
        <w:fldChar w:fldCharType="begin"/>
      </w:r>
      <w:r w:rsidR="00332792">
        <w:instrText xml:space="preserve"> REF _Ref103537395 \n \h </w:instrText>
      </w:r>
      <w:r w:rsidR="00332792">
        <w:fldChar w:fldCharType="separate"/>
      </w:r>
      <w:r w:rsidR="002E5C6A">
        <w:t>(i)</w:t>
      </w:r>
      <w:r w:rsidR="00332792">
        <w:fldChar w:fldCharType="end"/>
      </w:r>
      <w:r>
        <w:t>.</w:t>
      </w:r>
    </w:p>
    <w:p w14:paraId="7F4346ED" w14:textId="4D75AF06" w:rsidR="00511FF0" w:rsidRPr="00A05D5B" w:rsidRDefault="00511FF0" w:rsidP="00511FF0">
      <w:pPr>
        <w:pStyle w:val="Heading3"/>
      </w:pPr>
      <w:bookmarkStart w:id="2353" w:name="_Ref171492162"/>
      <w:r w:rsidRPr="2C388DF0">
        <w:t xml:space="preserve">If Project </w:t>
      </w:r>
      <w:r w:rsidRPr="00847C21">
        <w:t xml:space="preserve">Operator is </w:t>
      </w:r>
      <w:r w:rsidR="007E4657" w:rsidRPr="008F660B">
        <w:t>or will be</w:t>
      </w:r>
      <w:r w:rsidR="007E4657" w:rsidRPr="00847C21">
        <w:t xml:space="preserve"> </w:t>
      </w:r>
      <w:r w:rsidRPr="00847C21">
        <w:t>prevented</w:t>
      </w:r>
      <w:r w:rsidRPr="2C388DF0">
        <w:t xml:space="preserve"> or delayed in achieving the Commercial Operations Date by the COD Sunset Date due to a Force Majeure Event, then the COD Sunset Date </w:t>
      </w:r>
      <w:r w:rsidR="001A051E">
        <w:t>will</w:t>
      </w:r>
      <w:r w:rsidR="001A051E" w:rsidRPr="2C388DF0">
        <w:t xml:space="preserve"> </w:t>
      </w:r>
      <w:r w:rsidRPr="2C388DF0">
        <w:t>be extended by one day for each day of delay caused exclusively by the Force Majeure Event</w:t>
      </w:r>
      <w:r w:rsidR="001A051E">
        <w:t>, as determined by the Commonwealth, acting reasonably</w:t>
      </w:r>
      <w:r w:rsidRPr="2C388DF0">
        <w:t xml:space="preserve"> (and, for clarity, not including any Concurrent Delays</w:t>
      </w:r>
      <w:r w:rsidR="00BE407B">
        <w:t xml:space="preserve"> unless the Commonwealth determines (in its absolute discretion) and advises Project Operator that it will allow the extension of</w:t>
      </w:r>
      <w:r w:rsidR="004061DE">
        <w:t xml:space="preserve"> </w:t>
      </w:r>
      <w:r w:rsidR="00BE407B">
        <w:t>the COD Sunset Date, in whole or in part, despite the Concurrent Delay</w:t>
      </w:r>
      <w:r w:rsidRPr="2C388DF0">
        <w:t>) in accordance with this clause</w:t>
      </w:r>
      <w:r w:rsidR="00E84ED7">
        <w:t xml:space="preserve"> </w:t>
      </w:r>
      <w:r w:rsidR="00E84ED7">
        <w:fldChar w:fldCharType="begin"/>
      </w:r>
      <w:r w:rsidR="00E84ED7">
        <w:instrText xml:space="preserve"> REF _Ref159418233 \w \h </w:instrText>
      </w:r>
      <w:r w:rsidR="00E84ED7">
        <w:fldChar w:fldCharType="separate"/>
      </w:r>
      <w:r w:rsidR="002E5C6A">
        <w:t>7.3</w:t>
      </w:r>
      <w:r w:rsidR="00E84ED7">
        <w:fldChar w:fldCharType="end"/>
      </w:r>
      <w:r w:rsidRPr="2C388DF0">
        <w:t>, provided</w:t>
      </w:r>
      <w:r w:rsidR="001A051E">
        <w:t xml:space="preserve"> that</w:t>
      </w:r>
      <w:r w:rsidRPr="2C388DF0">
        <w:t xml:space="preserve"> the COD Sunset Date may not be extended</w:t>
      </w:r>
      <w:r>
        <w:rPr>
          <w:szCs w:val="18"/>
        </w:rPr>
        <w:t>:</w:t>
      </w:r>
      <w:bookmarkEnd w:id="2353"/>
      <w:r>
        <w:rPr>
          <w:szCs w:val="18"/>
        </w:rPr>
        <w:t xml:space="preserve"> </w:t>
      </w:r>
    </w:p>
    <w:p w14:paraId="5304F96B" w14:textId="521AD33A" w:rsidR="00511FF0" w:rsidRDefault="00511FF0" w:rsidP="00511FF0">
      <w:pPr>
        <w:pStyle w:val="Heading4"/>
      </w:pPr>
      <w:r>
        <w:t xml:space="preserve">in the case of a Project Force Majeure Event, beyond the date that is </w:t>
      </w:r>
      <w:r w:rsidR="00D47EFE">
        <w:t>6</w:t>
      </w:r>
      <w:r>
        <w:t xml:space="preserve"> months after the COD Sunset Date set out in item </w:t>
      </w:r>
      <w:r w:rsidR="00E84ED7">
        <w:fldChar w:fldCharType="begin"/>
      </w:r>
      <w:r w:rsidR="00E84ED7">
        <w:instrText xml:space="preserve"> REF _Ref167908788 \w \h </w:instrText>
      </w:r>
      <w:r w:rsidR="00E84ED7">
        <w:fldChar w:fldCharType="separate"/>
      </w:r>
      <w:r w:rsidR="002E5C6A">
        <w:t>24</w:t>
      </w:r>
      <w:r w:rsidR="00E84ED7">
        <w:fldChar w:fldCharType="end"/>
      </w:r>
      <w:r>
        <w:t xml:space="preserve"> of the Reference Details </w:t>
      </w:r>
      <w:r w:rsidR="005B6502">
        <w:t>as at the Signing Date</w:t>
      </w:r>
      <w:r>
        <w:t xml:space="preserve">; and </w:t>
      </w:r>
    </w:p>
    <w:p w14:paraId="00E15983" w14:textId="77777777" w:rsidR="00E84ED7" w:rsidRPr="00E84ED7" w:rsidRDefault="00511FF0" w:rsidP="00131021">
      <w:pPr>
        <w:pStyle w:val="Heading4"/>
      </w:pPr>
      <w:r>
        <w:t>in the case of a Connection Force Majeure Event, by more than the length of delay caused by that Connection Force Majeure Event.</w:t>
      </w:r>
    </w:p>
    <w:p w14:paraId="6033AFAF" w14:textId="04B83263" w:rsidR="00AE6A92" w:rsidRDefault="00AE6A92" w:rsidP="00AE6A92">
      <w:pPr>
        <w:pStyle w:val="Heading2"/>
      </w:pPr>
      <w:bookmarkStart w:id="2354" w:name="_Toc170215462"/>
      <w:bookmarkStart w:id="2355" w:name="_Toc170217424"/>
      <w:bookmarkStart w:id="2356" w:name="_Toc170215463"/>
      <w:bookmarkStart w:id="2357" w:name="_Toc170217425"/>
      <w:bookmarkStart w:id="2358" w:name="_Toc170215464"/>
      <w:bookmarkStart w:id="2359" w:name="_Toc170217426"/>
      <w:bookmarkStart w:id="2360" w:name="_Toc170215465"/>
      <w:bookmarkStart w:id="2361" w:name="_Toc170217427"/>
      <w:bookmarkStart w:id="2362" w:name="_Toc166244837"/>
      <w:bookmarkStart w:id="2363" w:name="_Toc166256455"/>
      <w:bookmarkStart w:id="2364" w:name="_Toc170215466"/>
      <w:bookmarkStart w:id="2365" w:name="_Toc170217428"/>
      <w:bookmarkStart w:id="2366" w:name="_Toc170215467"/>
      <w:bookmarkStart w:id="2367" w:name="_Toc170217429"/>
      <w:bookmarkStart w:id="2368" w:name="_Toc170215468"/>
      <w:bookmarkStart w:id="2369" w:name="_Toc170217430"/>
      <w:bookmarkStart w:id="2370" w:name="_Toc170215469"/>
      <w:bookmarkStart w:id="2371" w:name="_Toc170217431"/>
      <w:bookmarkStart w:id="2372" w:name="_Toc170215470"/>
      <w:bookmarkStart w:id="2373" w:name="_Toc170217432"/>
      <w:bookmarkStart w:id="2374" w:name="_Toc170215471"/>
      <w:bookmarkStart w:id="2375" w:name="_Toc170217433"/>
      <w:bookmarkStart w:id="2376" w:name="_Toc170215472"/>
      <w:bookmarkStart w:id="2377" w:name="_Toc170217434"/>
      <w:bookmarkStart w:id="2378" w:name="_Toc170215473"/>
      <w:bookmarkStart w:id="2379" w:name="_Toc170217435"/>
      <w:bookmarkStart w:id="2380" w:name="_Toc170215474"/>
      <w:bookmarkStart w:id="2381" w:name="_Toc170217436"/>
      <w:bookmarkStart w:id="2382" w:name="_Toc170215475"/>
      <w:bookmarkStart w:id="2383" w:name="_Toc170217437"/>
      <w:bookmarkStart w:id="2384" w:name="_Toc170215476"/>
      <w:bookmarkStart w:id="2385" w:name="_Toc170217438"/>
      <w:bookmarkStart w:id="2386" w:name="_Toc170215477"/>
      <w:bookmarkStart w:id="2387" w:name="_Toc170217439"/>
      <w:bookmarkStart w:id="2388" w:name="_Ref100062312"/>
      <w:bookmarkStart w:id="2389" w:name="_Toc156909138"/>
      <w:bookmarkStart w:id="2390" w:name="_Toc168503300"/>
      <w:bookmarkStart w:id="2391" w:name="_Toc207309586"/>
      <w:bookmarkStart w:id="2392" w:name="_Ref103540138"/>
      <w:bookmarkStart w:id="2393" w:name="_Toc156909139"/>
      <w:bookmarkStart w:id="2394" w:name="_Ref107936634"/>
      <w:bookmarkStart w:id="2395" w:name="_Ref93854661"/>
      <w:bookmarkStart w:id="2396" w:name="_Ref93854815"/>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r>
        <w:t xml:space="preserve">COD Cure Plan other than </w:t>
      </w:r>
      <w:r w:rsidR="005B6502">
        <w:t xml:space="preserve">for </w:t>
      </w:r>
      <w:r>
        <w:t>Force Majeure Event</w:t>
      </w:r>
      <w:bookmarkEnd w:id="2388"/>
      <w:bookmarkEnd w:id="2389"/>
      <w:bookmarkEnd w:id="2390"/>
      <w:bookmarkEnd w:id="2391"/>
    </w:p>
    <w:p w14:paraId="39E7B626" w14:textId="54CC6F92" w:rsidR="00AE6A92" w:rsidRPr="00622798" w:rsidRDefault="00AE6A92" w:rsidP="00AE6A92">
      <w:pPr>
        <w:pStyle w:val="Heading3"/>
      </w:pPr>
      <w:bookmarkStart w:id="2397" w:name="_Ref165387317"/>
      <w:r>
        <w:t xml:space="preserve">Project Operator must notify the Commonwealth as soon as reasonably practicable after becoming aware that it will be, or is likely to be, delayed in achieving the COD Conditions by the COD Sunset Date other than to the extent </w:t>
      </w:r>
      <w:r w:rsidR="005B6502">
        <w:t>the delay is</w:t>
      </w:r>
      <w:r>
        <w:t xml:space="preserve"> a result of a Force Majeure Event.</w:t>
      </w:r>
      <w:bookmarkEnd w:id="2397"/>
      <w:r>
        <w:t xml:space="preserve"> </w:t>
      </w:r>
    </w:p>
    <w:p w14:paraId="0943B27D" w14:textId="77777777" w:rsidR="00AE6A92" w:rsidRDefault="00AE6A92" w:rsidP="00131021">
      <w:pPr>
        <w:pStyle w:val="Heading3"/>
      </w:pPr>
      <w:bookmarkStart w:id="2398" w:name="_Ref93854478"/>
      <w:r>
        <w:t xml:space="preserve">If: </w:t>
      </w:r>
    </w:p>
    <w:p w14:paraId="0523215B" w14:textId="34FB8CEA" w:rsidR="00AE6A92" w:rsidRDefault="00AE6A92" w:rsidP="00AE6A92">
      <w:pPr>
        <w:pStyle w:val="Heading4"/>
      </w:pPr>
      <w:r>
        <w:t xml:space="preserve">Project Operator has notified the Commonwealth under paragraph </w:t>
      </w:r>
      <w:r>
        <w:fldChar w:fldCharType="begin"/>
      </w:r>
      <w:r>
        <w:instrText xml:space="preserve"> REF _Ref165387317 \n \h </w:instrText>
      </w:r>
      <w:r>
        <w:fldChar w:fldCharType="separate"/>
      </w:r>
      <w:r w:rsidR="002E5C6A">
        <w:t>(a)</w:t>
      </w:r>
      <w:r>
        <w:fldChar w:fldCharType="end"/>
      </w:r>
      <w:r>
        <w:t>; or</w:t>
      </w:r>
    </w:p>
    <w:p w14:paraId="2FC35F86" w14:textId="77777777" w:rsidR="00AE6A92" w:rsidRDefault="00AE6A92" w:rsidP="00AE6A92">
      <w:pPr>
        <w:pStyle w:val="Heading4"/>
      </w:pPr>
      <w:r>
        <w:t xml:space="preserve">the COD Conditions have not been satisfied on or before the COD Sunset Date, </w:t>
      </w:r>
    </w:p>
    <w:p w14:paraId="75346BBF" w14:textId="77777777" w:rsidR="00AE6A92" w:rsidRPr="0044407D" w:rsidRDefault="00AE6A92" w:rsidP="00AE6A92">
      <w:pPr>
        <w:pStyle w:val="Heading4"/>
        <w:numPr>
          <w:ilvl w:val="0"/>
          <w:numId w:val="0"/>
        </w:numPr>
        <w:ind w:left="1474"/>
      </w:pPr>
      <w:r>
        <w:t>then the Commonwealth may at its discretion give Project Operator a notice requiring Project Operator to submit a cure plan which demonstrates that Project Operator is reasonably likely to achieve the COD Conditions (“</w:t>
      </w:r>
      <w:r w:rsidRPr="2BC382E4">
        <w:rPr>
          <w:b/>
          <w:bCs/>
        </w:rPr>
        <w:t>Draft</w:t>
      </w:r>
      <w:r>
        <w:t xml:space="preserve"> </w:t>
      </w:r>
      <w:r w:rsidRPr="2BC382E4">
        <w:rPr>
          <w:b/>
          <w:bCs/>
        </w:rPr>
        <w:t>COD Cure Plan</w:t>
      </w:r>
      <w:r w:rsidRPr="2BC382E4">
        <w:rPr>
          <w:rStyle w:val="NormalDeedChar"/>
        </w:rPr>
        <w:t>”</w:t>
      </w:r>
      <w:r>
        <w:t>).</w:t>
      </w:r>
      <w:bookmarkEnd w:id="2398"/>
    </w:p>
    <w:p w14:paraId="771676F1" w14:textId="5681F428" w:rsidR="00AE6A92" w:rsidRPr="0044407D" w:rsidRDefault="00AE6A92" w:rsidP="00AE6A92">
      <w:pPr>
        <w:pStyle w:val="Heading3"/>
      </w:pPr>
      <w:bookmarkStart w:id="2399" w:name="_Ref103534096"/>
      <w:r>
        <w:t xml:space="preserve">Within 30 Business Days after receiving notice from the Commonwealth under paragraph </w:t>
      </w:r>
      <w:r>
        <w:fldChar w:fldCharType="begin"/>
      </w:r>
      <w:r>
        <w:instrText xml:space="preserve"> REF _Ref93854478 \n \h </w:instrText>
      </w:r>
      <w:r>
        <w:fldChar w:fldCharType="separate"/>
      </w:r>
      <w:r w:rsidR="002E5C6A">
        <w:t>(b)</w:t>
      </w:r>
      <w:r>
        <w:fldChar w:fldCharType="end"/>
      </w:r>
      <w:r>
        <w:t xml:space="preserve"> or such other period </w:t>
      </w:r>
      <w:r w:rsidR="00AF73C7">
        <w:t xml:space="preserve">as is </w:t>
      </w:r>
      <w:r>
        <w:t xml:space="preserve">agreed between the parties, Project Operator must submit a Draft COD Cure Plan to the Commonwealth that includes </w:t>
      </w:r>
      <w:r w:rsidR="00BB2968">
        <w:t xml:space="preserve">any proposed changes to the COD Sunset Date and </w:t>
      </w:r>
      <w:r>
        <w:t xml:space="preserve">sufficient detail for the Commonwealth to determine (at its discretion) whether the Draft COD Cure Plan should be approved or rejected. The Commonwealth may request any further information from Project Operator that the Commonwealth reasonably requires in order to determine whether to approve or reject the Draft COD Cure Plan, and Project Operator must </w:t>
      </w:r>
      <w:r w:rsidRPr="00961F64">
        <w:t>promptly provide that information to the Commonwealth.</w:t>
      </w:r>
      <w:bookmarkEnd w:id="2399"/>
      <w:r w:rsidR="003F4015" w:rsidRPr="00961F64">
        <w:t xml:space="preserve"> </w:t>
      </w:r>
      <w:r w:rsidR="00E36F28" w:rsidRPr="00961F64">
        <w:t>If Project Operator provides a Draft COD Cure Plan without having been formally requested by the Commonwealth, this will not constitute a Draft COD Cure Plan under clause</w:t>
      </w:r>
      <w:r w:rsidR="00961F64">
        <w:t> </w:t>
      </w:r>
      <w:r w:rsidR="00961F64">
        <w:fldChar w:fldCharType="begin"/>
      </w:r>
      <w:r w:rsidR="00961F64">
        <w:instrText xml:space="preserve"> REF _Ref106207629 \w \h </w:instrText>
      </w:r>
      <w:r w:rsidR="00961F64">
        <w:fldChar w:fldCharType="separate"/>
      </w:r>
      <w:r w:rsidR="002E5C6A">
        <w:t>7.4(d)</w:t>
      </w:r>
      <w:r w:rsidR="00961F64">
        <w:fldChar w:fldCharType="end"/>
      </w:r>
      <w:r w:rsidR="00961F64">
        <w:t xml:space="preserve"> or </w:t>
      </w:r>
      <w:r w:rsidR="00961F64">
        <w:fldChar w:fldCharType="begin"/>
      </w:r>
      <w:r w:rsidR="00961F64">
        <w:instrText xml:space="preserve"> REF _Ref114218157 \w \h </w:instrText>
      </w:r>
      <w:r w:rsidR="00961F64">
        <w:fldChar w:fldCharType="separate"/>
      </w:r>
      <w:r w:rsidR="002E5C6A">
        <w:t>7.5(c)</w:t>
      </w:r>
      <w:r w:rsidR="00961F64">
        <w:fldChar w:fldCharType="end"/>
      </w:r>
      <w:r w:rsidR="00E36F28" w:rsidRPr="00961F64">
        <w:t xml:space="preserve"> and will not detract from the Commonwealth’s rights of termination under clause</w:t>
      </w:r>
      <w:r w:rsidR="00961F64">
        <w:t> </w:t>
      </w:r>
      <w:r w:rsidR="00961F64">
        <w:fldChar w:fldCharType="begin"/>
      </w:r>
      <w:r w:rsidR="00961F64">
        <w:instrText xml:space="preserve"> REF _Ref172540834 \w \h </w:instrText>
      </w:r>
      <w:r w:rsidR="00961F64">
        <w:fldChar w:fldCharType="separate"/>
      </w:r>
      <w:r w:rsidR="002E5C6A">
        <w:t>7.5</w:t>
      </w:r>
      <w:r w:rsidR="00961F64">
        <w:fldChar w:fldCharType="end"/>
      </w:r>
      <w:r w:rsidR="003F4015" w:rsidRPr="00961F64">
        <w:t>.</w:t>
      </w:r>
    </w:p>
    <w:p w14:paraId="33DE05CB" w14:textId="6FB39ACB" w:rsidR="00AE6A92" w:rsidRDefault="00AE6A92" w:rsidP="00AE6A92">
      <w:pPr>
        <w:pStyle w:val="Heading3"/>
      </w:pPr>
      <w:bookmarkStart w:id="2400" w:name="_Ref106207629"/>
      <w:bookmarkStart w:id="2401" w:name="_Ref114217838"/>
      <w:bookmarkStart w:id="2402" w:name="_Ref103533819"/>
      <w:bookmarkStart w:id="2403" w:name="_Ref93854813"/>
      <w:r>
        <w:t>Within 40 Business Days after the later of receiving the Draft COD Cure Plan and receiving any further information requested by the Commonwealth, the Commonwealth must use reasonable endeavours to either approve or reject the Draft COD Cure Plan.</w:t>
      </w:r>
      <w:bookmarkEnd w:id="2400"/>
      <w:r>
        <w:t xml:space="preserve"> </w:t>
      </w:r>
      <w:bookmarkEnd w:id="2401"/>
    </w:p>
    <w:p w14:paraId="67911B87" w14:textId="28C25C92" w:rsidR="00AE6A92" w:rsidRDefault="00AE6A92" w:rsidP="00DB5156">
      <w:pPr>
        <w:pStyle w:val="Heading3"/>
        <w:keepNext/>
      </w:pPr>
      <w:bookmarkStart w:id="2404" w:name="_Ref103533738"/>
      <w:bookmarkStart w:id="2405" w:name="_Ref205749158"/>
      <w:bookmarkEnd w:id="2402"/>
      <w:r>
        <w:t xml:space="preserve">If the Commonwealth approves (at its discretion) the Draft COD Cure Plan under paragraph </w:t>
      </w:r>
      <w:r>
        <w:fldChar w:fldCharType="begin"/>
      </w:r>
      <w:r>
        <w:instrText xml:space="preserve"> REF _Ref106207629 \n \h </w:instrText>
      </w:r>
      <w:r>
        <w:fldChar w:fldCharType="separate"/>
      </w:r>
      <w:r w:rsidR="002E5C6A">
        <w:t>(d)</w:t>
      </w:r>
      <w:r>
        <w:fldChar w:fldCharType="end"/>
      </w:r>
      <w:r w:rsidR="00BB2968">
        <w:t xml:space="preserve"> (“</w:t>
      </w:r>
      <w:r w:rsidR="00BB2968">
        <w:rPr>
          <w:b/>
          <w:bCs/>
        </w:rPr>
        <w:t>Approved COD Cure Plan</w:t>
      </w:r>
      <w:r w:rsidR="00BB2968">
        <w:t>”)</w:t>
      </w:r>
      <w:r>
        <w:t>, then</w:t>
      </w:r>
      <w:bookmarkEnd w:id="2403"/>
      <w:bookmarkEnd w:id="2404"/>
      <w:r>
        <w:t>:</w:t>
      </w:r>
      <w:bookmarkEnd w:id="2405"/>
      <w:r>
        <w:t xml:space="preserve"> </w:t>
      </w:r>
    </w:p>
    <w:p w14:paraId="44DA01A1" w14:textId="10CE2E42" w:rsidR="00AE6A92" w:rsidRDefault="00AE6A92" w:rsidP="00AE6A92">
      <w:pPr>
        <w:pStyle w:val="Heading4"/>
      </w:pPr>
      <w:r>
        <w:t xml:space="preserve">Project Operator must comply with the </w:t>
      </w:r>
      <w:r w:rsidR="00BB2968">
        <w:t xml:space="preserve">Approved </w:t>
      </w:r>
      <w:r>
        <w:t>COD Cure Plan;</w:t>
      </w:r>
    </w:p>
    <w:p w14:paraId="7A7D536E" w14:textId="067EB6EF" w:rsidR="00AE6A92" w:rsidRDefault="00AE6A92" w:rsidP="00AE6A92">
      <w:pPr>
        <w:pStyle w:val="Heading4"/>
      </w:pPr>
      <w:r>
        <w:t xml:space="preserve">within 10 Business Days after the end of each month, Project Operator must provide to the Commonwealth a monthly report that sets out Project Operator’s progress </w:t>
      </w:r>
      <w:r w:rsidR="001A051E">
        <w:t>in</w:t>
      </w:r>
      <w:r>
        <w:t xml:space="preserve"> achieving the </w:t>
      </w:r>
      <w:r w:rsidR="00BB2968">
        <w:t xml:space="preserve">Approved </w:t>
      </w:r>
      <w:r>
        <w:t>COD Cure Plan; and</w:t>
      </w:r>
    </w:p>
    <w:p w14:paraId="34F689EA" w14:textId="67CA0983" w:rsidR="00AE6A92" w:rsidRDefault="00AE6A92" w:rsidP="00AE6A92">
      <w:pPr>
        <w:pStyle w:val="Heading4"/>
      </w:pPr>
      <w:r>
        <w:t xml:space="preserve">any references to the COD Sunset Date </w:t>
      </w:r>
      <w:r w:rsidR="001A051E">
        <w:t xml:space="preserve">in the Project Documents </w:t>
      </w:r>
      <w:r>
        <w:t xml:space="preserve">will be read as being to the COD Sunset Date as extended under the </w:t>
      </w:r>
      <w:r w:rsidR="00BB2968">
        <w:t xml:space="preserve">Approved </w:t>
      </w:r>
      <w:r>
        <w:t xml:space="preserve">COD Cure Plan. </w:t>
      </w:r>
    </w:p>
    <w:p w14:paraId="71159FA9" w14:textId="77777777" w:rsidR="001A73B8" w:rsidRDefault="49D70CC2" w:rsidP="0058045D">
      <w:pPr>
        <w:pStyle w:val="Heading2"/>
      </w:pPr>
      <w:bookmarkStart w:id="2406" w:name="_Ref172540834"/>
      <w:bookmarkStart w:id="2407" w:name="_Toc207309587"/>
      <w:r>
        <w:t>Failure to meet the COD Sunset Date</w:t>
      </w:r>
      <w:bookmarkEnd w:id="2392"/>
      <w:bookmarkEnd w:id="2393"/>
      <w:bookmarkEnd w:id="2406"/>
      <w:bookmarkEnd w:id="2407"/>
    </w:p>
    <w:p w14:paraId="575BDBFC" w14:textId="77777777" w:rsidR="00E0320A" w:rsidRDefault="00E0320A" w:rsidP="008F660B">
      <w:pPr>
        <w:pStyle w:val="Heading3"/>
        <w:keepNext/>
        <w:numPr>
          <w:ilvl w:val="2"/>
          <w:numId w:val="95"/>
        </w:numPr>
      </w:pPr>
      <w:bookmarkStart w:id="2408" w:name="_Ref114217805"/>
      <w:r>
        <w:t>If:</w:t>
      </w:r>
    </w:p>
    <w:p w14:paraId="7A134077" w14:textId="57D3D81D" w:rsidR="00E0320A" w:rsidRDefault="00E0320A" w:rsidP="008F660B">
      <w:pPr>
        <w:pStyle w:val="Heading4"/>
        <w:numPr>
          <w:ilvl w:val="3"/>
          <w:numId w:val="95"/>
        </w:numPr>
      </w:pPr>
      <w:r w:rsidRPr="2C388DF0">
        <w:t>Project Operator has notified the Commonwealth under paragraph</w:t>
      </w:r>
      <w:r>
        <w:t> </w:t>
      </w:r>
      <w:r>
        <w:fldChar w:fldCharType="begin"/>
      </w:r>
      <w:r>
        <w:instrText xml:space="preserve"> REF _Ref165387317 \r \h </w:instrText>
      </w:r>
      <w:r>
        <w:fldChar w:fldCharType="separate"/>
      </w:r>
      <w:r w:rsidR="002E5C6A">
        <w:t>7.4(a)</w:t>
      </w:r>
      <w:r>
        <w:fldChar w:fldCharType="end"/>
      </w:r>
      <w:r w:rsidRPr="00225A77">
        <w:rPr>
          <w:szCs w:val="18"/>
        </w:rPr>
        <w:t xml:space="preserve"> that </w:t>
      </w:r>
      <w:r>
        <w:t xml:space="preserve">it is likely to be delayed in achieving the COD Conditions by the COD Sunset Date; and </w:t>
      </w:r>
    </w:p>
    <w:p w14:paraId="4F9D00FA" w14:textId="77777777" w:rsidR="00E0320A" w:rsidRDefault="00E0320A" w:rsidP="008F660B">
      <w:pPr>
        <w:pStyle w:val="Heading4"/>
        <w:numPr>
          <w:ilvl w:val="3"/>
          <w:numId w:val="95"/>
        </w:numPr>
      </w:pPr>
      <w:r>
        <w:t xml:space="preserve">the COD Conditions have not been achieved by the COD Sunset Date, </w:t>
      </w:r>
    </w:p>
    <w:p w14:paraId="659B0570" w14:textId="059AE81F" w:rsidR="000C6982" w:rsidRDefault="00E0320A" w:rsidP="00E0320A">
      <w:pPr>
        <w:pStyle w:val="Heading3"/>
        <w:keepNext/>
      </w:pPr>
      <w:r>
        <w:t>then, s</w:t>
      </w:r>
      <w:r w:rsidR="000C6982">
        <w:t xml:space="preserve">ubject to paragraph </w:t>
      </w:r>
      <w:r w:rsidR="000C6982">
        <w:fldChar w:fldCharType="begin"/>
      </w:r>
      <w:r w:rsidR="000C6982">
        <w:instrText xml:space="preserve"> REF _Ref114218157 \n \h </w:instrText>
      </w:r>
      <w:r w:rsidR="000C6982">
        <w:fldChar w:fldCharType="separate"/>
      </w:r>
      <w:r w:rsidR="002E5C6A">
        <w:t>(c)</w:t>
      </w:r>
      <w:r w:rsidR="000C6982">
        <w:fldChar w:fldCharType="end"/>
      </w:r>
      <w:r w:rsidR="000C6982">
        <w:t xml:space="preserve">, the Commonwealth may terminate this agreement by written notice to Project Operator with immediate effect: </w:t>
      </w:r>
    </w:p>
    <w:p w14:paraId="072C7B06" w14:textId="61E0E823" w:rsidR="000C6982" w:rsidRDefault="000C6982" w:rsidP="000C6982">
      <w:pPr>
        <w:pStyle w:val="Heading4"/>
      </w:pPr>
      <w:r>
        <w:t xml:space="preserve">if the Commonwealth does not require Project Operator to submit a Draft COD Cure Plan under clause </w:t>
      </w:r>
      <w:r>
        <w:fldChar w:fldCharType="begin"/>
      </w:r>
      <w:r>
        <w:instrText xml:space="preserve"> REF _Ref93854478 \w \h </w:instrText>
      </w:r>
      <w:r>
        <w:fldChar w:fldCharType="separate"/>
      </w:r>
      <w:r w:rsidR="002E5C6A">
        <w:t>7.4(b)</w:t>
      </w:r>
      <w:r>
        <w:fldChar w:fldCharType="end"/>
      </w:r>
      <w:r>
        <w:t xml:space="preserve"> and Project Operator does not satisfy the COD Conditions on or before the COD Sunset Date; or</w:t>
      </w:r>
    </w:p>
    <w:p w14:paraId="507846C8" w14:textId="6CBFD63A" w:rsidR="000C6982" w:rsidRDefault="000C6982" w:rsidP="000C6982">
      <w:pPr>
        <w:pStyle w:val="Heading4"/>
      </w:pPr>
      <w:bookmarkStart w:id="2409" w:name="_Ref176529415"/>
      <w:r>
        <w:t xml:space="preserve">if the Commonwealth does require Project Operator to submit a </w:t>
      </w:r>
      <w:r w:rsidRPr="00847C21">
        <w:t xml:space="preserve">Draft COD Cure Plan under clause </w:t>
      </w:r>
      <w:r w:rsidRPr="00847C21">
        <w:fldChar w:fldCharType="begin"/>
      </w:r>
      <w:r w:rsidRPr="00847C21">
        <w:instrText xml:space="preserve"> REF _Ref93854478 \w \h </w:instrText>
      </w:r>
      <w:r w:rsidR="00801FA4">
        <w:instrText xml:space="preserve"> \* MERGEFORMAT </w:instrText>
      </w:r>
      <w:r w:rsidRPr="00847C21">
        <w:fldChar w:fldCharType="separate"/>
      </w:r>
      <w:r w:rsidR="002E5C6A">
        <w:t>7.4(b)</w:t>
      </w:r>
      <w:r w:rsidRPr="00847C21">
        <w:fldChar w:fldCharType="end"/>
      </w:r>
      <w:r w:rsidRPr="00847C21">
        <w:t xml:space="preserve"> and Project Operator </w:t>
      </w:r>
      <w:r w:rsidR="007E4657" w:rsidRPr="008F660B">
        <w:t xml:space="preserve">fails to do one or more </w:t>
      </w:r>
      <w:r w:rsidR="001A051E" w:rsidRPr="00847C21">
        <w:t>of</w:t>
      </w:r>
      <w:r w:rsidR="001A051E">
        <w:t xml:space="preserve"> the following (as applicable)</w:t>
      </w:r>
      <w:r>
        <w:t>:</w:t>
      </w:r>
      <w:bookmarkEnd w:id="2409"/>
      <w:r>
        <w:t xml:space="preserve"> </w:t>
      </w:r>
    </w:p>
    <w:p w14:paraId="0ECF6BC5" w14:textId="206A537F" w:rsidR="00E0320A" w:rsidRDefault="000C6982" w:rsidP="000C6982">
      <w:pPr>
        <w:pStyle w:val="Heading5"/>
      </w:pPr>
      <w:r>
        <w:t xml:space="preserve">submit a Draft COD Cure Plan in accordance with clause </w:t>
      </w:r>
      <w:r>
        <w:fldChar w:fldCharType="begin"/>
      </w:r>
      <w:r>
        <w:instrText xml:space="preserve"> REF _Ref103534096 \w \h </w:instrText>
      </w:r>
      <w:r>
        <w:fldChar w:fldCharType="separate"/>
      </w:r>
      <w:r w:rsidR="002E5C6A">
        <w:t>7.4(c)</w:t>
      </w:r>
      <w:r>
        <w:fldChar w:fldCharType="end"/>
      </w:r>
      <w:r w:rsidR="00E0320A">
        <w:t>;</w:t>
      </w:r>
    </w:p>
    <w:p w14:paraId="34DF9E3F" w14:textId="0EC18996" w:rsidR="00E0320A" w:rsidRDefault="00E0320A" w:rsidP="000C6982">
      <w:pPr>
        <w:pStyle w:val="Heading5"/>
      </w:pPr>
      <w:r>
        <w:t xml:space="preserve">have that Draft COD Cure Plan approved by the Commonwealth in accordance with clause </w:t>
      </w:r>
      <w:r>
        <w:fldChar w:fldCharType="begin"/>
      </w:r>
      <w:r>
        <w:instrText xml:space="preserve"> REF _Ref106207629 \w \h </w:instrText>
      </w:r>
      <w:r>
        <w:fldChar w:fldCharType="separate"/>
      </w:r>
      <w:r w:rsidR="002E5C6A">
        <w:t>7.4(d)</w:t>
      </w:r>
      <w:r>
        <w:fldChar w:fldCharType="end"/>
      </w:r>
      <w:r>
        <w:t>;</w:t>
      </w:r>
    </w:p>
    <w:p w14:paraId="06C8A885" w14:textId="77777777" w:rsidR="000A17D4" w:rsidRDefault="000C6982" w:rsidP="000C6982">
      <w:pPr>
        <w:pStyle w:val="Heading5"/>
      </w:pPr>
      <w:r>
        <w:t xml:space="preserve">commence </w:t>
      </w:r>
      <w:r w:rsidR="00BB2968">
        <w:t xml:space="preserve">performing </w:t>
      </w:r>
      <w:r w:rsidR="000A17D4">
        <w:t>the Draft COD Cure Plan in accordance with its terms;</w:t>
      </w:r>
    </w:p>
    <w:p w14:paraId="514E11D0" w14:textId="5DC3F125" w:rsidR="000C6982" w:rsidRDefault="00BB2968" w:rsidP="000C6982">
      <w:pPr>
        <w:pStyle w:val="Heading5"/>
      </w:pPr>
      <w:r>
        <w:t xml:space="preserve">continue to </w:t>
      </w:r>
      <w:r w:rsidR="000C6982">
        <w:t xml:space="preserve">comply with the </w:t>
      </w:r>
      <w:r>
        <w:t xml:space="preserve">Approved </w:t>
      </w:r>
      <w:r w:rsidR="000C6982">
        <w:t>COD Cure Plan in all material respects and</w:t>
      </w:r>
      <w:r w:rsidR="00C00FC6">
        <w:t>,</w:t>
      </w:r>
      <w:r w:rsidR="000C6982">
        <w:t xml:space="preserve"> </w:t>
      </w:r>
      <w:r w:rsidR="00E0320A">
        <w:t>if it fail</w:t>
      </w:r>
      <w:r w:rsidR="00C00FC6">
        <w:t>s</w:t>
      </w:r>
      <w:r w:rsidR="00E0320A">
        <w:t xml:space="preserve"> </w:t>
      </w:r>
      <w:r w:rsidR="000C6982">
        <w:t xml:space="preserve">to comply with the </w:t>
      </w:r>
      <w:r w:rsidR="001A051E">
        <w:t xml:space="preserve">Approved </w:t>
      </w:r>
      <w:r w:rsidR="000C6982">
        <w:t>COD Cure Plan</w:t>
      </w:r>
      <w:r w:rsidR="00E0320A">
        <w:t xml:space="preserve">, remedy any such failure within </w:t>
      </w:r>
      <w:r w:rsidR="000C6982">
        <w:t>20 Business Days after notice from the Commonwealth</w:t>
      </w:r>
      <w:r w:rsidR="00E0320A">
        <w:t xml:space="preserve"> (unless it has nonetheless satisfied the COD Conditions by the relevant date in the Approved </w:t>
      </w:r>
      <w:r w:rsidR="00E0320A" w:rsidRPr="00E134AF">
        <w:t>COD Cure Plan</w:t>
      </w:r>
      <w:r w:rsidR="00E0320A">
        <w:t xml:space="preserve">, in which case only subparagraph </w:t>
      </w:r>
      <w:r w:rsidR="00E0320A">
        <w:fldChar w:fldCharType="begin"/>
      </w:r>
      <w:r w:rsidR="00E0320A">
        <w:instrText xml:space="preserve"> REF _Ref206434581 \r \h </w:instrText>
      </w:r>
      <w:r w:rsidR="00E0320A">
        <w:fldChar w:fldCharType="separate"/>
      </w:r>
      <w:r w:rsidR="002E5C6A">
        <w:t>(E)</w:t>
      </w:r>
      <w:r w:rsidR="00E0320A">
        <w:fldChar w:fldCharType="end"/>
      </w:r>
      <w:r w:rsidR="00E0320A">
        <w:t xml:space="preserve"> applies); and</w:t>
      </w:r>
      <w:r w:rsidR="00C95A3C">
        <w:t>;</w:t>
      </w:r>
    </w:p>
    <w:p w14:paraId="4A7BBB77" w14:textId="627179E8" w:rsidR="00C95A3C" w:rsidRDefault="00C95A3C" w:rsidP="000C6982">
      <w:pPr>
        <w:pStyle w:val="Heading5"/>
      </w:pPr>
      <w:bookmarkStart w:id="2410" w:name="_Ref206434581"/>
      <w:r>
        <w:t>satisfy the COD Conditions by the relevant date set out in the Approved COD Cure Plan</w:t>
      </w:r>
      <w:bookmarkEnd w:id="2410"/>
      <w:r w:rsidR="00E0320A">
        <w:t>.</w:t>
      </w:r>
    </w:p>
    <w:p w14:paraId="3B0E2FA1" w14:textId="2D475F0C" w:rsidR="000C6982" w:rsidRPr="00BE407B" w:rsidRDefault="000C6982" w:rsidP="000C6982">
      <w:pPr>
        <w:pStyle w:val="Heading3"/>
      </w:pPr>
      <w:bookmarkStart w:id="2411" w:name="_Ref114218157"/>
      <w:r>
        <w:t>The Commonwealth</w:t>
      </w:r>
      <w:r w:rsidRPr="2C388DF0">
        <w:t xml:space="preserve"> must not terminate this agreement pursuant to paragraph </w:t>
      </w:r>
      <w:r w:rsidR="001837AA">
        <w:rPr>
          <w:szCs w:val="18"/>
        </w:rPr>
        <w:fldChar w:fldCharType="begin"/>
      </w:r>
      <w:r w:rsidR="001837AA">
        <w:rPr>
          <w:szCs w:val="18"/>
        </w:rPr>
        <w:instrText xml:space="preserve"> REF _Ref176529415 \r \h </w:instrText>
      </w:r>
      <w:r w:rsidR="001837AA">
        <w:rPr>
          <w:szCs w:val="18"/>
        </w:rPr>
      </w:r>
      <w:r w:rsidR="001837AA">
        <w:rPr>
          <w:szCs w:val="18"/>
        </w:rPr>
        <w:fldChar w:fldCharType="separate"/>
      </w:r>
      <w:r w:rsidR="002E5C6A">
        <w:rPr>
          <w:szCs w:val="18"/>
        </w:rPr>
        <w:t>(b)(ii)</w:t>
      </w:r>
      <w:r w:rsidR="001837AA">
        <w:rPr>
          <w:szCs w:val="18"/>
        </w:rPr>
        <w:fldChar w:fldCharType="end"/>
      </w:r>
      <w:r w:rsidRPr="2C388DF0">
        <w:t xml:space="preserve"> if Project Operator</w:t>
      </w:r>
      <w:r>
        <w:rPr>
          <w:szCs w:val="18"/>
        </w:rPr>
        <w:t xml:space="preserve"> </w:t>
      </w:r>
      <w:r w:rsidRPr="2C388DF0">
        <w:t xml:space="preserve">has submitted a Draft COD Cure Plan to </w:t>
      </w:r>
      <w:r>
        <w:t>the Commonwealth</w:t>
      </w:r>
      <w:r w:rsidRPr="2C388DF0">
        <w:t xml:space="preserve"> under clause </w:t>
      </w:r>
      <w:r>
        <w:rPr>
          <w:szCs w:val="18"/>
        </w:rPr>
        <w:fldChar w:fldCharType="begin"/>
      </w:r>
      <w:r>
        <w:rPr>
          <w:szCs w:val="18"/>
        </w:rPr>
        <w:instrText xml:space="preserve"> REF _Ref103534096 \w \h </w:instrText>
      </w:r>
      <w:r>
        <w:rPr>
          <w:szCs w:val="18"/>
        </w:rPr>
      </w:r>
      <w:r>
        <w:rPr>
          <w:szCs w:val="18"/>
        </w:rPr>
        <w:fldChar w:fldCharType="separate"/>
      </w:r>
      <w:r w:rsidR="002E5C6A">
        <w:rPr>
          <w:szCs w:val="18"/>
        </w:rPr>
        <w:t>7.4(c)</w:t>
      </w:r>
      <w:r>
        <w:rPr>
          <w:szCs w:val="18"/>
        </w:rPr>
        <w:fldChar w:fldCharType="end"/>
      </w:r>
      <w:r>
        <w:rPr>
          <w:szCs w:val="18"/>
        </w:rPr>
        <w:t xml:space="preserve"> </w:t>
      </w:r>
      <w:r w:rsidRPr="2C388DF0">
        <w:t xml:space="preserve">and </w:t>
      </w:r>
      <w:r>
        <w:t>the Commonwealth</w:t>
      </w:r>
      <w:r w:rsidRPr="2C388DF0">
        <w:t xml:space="preserve"> has not yet approved or rejected the Draft COD Cure Plan under clause</w:t>
      </w:r>
      <w:r w:rsidR="00314F33">
        <w:t> </w:t>
      </w:r>
      <w:r>
        <w:rPr>
          <w:szCs w:val="18"/>
        </w:rPr>
        <w:fldChar w:fldCharType="begin"/>
      </w:r>
      <w:r>
        <w:rPr>
          <w:szCs w:val="18"/>
        </w:rPr>
        <w:instrText xml:space="preserve"> REF _Ref114217838 \w \h </w:instrText>
      </w:r>
      <w:r>
        <w:rPr>
          <w:szCs w:val="18"/>
        </w:rPr>
      </w:r>
      <w:r>
        <w:rPr>
          <w:szCs w:val="18"/>
        </w:rPr>
        <w:fldChar w:fldCharType="separate"/>
      </w:r>
      <w:r w:rsidR="002E5C6A">
        <w:rPr>
          <w:szCs w:val="18"/>
        </w:rPr>
        <w:t>7.4(d)</w:t>
      </w:r>
      <w:r>
        <w:rPr>
          <w:szCs w:val="18"/>
        </w:rPr>
        <w:fldChar w:fldCharType="end"/>
      </w:r>
      <w:r w:rsidRPr="00A705E8">
        <w:rPr>
          <w:szCs w:val="18"/>
        </w:rPr>
        <w:t>.</w:t>
      </w:r>
      <w:bookmarkEnd w:id="2411"/>
    </w:p>
    <w:p w14:paraId="2B11025C" w14:textId="09EE3286" w:rsidR="00BE407B" w:rsidRPr="0009725A" w:rsidRDefault="00BE407B" w:rsidP="00BE407B">
      <w:pPr>
        <w:pStyle w:val="Heading3"/>
        <w:rPr>
          <w:szCs w:val="18"/>
        </w:rPr>
      </w:pPr>
      <w:r w:rsidRPr="00961F64">
        <w:t xml:space="preserve">If Project Operator provides a </w:t>
      </w:r>
      <w:r>
        <w:t>document purporting to be a cure plan</w:t>
      </w:r>
      <w:r w:rsidRPr="00961F64">
        <w:t xml:space="preserve"> without having been formally requested</w:t>
      </w:r>
      <w:r>
        <w:t xml:space="preserve"> to do so</w:t>
      </w:r>
      <w:r w:rsidRPr="00961F64">
        <w:t xml:space="preserve"> by the Commonwealth, this will not constitute a Draft COD Cure Plan under clause</w:t>
      </w:r>
      <w:r>
        <w:t> </w:t>
      </w:r>
      <w:r w:rsidR="00E635E2">
        <w:fldChar w:fldCharType="begin"/>
      </w:r>
      <w:r w:rsidR="00E635E2">
        <w:instrText xml:space="preserve"> REF _Ref100062312 \w \h </w:instrText>
      </w:r>
      <w:r w:rsidR="00E635E2">
        <w:fldChar w:fldCharType="separate"/>
      </w:r>
      <w:r w:rsidR="002E5C6A">
        <w:t>7.4</w:t>
      </w:r>
      <w:r w:rsidR="00E635E2">
        <w:fldChar w:fldCharType="end"/>
      </w:r>
      <w:r w:rsidR="00E635E2">
        <w:t xml:space="preserve"> or</w:t>
      </w:r>
      <w:r w:rsidR="00C95A3C">
        <w:t xml:space="preserve"> this clause</w:t>
      </w:r>
      <w:r w:rsidR="00E635E2">
        <w:t xml:space="preserve"> </w:t>
      </w:r>
      <w:r w:rsidR="00E635E2">
        <w:fldChar w:fldCharType="begin"/>
      </w:r>
      <w:r w:rsidR="00E635E2">
        <w:instrText xml:space="preserve"> REF _Ref172540834 \w \h </w:instrText>
      </w:r>
      <w:r w:rsidR="00E635E2">
        <w:fldChar w:fldCharType="separate"/>
      </w:r>
      <w:r w:rsidR="002E5C6A">
        <w:t>7.5</w:t>
      </w:r>
      <w:r w:rsidR="00E635E2">
        <w:fldChar w:fldCharType="end"/>
      </w:r>
      <w:r>
        <w:t xml:space="preserve">, </w:t>
      </w:r>
      <w:r w:rsidRPr="00961F64">
        <w:t xml:space="preserve">and will not detract from </w:t>
      </w:r>
      <w:r>
        <w:t xml:space="preserve">or otherwise affect or limit </w:t>
      </w:r>
      <w:r w:rsidRPr="00961F64">
        <w:t xml:space="preserve">the Commonwealth’s rights of termination under </w:t>
      </w:r>
      <w:r>
        <w:t xml:space="preserve">this </w:t>
      </w:r>
      <w:r w:rsidRPr="00961F64">
        <w:t>clause</w:t>
      </w:r>
      <w:r>
        <w:t> </w:t>
      </w:r>
      <w:r w:rsidR="004B3A57">
        <w:fldChar w:fldCharType="begin"/>
      </w:r>
      <w:r w:rsidR="004B3A57">
        <w:instrText xml:space="preserve"> REF _Ref172540834 \r \h </w:instrText>
      </w:r>
      <w:r w:rsidR="004B3A57">
        <w:fldChar w:fldCharType="separate"/>
      </w:r>
      <w:r w:rsidR="002E5C6A">
        <w:t>7.5</w:t>
      </w:r>
      <w:r w:rsidR="004B3A57">
        <w:fldChar w:fldCharType="end"/>
      </w:r>
      <w:r w:rsidRPr="00961F64">
        <w:t>.</w:t>
      </w:r>
    </w:p>
    <w:p w14:paraId="4122695E" w14:textId="77777777" w:rsidR="00BE407B" w:rsidRPr="000C6982" w:rsidRDefault="00BE407B" w:rsidP="0076796C">
      <w:pPr>
        <w:pStyle w:val="Heading3"/>
        <w:numPr>
          <w:ilvl w:val="0"/>
          <w:numId w:val="0"/>
        </w:numPr>
        <w:ind w:left="1474"/>
      </w:pPr>
    </w:p>
    <w:p w14:paraId="721CCE8E" w14:textId="77777777" w:rsidR="00D82481" w:rsidRDefault="00ED79ED" w:rsidP="0058045D">
      <w:pPr>
        <w:pStyle w:val="Heading1"/>
      </w:pPr>
      <w:bookmarkStart w:id="2412" w:name="_Toc171584243"/>
      <w:bookmarkStart w:id="2413" w:name="_Toc171584244"/>
      <w:bookmarkStart w:id="2414" w:name="_Toc171584245"/>
      <w:bookmarkStart w:id="2415" w:name="_Toc171584246"/>
      <w:bookmarkStart w:id="2416" w:name="_Toc171584247"/>
      <w:bookmarkStart w:id="2417" w:name="_Toc171584248"/>
      <w:bookmarkStart w:id="2418" w:name="_Toc171584249"/>
      <w:bookmarkStart w:id="2419" w:name="_Toc171584250"/>
      <w:bookmarkStart w:id="2420" w:name="_Toc171584251"/>
      <w:bookmarkStart w:id="2421" w:name="_Toc170215479"/>
      <w:bookmarkStart w:id="2422" w:name="_Toc170217441"/>
      <w:bookmarkStart w:id="2423" w:name="_Toc170215480"/>
      <w:bookmarkStart w:id="2424" w:name="_Toc170217442"/>
      <w:bookmarkStart w:id="2425" w:name="_Toc170215481"/>
      <w:bookmarkStart w:id="2426" w:name="_Toc170217443"/>
      <w:bookmarkStart w:id="2427" w:name="_Toc170215482"/>
      <w:bookmarkStart w:id="2428" w:name="_Toc170217444"/>
      <w:bookmarkStart w:id="2429" w:name="_Toc170215483"/>
      <w:bookmarkStart w:id="2430" w:name="_Toc170217445"/>
      <w:bookmarkStart w:id="2431" w:name="_Toc159511729"/>
      <w:bookmarkStart w:id="2432" w:name="_Toc159511730"/>
      <w:bookmarkStart w:id="2433" w:name="_Toc94781255"/>
      <w:bookmarkStart w:id="2434" w:name="_Toc94782165"/>
      <w:bookmarkStart w:id="2435" w:name="_Toc94782487"/>
      <w:bookmarkStart w:id="2436" w:name="_Toc94798220"/>
      <w:bookmarkStart w:id="2437" w:name="_Toc94872146"/>
      <w:bookmarkStart w:id="2438" w:name="_Toc94885377"/>
      <w:bookmarkStart w:id="2439" w:name="_Toc94885812"/>
      <w:bookmarkStart w:id="2440" w:name="_Toc94886253"/>
      <w:bookmarkStart w:id="2441" w:name="_Toc99723379"/>
      <w:bookmarkStart w:id="2442" w:name="_Toc94781256"/>
      <w:bookmarkStart w:id="2443" w:name="_Toc94782166"/>
      <w:bookmarkStart w:id="2444" w:name="_Toc94782488"/>
      <w:bookmarkStart w:id="2445" w:name="_Toc94798221"/>
      <w:bookmarkStart w:id="2446" w:name="_Toc94872147"/>
      <w:bookmarkStart w:id="2447" w:name="_Toc94885378"/>
      <w:bookmarkStart w:id="2448" w:name="_Toc94885813"/>
      <w:bookmarkStart w:id="2449" w:name="_Toc94886254"/>
      <w:bookmarkStart w:id="2450" w:name="_Toc99723380"/>
      <w:bookmarkStart w:id="2451" w:name="_Toc94781257"/>
      <w:bookmarkStart w:id="2452" w:name="_Toc94782167"/>
      <w:bookmarkStart w:id="2453" w:name="_Toc94782489"/>
      <w:bookmarkStart w:id="2454" w:name="_Toc94798222"/>
      <w:bookmarkStart w:id="2455" w:name="_Toc94872148"/>
      <w:bookmarkStart w:id="2456" w:name="_Toc94885379"/>
      <w:bookmarkStart w:id="2457" w:name="_Toc94885814"/>
      <w:bookmarkStart w:id="2458" w:name="_Toc94886255"/>
      <w:bookmarkStart w:id="2459" w:name="_Toc99723381"/>
      <w:bookmarkStart w:id="2460" w:name="_Toc94781258"/>
      <w:bookmarkStart w:id="2461" w:name="_Toc94782168"/>
      <w:bookmarkStart w:id="2462" w:name="_Toc94782490"/>
      <w:bookmarkStart w:id="2463" w:name="_Toc94798223"/>
      <w:bookmarkStart w:id="2464" w:name="_Toc94872149"/>
      <w:bookmarkStart w:id="2465" w:name="_Toc94885380"/>
      <w:bookmarkStart w:id="2466" w:name="_Toc94885815"/>
      <w:bookmarkStart w:id="2467" w:name="_Toc94886256"/>
      <w:bookmarkStart w:id="2468" w:name="_Toc99723382"/>
      <w:bookmarkStart w:id="2469" w:name="_Toc94781259"/>
      <w:bookmarkStart w:id="2470" w:name="_Toc94782169"/>
      <w:bookmarkStart w:id="2471" w:name="_Toc94782491"/>
      <w:bookmarkStart w:id="2472" w:name="_Toc94798224"/>
      <w:bookmarkStart w:id="2473" w:name="_Toc94872150"/>
      <w:bookmarkStart w:id="2474" w:name="_Toc94885381"/>
      <w:bookmarkStart w:id="2475" w:name="_Toc94885816"/>
      <w:bookmarkStart w:id="2476" w:name="_Toc94886257"/>
      <w:bookmarkStart w:id="2477" w:name="_Toc99723383"/>
      <w:bookmarkStart w:id="2478" w:name="_Toc94781260"/>
      <w:bookmarkStart w:id="2479" w:name="_Toc94782170"/>
      <w:bookmarkStart w:id="2480" w:name="_Toc94782492"/>
      <w:bookmarkStart w:id="2481" w:name="_Toc94798225"/>
      <w:bookmarkStart w:id="2482" w:name="_Toc94872151"/>
      <w:bookmarkStart w:id="2483" w:name="_Toc94885382"/>
      <w:bookmarkStart w:id="2484" w:name="_Toc94885817"/>
      <w:bookmarkStart w:id="2485" w:name="_Toc94886258"/>
      <w:bookmarkStart w:id="2486" w:name="_Toc99723384"/>
      <w:bookmarkStart w:id="2487" w:name="_Ref101354158"/>
      <w:bookmarkStart w:id="2488" w:name="_9kR3WTrAG8459k9tGp9MLhax0x095Byz331yCOG"/>
      <w:bookmarkStart w:id="2489" w:name="_Toc207309588"/>
      <w:bookmarkStart w:id="2490" w:name="_Ref467049327"/>
      <w:bookmarkStart w:id="2491" w:name="_Toc492504761"/>
      <w:bookmarkStart w:id="2492" w:name="_Toc515358902"/>
      <w:bookmarkStart w:id="2493" w:name="_Toc515470219"/>
      <w:bookmarkStart w:id="2494" w:name="_Ref82615744"/>
      <w:bookmarkEnd w:id="2394"/>
      <w:bookmarkEnd w:id="2395"/>
      <w:bookmarkEnd w:id="2396"/>
      <w:bookmarkEnd w:id="2408"/>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r w:rsidRPr="00B62E69">
        <w:t>Operation and maintenance</w:t>
      </w:r>
      <w:bookmarkEnd w:id="2487"/>
      <w:bookmarkEnd w:id="2488"/>
      <w:bookmarkEnd w:id="2489"/>
    </w:p>
    <w:p w14:paraId="562D2102" w14:textId="77777777" w:rsidR="00B1487C" w:rsidRDefault="2C388DF0" w:rsidP="0058045D">
      <w:pPr>
        <w:pStyle w:val="Heading2"/>
      </w:pPr>
      <w:bookmarkStart w:id="2495" w:name="_Toc94885384"/>
      <w:bookmarkStart w:id="2496" w:name="_Toc94885819"/>
      <w:bookmarkStart w:id="2497" w:name="_Toc94886260"/>
      <w:bookmarkStart w:id="2498" w:name="_Toc99723386"/>
      <w:bookmarkStart w:id="2499" w:name="_Toc94885385"/>
      <w:bookmarkStart w:id="2500" w:name="_Toc94885820"/>
      <w:bookmarkStart w:id="2501" w:name="_Toc94886261"/>
      <w:bookmarkStart w:id="2502" w:name="_Toc99723387"/>
      <w:bookmarkStart w:id="2503" w:name="_Toc94781263"/>
      <w:bookmarkStart w:id="2504" w:name="_Toc94782173"/>
      <w:bookmarkStart w:id="2505" w:name="_Toc94782495"/>
      <w:bookmarkStart w:id="2506" w:name="_Toc94798228"/>
      <w:bookmarkStart w:id="2507" w:name="_Toc94872154"/>
      <w:bookmarkStart w:id="2508" w:name="_Toc94885386"/>
      <w:bookmarkStart w:id="2509" w:name="_Toc94885821"/>
      <w:bookmarkStart w:id="2510" w:name="_Toc94886262"/>
      <w:bookmarkStart w:id="2511" w:name="_Toc99723388"/>
      <w:bookmarkStart w:id="2512" w:name="_Toc94781264"/>
      <w:bookmarkStart w:id="2513" w:name="_Toc94782174"/>
      <w:bookmarkStart w:id="2514" w:name="_Toc94782496"/>
      <w:bookmarkStart w:id="2515" w:name="_Toc94798229"/>
      <w:bookmarkStart w:id="2516" w:name="_Toc94872155"/>
      <w:bookmarkStart w:id="2517" w:name="_Toc94885387"/>
      <w:bookmarkStart w:id="2518" w:name="_Toc94885822"/>
      <w:bookmarkStart w:id="2519" w:name="_Toc94886263"/>
      <w:bookmarkStart w:id="2520" w:name="_Toc99723389"/>
      <w:bookmarkStart w:id="2521" w:name="_Ref467085430"/>
      <w:bookmarkStart w:id="2522" w:name="_Toc492504764"/>
      <w:bookmarkStart w:id="2523" w:name="_Toc515358905"/>
      <w:bookmarkStart w:id="2524" w:name="_Toc515470222"/>
      <w:bookmarkStart w:id="2525" w:name="_Ref86349194"/>
      <w:bookmarkStart w:id="2526" w:name="_Toc2073095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r>
        <w:t>Performance of obligations</w:t>
      </w:r>
      <w:bookmarkEnd w:id="2521"/>
      <w:bookmarkEnd w:id="2522"/>
      <w:bookmarkEnd w:id="2523"/>
      <w:bookmarkEnd w:id="2524"/>
      <w:bookmarkEnd w:id="2525"/>
      <w:bookmarkEnd w:id="2526"/>
    </w:p>
    <w:p w14:paraId="1C583AA5" w14:textId="2EB110A2" w:rsidR="0013175B" w:rsidRPr="0013175B" w:rsidRDefault="0013175B" w:rsidP="00DB5156">
      <w:pPr>
        <w:pStyle w:val="Indent2"/>
        <w:keepNext/>
      </w:pPr>
      <w:r>
        <w:t>[</w:t>
      </w:r>
      <w:r w:rsidRPr="004D3942">
        <w:rPr>
          <w:b/>
          <w:bCs/>
          <w:i/>
          <w:iCs/>
          <w:highlight w:val="lightGray"/>
        </w:rPr>
        <w:t xml:space="preserve">Note: bracketed wording </w:t>
      </w:r>
      <w:r w:rsidR="00EB056D">
        <w:rPr>
          <w:b/>
          <w:bCs/>
          <w:i/>
          <w:iCs/>
          <w:highlight w:val="lightGray"/>
        </w:rPr>
        <w:t xml:space="preserve">in paragraphs (a) and (b) </w:t>
      </w:r>
      <w:r w:rsidR="0029197E" w:rsidRPr="004D3942">
        <w:rPr>
          <w:b/>
          <w:bCs/>
          <w:i/>
          <w:iCs/>
          <w:highlight w:val="lightGray"/>
        </w:rPr>
        <w:t>is to</w:t>
      </w:r>
      <w:r w:rsidRPr="004D3942">
        <w:rPr>
          <w:b/>
          <w:bCs/>
          <w:i/>
          <w:iCs/>
          <w:highlight w:val="lightGray"/>
        </w:rPr>
        <w:t xml:space="preserve"> be included for </w:t>
      </w:r>
      <w:r w:rsidR="00172D01" w:rsidRPr="004D3942">
        <w:rPr>
          <w:b/>
          <w:bCs/>
          <w:i/>
          <w:iCs/>
          <w:highlight w:val="lightGray"/>
        </w:rPr>
        <w:t xml:space="preserve">all </w:t>
      </w:r>
      <w:r w:rsidRPr="004D3942">
        <w:rPr>
          <w:b/>
          <w:bCs/>
          <w:i/>
          <w:iCs/>
          <w:highlight w:val="lightGray"/>
        </w:rPr>
        <w:t>Hybrid Projects</w:t>
      </w:r>
      <w:r w:rsidR="00342CE0">
        <w:rPr>
          <w:b/>
          <w:bCs/>
          <w:i/>
          <w:iCs/>
          <w:highlight w:val="lightGray"/>
        </w:rPr>
        <w:t xml:space="preserve"> and Staged Projects (as applicable)</w:t>
      </w:r>
      <w:r w:rsidRPr="004D3942">
        <w:rPr>
          <w:b/>
          <w:bCs/>
          <w:i/>
          <w:iCs/>
          <w:highlight w:val="lightGray"/>
        </w:rPr>
        <w:t>.</w:t>
      </w:r>
      <w:r w:rsidR="00172D01" w:rsidRPr="00172D01">
        <w:t>]</w:t>
      </w:r>
    </w:p>
    <w:p w14:paraId="7FCE9B83" w14:textId="2ACB3D3D" w:rsidR="00605CF5" w:rsidRPr="00605CF5" w:rsidRDefault="2C388DF0" w:rsidP="00DB5156">
      <w:pPr>
        <w:pStyle w:val="Heading3"/>
        <w:keepNext/>
      </w:pPr>
      <w:bookmarkStart w:id="2527" w:name="_Ref155965589"/>
      <w:bookmarkStart w:id="2528" w:name="_Hlk108002659"/>
      <w:r>
        <w:t>During the Term, Project Operator must operate and maintain the Project [and</w:t>
      </w:r>
      <w:r w:rsidR="000F7F04">
        <w:t>, if</w:t>
      </w:r>
      <w:r>
        <w:t xml:space="preserve"> the </w:t>
      </w:r>
      <w:r w:rsidR="000F7F04">
        <w:t xml:space="preserve">Associated Project Commencement Date has been reached, operate and maintain the </w:t>
      </w:r>
      <w:r>
        <w:t>Associated</w:t>
      </w:r>
      <w:r w:rsidR="00A2541F">
        <w:t xml:space="preserve"> Project</w:t>
      </w:r>
      <w:r w:rsidR="000F7F04">
        <w:t>]</w:t>
      </w:r>
      <w:r w:rsidR="003D282D">
        <w:t xml:space="preserve"> </w:t>
      </w:r>
      <w:r w:rsidR="000F7F04">
        <w:t xml:space="preserve">[and the </w:t>
      </w:r>
      <w:r w:rsidR="00DE3458">
        <w:t>Existing</w:t>
      </w:r>
      <w:r>
        <w:t xml:space="preserve"> Project] in accordance with, and otherwise comply with:</w:t>
      </w:r>
      <w:bookmarkEnd w:id="2527"/>
    </w:p>
    <w:p w14:paraId="3430ED0C" w14:textId="77777777" w:rsidR="00605CF5" w:rsidRPr="00605CF5" w:rsidRDefault="2C388DF0" w:rsidP="0058045D">
      <w:pPr>
        <w:pStyle w:val="Heading4"/>
      </w:pPr>
      <w:r>
        <w:t>all applicable Laws, including laws relating to critical infrastructure, foreign investment, the environment and work health and safety; and</w:t>
      </w:r>
    </w:p>
    <w:p w14:paraId="5402B3F5" w14:textId="77777777" w:rsidR="00605CF5" w:rsidRPr="00F06646" w:rsidRDefault="2C388DF0" w:rsidP="0058045D">
      <w:pPr>
        <w:pStyle w:val="Heading4"/>
      </w:pPr>
      <w:r w:rsidRPr="00F06646">
        <w:t>all applicable Authorisations.</w:t>
      </w:r>
    </w:p>
    <w:p w14:paraId="06BEAC9A" w14:textId="51F91085" w:rsidR="00B95281" w:rsidRPr="00F06646" w:rsidRDefault="2C388DF0" w:rsidP="0058045D">
      <w:pPr>
        <w:pStyle w:val="Heading3"/>
      </w:pPr>
      <w:bookmarkStart w:id="2529" w:name="_Ref155965592"/>
      <w:bookmarkEnd w:id="2528"/>
      <w:r w:rsidRPr="00F06646">
        <w:t xml:space="preserve">During </w:t>
      </w:r>
      <w:r w:rsidR="00474C4A" w:rsidRPr="00F06646">
        <w:t xml:space="preserve">the Support </w:t>
      </w:r>
      <w:r w:rsidR="00B71E3F">
        <w:t xml:space="preserve">Receipt </w:t>
      </w:r>
      <w:r w:rsidR="00474C4A" w:rsidRPr="00F06646">
        <w:t>Period</w:t>
      </w:r>
      <w:r w:rsidRPr="00F06646">
        <w:t xml:space="preserve">, Project Operator must </w:t>
      </w:r>
      <w:bookmarkStart w:id="2530" w:name="_Ref103348234"/>
      <w:r w:rsidRPr="00F06646">
        <w:t>operate and maintain the Project [and</w:t>
      </w:r>
      <w:r w:rsidR="000F7F04">
        <w:t>, if the Associated Project Commencement Date has been reached, operate and maintain</w:t>
      </w:r>
      <w:r w:rsidRPr="00F06646">
        <w:t xml:space="preserve"> the Associated</w:t>
      </w:r>
      <w:r w:rsidR="000F7F04">
        <w:t xml:space="preserve"> Project][ and the </w:t>
      </w:r>
      <w:r w:rsidR="00DE3458">
        <w:t>Existing</w:t>
      </w:r>
      <w:r w:rsidRPr="00F06646">
        <w:t xml:space="preserve"> Project]:</w:t>
      </w:r>
      <w:bookmarkEnd w:id="2529"/>
      <w:bookmarkEnd w:id="2530"/>
      <w:r w:rsidRPr="00F06646">
        <w:t xml:space="preserve"> </w:t>
      </w:r>
    </w:p>
    <w:p w14:paraId="5BF04751" w14:textId="77777777" w:rsidR="00B95281" w:rsidRPr="00F06646" w:rsidRDefault="2C388DF0" w:rsidP="0058045D">
      <w:pPr>
        <w:pStyle w:val="Heading4"/>
      </w:pPr>
      <w:r w:rsidRPr="00F06646">
        <w:t xml:space="preserve">as a reasonable and prudent operator; and </w:t>
      </w:r>
    </w:p>
    <w:p w14:paraId="2BECD12F" w14:textId="77777777" w:rsidR="0003327A" w:rsidRDefault="2C388DF0" w:rsidP="0058045D">
      <w:pPr>
        <w:pStyle w:val="Heading4"/>
      </w:pPr>
      <w:r w:rsidRPr="00F06646">
        <w:t xml:space="preserve">in accordance with </w:t>
      </w:r>
      <w:bookmarkStart w:id="2531" w:name="_Toc515358912"/>
      <w:r w:rsidRPr="00F06646">
        <w:t>Good Industry Practice.</w:t>
      </w:r>
    </w:p>
    <w:p w14:paraId="7035CB53" w14:textId="27ED9F5E" w:rsidR="00B71E3F" w:rsidRPr="00F06646" w:rsidRDefault="00B71E3F" w:rsidP="008F660B">
      <w:pPr>
        <w:spacing w:after="120"/>
        <w:ind w:left="1474"/>
      </w:pPr>
      <w:r>
        <w:t>[</w:t>
      </w:r>
      <w:r>
        <w:rPr>
          <w:b/>
          <w:i/>
          <w:highlight w:val="lightGray"/>
        </w:rPr>
        <w:t>Note: words in square brackets below in paragraph (c) are to be included for all Staged Projects. The words ‘or a generation component of the Hybrid Project’ are to be included for all Hybrid Projects.</w:t>
      </w:r>
      <w:r>
        <w:t>]</w:t>
      </w:r>
    </w:p>
    <w:p w14:paraId="3721BAFC" w14:textId="478F0A3F" w:rsidR="00132C43" w:rsidRDefault="2C388DF0" w:rsidP="0058045D">
      <w:pPr>
        <w:pStyle w:val="Heading3"/>
      </w:pPr>
      <w:bookmarkStart w:id="2532" w:name="_Ref204069913"/>
      <w:bookmarkStart w:id="2533" w:name="_Ref156032170"/>
      <w:r w:rsidRPr="00F06646">
        <w:t xml:space="preserve">Subject to paragraph </w:t>
      </w:r>
      <w:r w:rsidR="000056EF" w:rsidRPr="00F06646">
        <w:fldChar w:fldCharType="begin"/>
      </w:r>
      <w:r w:rsidR="000056EF" w:rsidRPr="00F06646">
        <w:instrText xml:space="preserve"> REF _Ref155873986 \n \h </w:instrText>
      </w:r>
      <w:r w:rsidR="00F06646">
        <w:instrText xml:space="preserve"> \* MERGEFORMAT </w:instrText>
      </w:r>
      <w:r w:rsidR="000056EF" w:rsidRPr="00F06646">
        <w:fldChar w:fldCharType="separate"/>
      </w:r>
      <w:r w:rsidR="002E5C6A">
        <w:t>(d)</w:t>
      </w:r>
      <w:r w:rsidR="000056EF" w:rsidRPr="00F06646">
        <w:fldChar w:fldCharType="end"/>
      </w:r>
      <w:r w:rsidRPr="00F06646">
        <w:t xml:space="preserve">, </w:t>
      </w:r>
      <w:r>
        <w:t xml:space="preserve">Project Operator must use its </w:t>
      </w:r>
      <w:r w:rsidR="007E0BC6">
        <w:t xml:space="preserve">reasonable </w:t>
      </w:r>
      <w:r>
        <w:t>endeavours (including incurring reasonable costs) to:</w:t>
      </w:r>
      <w:bookmarkEnd w:id="2532"/>
      <w:r>
        <w:t xml:space="preserve"> </w:t>
      </w:r>
    </w:p>
    <w:p w14:paraId="16E16D99" w14:textId="77777777" w:rsidR="00B71E3F" w:rsidRDefault="00B71E3F" w:rsidP="008F660B">
      <w:pPr>
        <w:pStyle w:val="Heading4"/>
        <w:numPr>
          <w:ilvl w:val="3"/>
          <w:numId w:val="61"/>
        </w:numPr>
      </w:pPr>
      <w:r>
        <w:t xml:space="preserve">minimise disruption to the operation of the [Staged] Project; </w:t>
      </w:r>
    </w:p>
    <w:p w14:paraId="240F3741" w14:textId="282E9A97" w:rsidR="00E42CFB" w:rsidRDefault="00B71E3F" w:rsidP="0058045D">
      <w:pPr>
        <w:pStyle w:val="Heading4"/>
      </w:pPr>
      <w:r>
        <w:t>maintain and operate</w:t>
      </w:r>
      <w:r w:rsidR="00AF3737">
        <w:t xml:space="preserve"> the </w:t>
      </w:r>
      <w:r>
        <w:t xml:space="preserve">[Staged] </w:t>
      </w:r>
      <w:r w:rsidR="00AF3737">
        <w:t xml:space="preserve">Project </w:t>
      </w:r>
      <w:r>
        <w:t xml:space="preserve">so as to achieve a reasonable balance between each of the following objectives </w:t>
      </w:r>
      <w:r w:rsidR="00AF3737">
        <w:t xml:space="preserve">in accordance with </w:t>
      </w:r>
      <w:r w:rsidR="002660BC">
        <w:t>Good Industry Practice</w:t>
      </w:r>
      <w:r w:rsidR="2C388DF0">
        <w:t xml:space="preserve">; </w:t>
      </w:r>
    </w:p>
    <w:p w14:paraId="76C78D0E" w14:textId="1EED5F6F" w:rsidR="002660BC" w:rsidRDefault="002660BC" w:rsidP="0058045D">
      <w:pPr>
        <w:pStyle w:val="Heading4"/>
      </w:pPr>
      <w:r>
        <w:t xml:space="preserve">operate and maintain the Project so as to optimise the amount of energy and timing of energy exported at the </w:t>
      </w:r>
      <w:r w:rsidR="00B71E3F">
        <w:t xml:space="preserve">Measurement </w:t>
      </w:r>
      <w:r>
        <w:t xml:space="preserve">Point </w:t>
      </w:r>
      <w:r w:rsidR="00B71E3F">
        <w:t xml:space="preserve">for the Project </w:t>
      </w:r>
      <w:r>
        <w:t>to corre</w:t>
      </w:r>
      <w:r w:rsidR="00B46C8D">
        <w:t>spond with Peak Periods;</w:t>
      </w:r>
      <w:r w:rsidR="007E0BC6">
        <w:t xml:space="preserve"> </w:t>
      </w:r>
    </w:p>
    <w:p w14:paraId="607B471F" w14:textId="3FF9E99C" w:rsidR="00132C43" w:rsidRPr="00FB7EB2" w:rsidRDefault="00AA6C77" w:rsidP="0058045D">
      <w:pPr>
        <w:pStyle w:val="Heading4"/>
      </w:pPr>
      <w:r w:rsidRPr="00FB7EB2">
        <w:t xml:space="preserve">during the Support </w:t>
      </w:r>
      <w:r w:rsidR="00B71E3F">
        <w:t xml:space="preserve">Receipt </w:t>
      </w:r>
      <w:r w:rsidRPr="00FB7EB2">
        <w:t xml:space="preserve">Period, </w:t>
      </w:r>
      <w:r w:rsidR="2C388DF0" w:rsidRPr="00FB7EB2">
        <w:t>maximise the Net Operational Revenue</w:t>
      </w:r>
      <w:r w:rsidR="00E415EC" w:rsidRPr="00FB7EB2">
        <w:t xml:space="preserve"> for each Quarter and </w:t>
      </w:r>
      <w:r w:rsidR="00BA1485">
        <w:t xml:space="preserve">the Net Operational Revenue for </w:t>
      </w:r>
      <w:r w:rsidR="00E415EC" w:rsidRPr="00FB7EB2">
        <w:t>each Support Year</w:t>
      </w:r>
      <w:r w:rsidR="2C388DF0" w:rsidRPr="00FB7EB2">
        <w:t xml:space="preserve">; and </w:t>
      </w:r>
    </w:p>
    <w:p w14:paraId="746465F9" w14:textId="4C1007A5" w:rsidR="007B42C2" w:rsidRDefault="00AA6C77" w:rsidP="0058045D">
      <w:pPr>
        <w:pStyle w:val="Heading4"/>
      </w:pPr>
      <w:bookmarkStart w:id="2534" w:name="_Ref204069834"/>
      <w:r w:rsidRPr="00FB7EB2">
        <w:t xml:space="preserve">during the Support </w:t>
      </w:r>
      <w:r w:rsidR="00B71E3F">
        <w:t xml:space="preserve">Receipt </w:t>
      </w:r>
      <w:r w:rsidRPr="00FB7EB2">
        <w:t xml:space="preserve">Period, </w:t>
      </w:r>
      <w:r w:rsidR="2C388DF0" w:rsidRPr="00FB7EB2">
        <w:t>operate, contract, bid and dispatch the</w:t>
      </w:r>
      <w:r w:rsidR="00B71E3F">
        <w:t xml:space="preserve"> [Staged]</w:t>
      </w:r>
      <w:r w:rsidR="2C388DF0" w:rsidRPr="00FB7EB2">
        <w:t xml:space="preserve"> Project in accordance</w:t>
      </w:r>
      <w:r w:rsidR="2C388DF0">
        <w:t xml:space="preserve"> with market signals for a project of its nature as if it were a stand-alone project</w:t>
      </w:r>
      <w:r w:rsidR="00B71E3F">
        <w:t>[ or a generation component of a Hybrid Project]</w:t>
      </w:r>
      <w:r w:rsidR="2C388DF0">
        <w:t xml:space="preserve"> and not operated as part of a portfolio of assets.</w:t>
      </w:r>
      <w:bookmarkEnd w:id="2533"/>
      <w:bookmarkEnd w:id="2534"/>
      <w:r w:rsidR="00B25B83" w:rsidRPr="00FB7EB2" w:rsidDel="004773EE">
        <w:t xml:space="preserve"> </w:t>
      </w:r>
    </w:p>
    <w:p w14:paraId="014D8123" w14:textId="019AE57D" w:rsidR="00B106C2" w:rsidRDefault="00B106C2" w:rsidP="00B106C2">
      <w:pPr>
        <w:pStyle w:val="Heading3"/>
      </w:pPr>
      <w:bookmarkStart w:id="2535" w:name="_Ref204070015"/>
      <w:bookmarkStart w:id="2536" w:name="_Ref155873986"/>
      <w:r>
        <w:t xml:space="preserve">Project Operator’s obligation to use reasonable endeavours pursuant to </w:t>
      </w:r>
      <w:r w:rsidR="00B71E3F">
        <w:t>paragraph</w:t>
      </w:r>
      <w:r>
        <w:t xml:space="preserve"> </w:t>
      </w:r>
      <w:r w:rsidR="00342CE0">
        <w:fldChar w:fldCharType="begin"/>
      </w:r>
      <w:r w:rsidR="00342CE0">
        <w:instrText xml:space="preserve"> REF _Ref204069913 \n \h </w:instrText>
      </w:r>
      <w:r w:rsidR="00342CE0">
        <w:fldChar w:fldCharType="separate"/>
      </w:r>
      <w:r w:rsidR="002E5C6A">
        <w:t>(c)</w:t>
      </w:r>
      <w:r w:rsidR="00342CE0">
        <w:fldChar w:fldCharType="end"/>
      </w:r>
      <w:r>
        <w:t xml:space="preserve"> is not reduced by any contractual obligations imposed on Project Operator under:</w:t>
      </w:r>
      <w:bookmarkEnd w:id="2535"/>
    </w:p>
    <w:p w14:paraId="155FDEC7" w14:textId="03965032" w:rsidR="00B106C2" w:rsidRDefault="00B106C2" w:rsidP="00D315FD">
      <w:pPr>
        <w:pStyle w:val="Heading4"/>
      </w:pPr>
      <w:bookmarkStart w:id="2537" w:name="_Ref204070031"/>
      <w:r>
        <w:t xml:space="preserve">any </w:t>
      </w:r>
      <w:r w:rsidR="00342CE0">
        <w:t>Bilateral</w:t>
      </w:r>
      <w:r>
        <w:t xml:space="preserve"> Contract that is not an Eligible </w:t>
      </w:r>
      <w:r w:rsidR="00342CE0">
        <w:t>Bilateral</w:t>
      </w:r>
      <w:r>
        <w:t xml:space="preserve"> Contract</w:t>
      </w:r>
      <w:r w:rsidR="00F311FC">
        <w:t>[</w:t>
      </w:r>
      <w:r>
        <w:t>; or</w:t>
      </w:r>
      <w:bookmarkEnd w:id="2537"/>
    </w:p>
    <w:p w14:paraId="19F24194" w14:textId="3486BE3F" w:rsidR="00B106C2" w:rsidRDefault="00B106C2" w:rsidP="00D315FD">
      <w:pPr>
        <w:pStyle w:val="Heading4"/>
      </w:pPr>
      <w:r>
        <w:t>any contract entered into solely in respect of the Existing Project.</w:t>
      </w:r>
      <w:r w:rsidR="00F311FC">
        <w:t>]</w:t>
      </w:r>
    </w:p>
    <w:p w14:paraId="7DCA7C1A" w14:textId="35149FBC" w:rsidR="00B106C2" w:rsidRPr="00D315FD" w:rsidRDefault="00B106C2" w:rsidP="00D315FD">
      <w:pPr>
        <w:pStyle w:val="Heading3"/>
        <w:numPr>
          <w:ilvl w:val="0"/>
          <w:numId w:val="0"/>
        </w:numPr>
        <w:ind w:left="1474"/>
        <w:rPr>
          <w:b/>
          <w:bCs/>
          <w:i/>
          <w:iCs/>
          <w:highlight w:val="lightGray"/>
        </w:rPr>
      </w:pPr>
      <w:r>
        <w:t>[</w:t>
      </w:r>
      <w:r w:rsidRPr="00D315FD">
        <w:rPr>
          <w:b/>
          <w:bCs/>
          <w:i/>
          <w:iCs/>
          <w:highlight w:val="lightGray"/>
        </w:rPr>
        <w:t xml:space="preserve">Note: paragraph </w:t>
      </w:r>
      <w:r w:rsidR="00342CE0">
        <w:rPr>
          <w:b/>
          <w:bCs/>
          <w:i/>
          <w:iCs/>
          <w:highlight w:val="lightGray"/>
        </w:rPr>
        <w:fldChar w:fldCharType="begin"/>
      </w:r>
      <w:r w:rsidR="00342CE0">
        <w:rPr>
          <w:b/>
          <w:bCs/>
          <w:i/>
          <w:iCs/>
          <w:highlight w:val="lightGray"/>
        </w:rPr>
        <w:instrText xml:space="preserve"> REF _Ref204070015 \n \h </w:instrText>
      </w:r>
      <w:r w:rsidR="00342CE0">
        <w:rPr>
          <w:b/>
          <w:bCs/>
          <w:i/>
          <w:iCs/>
          <w:highlight w:val="lightGray"/>
        </w:rPr>
      </w:r>
      <w:r w:rsidR="00342CE0">
        <w:rPr>
          <w:b/>
          <w:bCs/>
          <w:i/>
          <w:iCs/>
          <w:highlight w:val="lightGray"/>
        </w:rPr>
        <w:fldChar w:fldCharType="separate"/>
      </w:r>
      <w:r w:rsidR="002E5C6A">
        <w:rPr>
          <w:b/>
          <w:bCs/>
          <w:i/>
          <w:iCs/>
          <w:highlight w:val="lightGray"/>
        </w:rPr>
        <w:t>(d)</w:t>
      </w:r>
      <w:r w:rsidR="00342CE0">
        <w:rPr>
          <w:b/>
          <w:bCs/>
          <w:i/>
          <w:iCs/>
          <w:highlight w:val="lightGray"/>
        </w:rPr>
        <w:fldChar w:fldCharType="end"/>
      </w:r>
      <w:r w:rsidR="00B71E3F">
        <w:rPr>
          <w:b/>
          <w:bCs/>
          <w:i/>
          <w:iCs/>
          <w:highlight w:val="lightGray"/>
        </w:rPr>
        <w:t xml:space="preserve"> above</w:t>
      </w:r>
      <w:r w:rsidRPr="00D315FD">
        <w:rPr>
          <w:b/>
          <w:bCs/>
          <w:i/>
          <w:iCs/>
          <w:highlight w:val="lightGray"/>
        </w:rPr>
        <w:t xml:space="preserve"> in its entirety is to be included for Staged Projects</w:t>
      </w:r>
      <w:r w:rsidR="00B71E3F">
        <w:rPr>
          <w:b/>
          <w:bCs/>
          <w:i/>
          <w:iCs/>
          <w:highlight w:val="lightGray"/>
        </w:rPr>
        <w:t xml:space="preserve"> only</w:t>
      </w:r>
      <w:r w:rsidRPr="00D315FD">
        <w:rPr>
          <w:b/>
          <w:bCs/>
          <w:i/>
          <w:iCs/>
          <w:highlight w:val="lightGray"/>
        </w:rPr>
        <w:t xml:space="preserve">. Paragraph </w:t>
      </w:r>
      <w:r w:rsidR="00342CE0">
        <w:rPr>
          <w:b/>
          <w:bCs/>
          <w:i/>
          <w:iCs/>
          <w:highlight w:val="lightGray"/>
        </w:rPr>
        <w:fldChar w:fldCharType="begin"/>
      </w:r>
      <w:r w:rsidR="00342CE0">
        <w:rPr>
          <w:b/>
          <w:bCs/>
          <w:i/>
          <w:iCs/>
          <w:highlight w:val="lightGray"/>
        </w:rPr>
        <w:instrText xml:space="preserve"> REF _Ref204070031 \w \h </w:instrText>
      </w:r>
      <w:r w:rsidR="00342CE0">
        <w:rPr>
          <w:b/>
          <w:bCs/>
          <w:i/>
          <w:iCs/>
          <w:highlight w:val="lightGray"/>
        </w:rPr>
      </w:r>
      <w:r w:rsidR="00342CE0">
        <w:rPr>
          <w:b/>
          <w:bCs/>
          <w:i/>
          <w:iCs/>
          <w:highlight w:val="lightGray"/>
        </w:rPr>
        <w:fldChar w:fldCharType="separate"/>
      </w:r>
      <w:r w:rsidR="002E5C6A">
        <w:rPr>
          <w:b/>
          <w:bCs/>
          <w:i/>
          <w:iCs/>
          <w:highlight w:val="lightGray"/>
        </w:rPr>
        <w:t>8.1(d)(i)</w:t>
      </w:r>
      <w:r w:rsidR="00342CE0">
        <w:rPr>
          <w:b/>
          <w:bCs/>
          <w:i/>
          <w:iCs/>
          <w:highlight w:val="lightGray"/>
        </w:rPr>
        <w:fldChar w:fldCharType="end"/>
      </w:r>
      <w:r w:rsidRPr="00D315FD">
        <w:rPr>
          <w:b/>
          <w:bCs/>
          <w:i/>
          <w:iCs/>
          <w:highlight w:val="lightGray"/>
        </w:rPr>
        <w:t xml:space="preserve"> is to be included for standalone Projects only.]</w:t>
      </w:r>
    </w:p>
    <w:p w14:paraId="5C07F5E1" w14:textId="5D04F8A4" w:rsidR="00B106C2" w:rsidRDefault="00B106C2" w:rsidP="00D315FD">
      <w:pPr>
        <w:pStyle w:val="Heading3"/>
        <w:numPr>
          <w:ilvl w:val="0"/>
          <w:numId w:val="0"/>
        </w:numPr>
        <w:ind w:left="1474"/>
      </w:pPr>
      <w:r w:rsidRPr="00D315FD">
        <w:rPr>
          <w:b/>
          <w:bCs/>
          <w:i/>
          <w:iCs/>
          <w:highlight w:val="lightGray"/>
        </w:rPr>
        <w:t xml:space="preserve">[Note: bracketed wording in paragraphs </w:t>
      </w:r>
      <w:r w:rsidR="00342CE0">
        <w:rPr>
          <w:b/>
          <w:bCs/>
          <w:i/>
          <w:iCs/>
          <w:highlight w:val="lightGray"/>
        </w:rPr>
        <w:fldChar w:fldCharType="begin"/>
      </w:r>
      <w:r w:rsidR="00342CE0">
        <w:rPr>
          <w:b/>
          <w:bCs/>
          <w:i/>
          <w:iCs/>
          <w:highlight w:val="lightGray"/>
        </w:rPr>
        <w:instrText xml:space="preserve"> REF _Ref204070048 \n \h </w:instrText>
      </w:r>
      <w:r w:rsidR="00342CE0">
        <w:rPr>
          <w:b/>
          <w:bCs/>
          <w:i/>
          <w:iCs/>
          <w:highlight w:val="lightGray"/>
        </w:rPr>
      </w:r>
      <w:r w:rsidR="00342CE0">
        <w:rPr>
          <w:b/>
          <w:bCs/>
          <w:i/>
          <w:iCs/>
          <w:highlight w:val="lightGray"/>
        </w:rPr>
        <w:fldChar w:fldCharType="separate"/>
      </w:r>
      <w:r w:rsidR="002E5C6A">
        <w:rPr>
          <w:b/>
          <w:bCs/>
          <w:i/>
          <w:iCs/>
          <w:highlight w:val="lightGray"/>
        </w:rPr>
        <w:t>(e)</w:t>
      </w:r>
      <w:r w:rsidR="00342CE0">
        <w:rPr>
          <w:b/>
          <w:bCs/>
          <w:i/>
          <w:iCs/>
          <w:highlight w:val="lightGray"/>
        </w:rPr>
        <w:fldChar w:fldCharType="end"/>
      </w:r>
      <w:r w:rsidRPr="00D315FD">
        <w:rPr>
          <w:b/>
          <w:bCs/>
          <w:i/>
          <w:iCs/>
          <w:highlight w:val="lightGray"/>
        </w:rPr>
        <w:t xml:space="preserve"> to </w:t>
      </w:r>
      <w:r w:rsidR="00342CE0">
        <w:rPr>
          <w:b/>
          <w:bCs/>
          <w:i/>
          <w:iCs/>
          <w:highlight w:val="lightGray"/>
        </w:rPr>
        <w:fldChar w:fldCharType="begin"/>
      </w:r>
      <w:r w:rsidR="00342CE0">
        <w:rPr>
          <w:b/>
          <w:bCs/>
          <w:i/>
          <w:iCs/>
          <w:highlight w:val="lightGray"/>
        </w:rPr>
        <w:instrText xml:space="preserve"> REF _Ref204070059 \n \h </w:instrText>
      </w:r>
      <w:r w:rsidR="00342CE0">
        <w:rPr>
          <w:b/>
          <w:bCs/>
          <w:i/>
          <w:iCs/>
          <w:highlight w:val="lightGray"/>
        </w:rPr>
      </w:r>
      <w:r w:rsidR="00342CE0">
        <w:rPr>
          <w:b/>
          <w:bCs/>
          <w:i/>
          <w:iCs/>
          <w:highlight w:val="lightGray"/>
        </w:rPr>
        <w:fldChar w:fldCharType="separate"/>
      </w:r>
      <w:r w:rsidR="002E5C6A">
        <w:rPr>
          <w:b/>
          <w:bCs/>
          <w:i/>
          <w:iCs/>
          <w:highlight w:val="lightGray"/>
        </w:rPr>
        <w:t>(g)</w:t>
      </w:r>
      <w:r w:rsidR="00342CE0">
        <w:rPr>
          <w:b/>
          <w:bCs/>
          <w:i/>
          <w:iCs/>
          <w:highlight w:val="lightGray"/>
        </w:rPr>
        <w:fldChar w:fldCharType="end"/>
      </w:r>
      <w:r w:rsidRPr="00D315FD">
        <w:rPr>
          <w:b/>
          <w:bCs/>
          <w:i/>
          <w:iCs/>
          <w:highlight w:val="lightGray"/>
        </w:rPr>
        <w:t xml:space="preserve"> is to be included for all Hybrid Projects and all Staged Projects (as applicable), except that paragraph </w:t>
      </w:r>
      <w:r w:rsidR="00342CE0">
        <w:rPr>
          <w:b/>
          <w:bCs/>
          <w:i/>
          <w:iCs/>
          <w:highlight w:val="lightGray"/>
        </w:rPr>
        <w:fldChar w:fldCharType="begin"/>
      </w:r>
      <w:r w:rsidR="00342CE0">
        <w:rPr>
          <w:b/>
          <w:bCs/>
          <w:i/>
          <w:iCs/>
          <w:highlight w:val="lightGray"/>
        </w:rPr>
        <w:instrText xml:space="preserve"> REF _Ref204070059 \n \h </w:instrText>
      </w:r>
      <w:r w:rsidR="00342CE0">
        <w:rPr>
          <w:b/>
          <w:bCs/>
          <w:i/>
          <w:iCs/>
          <w:highlight w:val="lightGray"/>
        </w:rPr>
      </w:r>
      <w:r w:rsidR="00342CE0">
        <w:rPr>
          <w:b/>
          <w:bCs/>
          <w:i/>
          <w:iCs/>
          <w:highlight w:val="lightGray"/>
        </w:rPr>
        <w:fldChar w:fldCharType="separate"/>
      </w:r>
      <w:r w:rsidR="002E5C6A">
        <w:rPr>
          <w:b/>
          <w:bCs/>
          <w:i/>
          <w:iCs/>
          <w:highlight w:val="lightGray"/>
        </w:rPr>
        <w:t>(g)</w:t>
      </w:r>
      <w:r w:rsidR="00342CE0">
        <w:rPr>
          <w:b/>
          <w:bCs/>
          <w:i/>
          <w:iCs/>
          <w:highlight w:val="lightGray"/>
        </w:rPr>
        <w:fldChar w:fldCharType="end"/>
      </w:r>
      <w:r w:rsidRPr="00D315FD">
        <w:rPr>
          <w:b/>
          <w:bCs/>
          <w:i/>
          <w:iCs/>
          <w:highlight w:val="lightGray"/>
        </w:rPr>
        <w:t xml:space="preserve"> will not be included for Staged Projects</w:t>
      </w:r>
      <w:r w:rsidRPr="00D315FD">
        <w:rPr>
          <w:highlight w:val="lightGray"/>
        </w:rPr>
        <w:t>.</w:t>
      </w:r>
      <w:r>
        <w:t>]</w:t>
      </w:r>
    </w:p>
    <w:p w14:paraId="4AA8E902" w14:textId="4F1BED39" w:rsidR="00B357B9" w:rsidRDefault="000A275D" w:rsidP="0058045D">
      <w:pPr>
        <w:pStyle w:val="Heading3"/>
      </w:pPr>
      <w:bookmarkStart w:id="2538" w:name="_Ref204070048"/>
      <w:r>
        <w:t>[By the commencement of the Support Period, Project Operator must</w:t>
      </w:r>
      <w:r w:rsidR="2C388DF0">
        <w:t>:</w:t>
      </w:r>
      <w:bookmarkEnd w:id="2536"/>
      <w:bookmarkEnd w:id="2538"/>
      <w:r w:rsidR="2C388DF0">
        <w:t xml:space="preserve"> </w:t>
      </w:r>
    </w:p>
    <w:p w14:paraId="51E7769C" w14:textId="0C7058D4" w:rsidR="00963500" w:rsidRDefault="2C388DF0" w:rsidP="0058045D">
      <w:pPr>
        <w:pStyle w:val="Heading4"/>
      </w:pPr>
      <w:r w:rsidRPr="00F34B6A">
        <w:t>appoint a suitably qualified independent third-party (that is approved by the Commonwealth acting reasonably)</w:t>
      </w:r>
      <w:r w:rsidR="00963500">
        <w:t>;</w:t>
      </w:r>
      <w:r w:rsidRPr="00F34B6A">
        <w:t xml:space="preserve"> </w:t>
      </w:r>
      <w:r w:rsidR="00963500">
        <w:t>and</w:t>
      </w:r>
    </w:p>
    <w:p w14:paraId="4CFFCCC4" w14:textId="7D688AA8" w:rsidR="00B357B9" w:rsidRPr="00F34B6A" w:rsidRDefault="00963500" w:rsidP="0058045D">
      <w:pPr>
        <w:pStyle w:val="Heading4"/>
      </w:pPr>
      <w:r>
        <w:t>ensure that</w:t>
      </w:r>
      <w:r w:rsidR="00B71E3F">
        <w:t xml:space="preserve"> that</w:t>
      </w:r>
      <w:r>
        <w:t xml:space="preserve"> third party has</w:t>
      </w:r>
      <w:r w:rsidR="000A275D">
        <w:t xml:space="preserve"> (by that date and</w:t>
      </w:r>
      <w:r w:rsidR="00B71E3F">
        <w:t xml:space="preserve"> </w:t>
      </w:r>
      <w:r w:rsidR="0069116B">
        <w:t>also</w:t>
      </w:r>
      <w:r w:rsidR="000A275D">
        <w:t xml:space="preserve"> annually throughout the Support Period)</w:t>
      </w:r>
      <w:r w:rsidR="2C388DF0" w:rsidRPr="00F34B6A">
        <w:t xml:space="preserve">: </w:t>
      </w:r>
    </w:p>
    <w:p w14:paraId="0C5F4948" w14:textId="15A70C72" w:rsidR="00B357B9" w:rsidRPr="00F34B6A" w:rsidRDefault="2C388DF0" w:rsidP="0058045D">
      <w:pPr>
        <w:pStyle w:val="Heading5"/>
      </w:pPr>
      <w:bookmarkStart w:id="2539" w:name="_Ref199407930"/>
      <w:r w:rsidRPr="00F34B6A">
        <w:t>review</w:t>
      </w:r>
      <w:r w:rsidR="00963500">
        <w:t>ed</w:t>
      </w:r>
      <w:r w:rsidRPr="00F34B6A">
        <w:t>, analyse</w:t>
      </w:r>
      <w:r w:rsidR="00963500">
        <w:t>d</w:t>
      </w:r>
      <w:r w:rsidRPr="00F34B6A">
        <w:t xml:space="preserve"> and assess</w:t>
      </w:r>
      <w:r w:rsidR="00963500">
        <w:t>ed</w:t>
      </w:r>
      <w:r w:rsidRPr="00F34B6A">
        <w:t xml:space="preserve"> all </w:t>
      </w:r>
      <w:r w:rsidR="00EC0487">
        <w:t>Facility S</w:t>
      </w:r>
      <w:r w:rsidRPr="00F34B6A">
        <w:t>ub-</w:t>
      </w:r>
      <w:r w:rsidR="00EC0487">
        <w:t>M</w:t>
      </w:r>
      <w:r w:rsidRPr="00F34B6A">
        <w:t xml:space="preserve">etering </w:t>
      </w:r>
      <w:r w:rsidR="00EC0487">
        <w:t xml:space="preserve">(as defined in the </w:t>
      </w:r>
      <w:r w:rsidR="004A1236">
        <w:t>ESM Rules</w:t>
      </w:r>
      <w:r w:rsidR="00EC0487">
        <w:t xml:space="preserve">) </w:t>
      </w:r>
      <w:r w:rsidRPr="00F34B6A">
        <w:t xml:space="preserve">data (including any other relevant data including the National Metering Identifier) including any relevant details of the sub-meters relating to their calibration and quality and provide calculations for the sub-metering and telemetry requirements at the relevant sub-metering points to accurately account for </w:t>
      </w:r>
      <w:r w:rsidR="00F45C32" w:rsidRPr="008E4A1B">
        <w:t xml:space="preserve">electricity imported and exported by </w:t>
      </w:r>
      <w:r w:rsidRPr="00F34B6A">
        <w:t>the Project</w:t>
      </w:r>
      <w:r w:rsidR="00B71E3F">
        <w:t xml:space="preserve"> [and</w:t>
      </w:r>
      <w:r w:rsidR="00860C64">
        <w:t>, if the Associated Project Commencement Date has been reached, the Associated Project]</w:t>
      </w:r>
      <w:r w:rsidR="00C04330">
        <w:t xml:space="preserve"> [and the </w:t>
      </w:r>
      <w:r w:rsidR="00B71E3F">
        <w:t>Existing Project]</w:t>
      </w:r>
      <w:r w:rsidRPr="00F34B6A">
        <w:t xml:space="preserve">, including </w:t>
      </w:r>
      <w:r w:rsidR="000A275D">
        <w:t>providing</w:t>
      </w:r>
      <w:r w:rsidRPr="00F34B6A">
        <w:t xml:space="preserve"> this data and calculations in a form, resolution and manner reasonably required by the Commonwealth;</w:t>
      </w:r>
      <w:bookmarkEnd w:id="2539"/>
    </w:p>
    <w:p w14:paraId="3E8B0CF9" w14:textId="32F1B03F" w:rsidR="00B357B9" w:rsidRDefault="003F4F54" w:rsidP="0058045D">
      <w:pPr>
        <w:pStyle w:val="Heading5"/>
      </w:pPr>
      <w:r>
        <w:t>confirmed</w:t>
      </w:r>
      <w:r w:rsidRPr="00F34B6A">
        <w:t xml:space="preserve"> </w:t>
      </w:r>
      <w:r w:rsidR="2C388DF0" w:rsidRPr="00F34B6A">
        <w:t>that the metering and measuring arrangement</w:t>
      </w:r>
      <w:r w:rsidR="00B71E3F">
        <w:t>s</w:t>
      </w:r>
      <w:r w:rsidR="2C388DF0" w:rsidRPr="00F34B6A">
        <w:t xml:space="preserve"> for the Project </w:t>
      </w:r>
      <w:r w:rsidR="00C04330">
        <w:t>[and, if the Associated Project Commencement Date has been reached, the Associated Project] [and the Existing Project</w:t>
      </w:r>
      <w:r w:rsidR="00B71E3F">
        <w:t xml:space="preserve">] allow </w:t>
      </w:r>
      <w:r w:rsidR="2C388DF0" w:rsidRPr="00F34B6A">
        <w:t xml:space="preserve">for the </w:t>
      </w:r>
      <w:r w:rsidR="0069116B">
        <w:t xml:space="preserve">accurate </w:t>
      </w:r>
      <w:r w:rsidR="2C388DF0" w:rsidRPr="00F34B6A">
        <w:t xml:space="preserve">measurement or calculation of energy flows and the </w:t>
      </w:r>
      <w:r w:rsidR="0069116B">
        <w:t xml:space="preserve">accurate </w:t>
      </w:r>
      <w:r w:rsidR="2C388DF0" w:rsidRPr="00F34B6A">
        <w:t xml:space="preserve">determination of the </w:t>
      </w:r>
      <w:r w:rsidR="00E9417A" w:rsidRPr="008E4A1B">
        <w:t>electricity imported and exported by</w:t>
      </w:r>
      <w:r w:rsidR="2C388DF0" w:rsidRPr="00F34B6A">
        <w:t xml:space="preserve"> the Project </w:t>
      </w:r>
      <w:r w:rsidR="00B71E3F">
        <w:t>[and the [Associated/Existing] Project]</w:t>
      </w:r>
      <w:r w:rsidR="00B71E3F" w:rsidRPr="00F34B6A">
        <w:t xml:space="preserve">, </w:t>
      </w:r>
      <w:r w:rsidR="2C388DF0" w:rsidRPr="00F34B6A">
        <w:t xml:space="preserve">for each </w:t>
      </w:r>
      <w:r w:rsidR="00B71E3F">
        <w:t>Trading</w:t>
      </w:r>
      <w:r w:rsidR="00B71E3F" w:rsidRPr="00F34B6A">
        <w:t xml:space="preserve"> </w:t>
      </w:r>
      <w:r w:rsidR="2C388DF0" w:rsidRPr="00F34B6A">
        <w:t xml:space="preserve">Interval; </w:t>
      </w:r>
      <w:r w:rsidR="000A275D">
        <w:t>and</w:t>
      </w:r>
    </w:p>
    <w:p w14:paraId="552CC3AD" w14:textId="42694577" w:rsidR="000A275D" w:rsidRPr="00F34B6A" w:rsidRDefault="000A275D" w:rsidP="0058045D">
      <w:pPr>
        <w:pStyle w:val="Heading5"/>
      </w:pPr>
      <w:r w:rsidRPr="008129EB">
        <w:t>annually, on or before the anniversary of the commencement of the Support Period, ensure that the independent third party provides to the Commonwealth a signed letter which details its findings from the metering review as contemplated in paragraph </w:t>
      </w:r>
      <w:r>
        <w:fldChar w:fldCharType="begin"/>
      </w:r>
      <w:r>
        <w:instrText xml:space="preserve"> REF _Ref199407930 \r \h </w:instrText>
      </w:r>
      <w:r>
        <w:fldChar w:fldCharType="separate"/>
      </w:r>
      <w:r w:rsidR="002E5C6A">
        <w:t>(A)</w:t>
      </w:r>
      <w:r>
        <w:fldChar w:fldCharType="end"/>
      </w:r>
      <w:r w:rsidR="00B406F8">
        <w:t>.</w:t>
      </w:r>
      <w:r w:rsidR="007E4657">
        <w:t xml:space="preserve"> </w:t>
      </w:r>
    </w:p>
    <w:p w14:paraId="777D80AC" w14:textId="2DA12A80" w:rsidR="00B357B9" w:rsidRDefault="00663F08" w:rsidP="0058045D">
      <w:pPr>
        <w:pStyle w:val="Heading4"/>
      </w:pPr>
      <w:r>
        <w:t>by that date and</w:t>
      </w:r>
      <w:r w:rsidR="0069116B">
        <w:t xml:space="preserve"> also</w:t>
      </w:r>
      <w:r>
        <w:t xml:space="preserve"> at all times throughout the Support Period, </w:t>
      </w:r>
      <w:r w:rsidR="2C388DF0">
        <w:t xml:space="preserve">ensure that the accuracy of any metering or monitoring </w:t>
      </w:r>
      <w:r w:rsidR="00B71E3F">
        <w:t xml:space="preserve">arrangements </w:t>
      </w:r>
      <w:r w:rsidR="2C388DF0">
        <w:t xml:space="preserve">for the Project </w:t>
      </w:r>
      <w:r w:rsidR="007231FB">
        <w:t>[and</w:t>
      </w:r>
      <w:r w:rsidR="000F7F04">
        <w:t>, if the Associated Project Commencement Date has been reached,</w:t>
      </w:r>
      <w:r w:rsidR="007231FB">
        <w:t xml:space="preserve"> the </w:t>
      </w:r>
      <w:r w:rsidR="00B106C2">
        <w:t>[</w:t>
      </w:r>
      <w:r w:rsidR="007231FB">
        <w:t>Associated</w:t>
      </w:r>
      <w:r w:rsidR="000F7F04">
        <w:t xml:space="preserve"> Project] [</w:t>
      </w:r>
      <w:r w:rsidR="00C04330">
        <w:t xml:space="preserve">and the </w:t>
      </w:r>
      <w:r w:rsidR="00B106C2">
        <w:t>Existing</w:t>
      </w:r>
      <w:r w:rsidR="007231FB">
        <w:t xml:space="preserve"> Project] </w:t>
      </w:r>
      <w:r w:rsidR="00B71E3F">
        <w:t xml:space="preserve">satisfy </w:t>
      </w:r>
      <w:r w:rsidR="2C388DF0">
        <w:t>the requirement</w:t>
      </w:r>
      <w:r w:rsidR="00B71E3F">
        <w:t>s</w:t>
      </w:r>
      <w:r w:rsidR="2C388DF0">
        <w:t xml:space="preserve"> of applicable Laws; and</w:t>
      </w:r>
    </w:p>
    <w:p w14:paraId="24BE4CFC" w14:textId="731A5A02" w:rsidR="00B357B9" w:rsidRDefault="00663F08" w:rsidP="0058045D">
      <w:pPr>
        <w:pStyle w:val="Heading4"/>
      </w:pPr>
      <w:bookmarkStart w:id="2540" w:name="_Ref204069810"/>
      <w:r>
        <w:t>by that date and</w:t>
      </w:r>
      <w:r w:rsidR="0069116B">
        <w:t xml:space="preserve"> also</w:t>
      </w:r>
      <w:r>
        <w:t xml:space="preserve"> at all times throughout the Support Period,</w:t>
      </w:r>
      <w:r w:rsidR="00A06EF1">
        <w:t xml:space="preserve"> </w:t>
      </w:r>
      <w:r w:rsidR="2C388DF0">
        <w:t xml:space="preserve">ensure that the metering and monitoring approach for the Project </w:t>
      </w:r>
      <w:r w:rsidR="007231FB">
        <w:t xml:space="preserve">[and the </w:t>
      </w:r>
      <w:r w:rsidR="00B106C2">
        <w:t>[</w:t>
      </w:r>
      <w:r w:rsidR="007231FB">
        <w:t>Associated</w:t>
      </w:r>
      <w:r w:rsidR="00B106C2">
        <w:t>/Existing]</w:t>
      </w:r>
      <w:r w:rsidR="007231FB">
        <w:t xml:space="preserve"> Project</w:t>
      </w:r>
      <w:r w:rsidR="00DE3458">
        <w:t xml:space="preserve"> (as applicable)</w:t>
      </w:r>
      <w:r w:rsidR="007231FB">
        <w:t xml:space="preserve">] </w:t>
      </w:r>
      <w:r w:rsidR="2C388DF0">
        <w:t xml:space="preserve">is of sufficient accuracy to meet metering accuracy requirements specified by AEMO for meters used for settlement or dispatch of the </w:t>
      </w:r>
      <w:r w:rsidR="0039210A">
        <w:t>W</w:t>
      </w:r>
      <w:r w:rsidR="2C388DF0">
        <w:t xml:space="preserve">EM and the requirements specified by the Clean Energy Regulator for meters used to substantiate </w:t>
      </w:r>
      <w:r w:rsidR="00486D4D">
        <w:t>LGCs</w:t>
      </w:r>
      <w:r w:rsidR="00B71E3F">
        <w:t xml:space="preserve"> (or any other Green Products), if relevant</w:t>
      </w:r>
      <w:bookmarkEnd w:id="2540"/>
      <w:r w:rsidR="00F311FC">
        <w:t>.</w:t>
      </w:r>
    </w:p>
    <w:p w14:paraId="339C14D2" w14:textId="73018C43" w:rsidR="00172D01" w:rsidRDefault="2C388DF0" w:rsidP="0058045D">
      <w:pPr>
        <w:pStyle w:val="Heading3"/>
      </w:pPr>
      <w:bookmarkStart w:id="2541" w:name="_Ref155965514"/>
      <w:r>
        <w:t xml:space="preserve">If the Commonwealth is not satisfied that Project Operator has complied with paragraph </w:t>
      </w:r>
      <w:r w:rsidR="00EA3D4C">
        <w:fldChar w:fldCharType="begin"/>
      </w:r>
      <w:r w:rsidR="00EA3D4C">
        <w:instrText xml:space="preserve"> REF _Ref155873986 \n \h </w:instrText>
      </w:r>
      <w:r w:rsidR="00EA3D4C">
        <w:fldChar w:fldCharType="separate"/>
      </w:r>
      <w:r w:rsidR="002E5C6A">
        <w:t>(d)</w:t>
      </w:r>
      <w:r w:rsidR="00EA3D4C">
        <w:fldChar w:fldCharType="end"/>
      </w:r>
      <w:r>
        <w:t xml:space="preserve">, then the Commonwealth may refer the matter for determination by an Independent Expert under clause </w:t>
      </w:r>
      <w:r w:rsidR="00EA3D4C">
        <w:fldChar w:fldCharType="begin"/>
      </w:r>
      <w:r w:rsidR="00EA3D4C">
        <w:instrText xml:space="preserve"> REF _Ref515106310 \w \h </w:instrText>
      </w:r>
      <w:r w:rsidR="00EA3D4C">
        <w:fldChar w:fldCharType="separate"/>
      </w:r>
      <w:r w:rsidR="002E5C6A">
        <w:t>27.6</w:t>
      </w:r>
      <w:r w:rsidR="00EA3D4C">
        <w:fldChar w:fldCharType="end"/>
      </w:r>
      <w:r>
        <w:t xml:space="preserve"> (“</w:t>
      </w:r>
      <w:r w:rsidR="00EA3D4C">
        <w:fldChar w:fldCharType="begin"/>
      </w:r>
      <w:r w:rsidR="00EA3D4C">
        <w:instrText xml:space="preserve"> REF _Ref515106310 \h </w:instrText>
      </w:r>
      <w:r w:rsidR="00EA3D4C">
        <w:fldChar w:fldCharType="separate"/>
      </w:r>
      <w:r w:rsidR="002E5C6A">
        <w:t>Independent Expert</w:t>
      </w:r>
      <w:r w:rsidR="00EA3D4C">
        <w:fldChar w:fldCharType="end"/>
      </w:r>
      <w:r>
        <w:t>”).</w:t>
      </w:r>
      <w:bookmarkEnd w:id="2541"/>
    </w:p>
    <w:p w14:paraId="05D79BC0" w14:textId="54FBE3E1" w:rsidR="00172D01" w:rsidRDefault="00DD0230" w:rsidP="0058045D">
      <w:pPr>
        <w:pStyle w:val="Heading3"/>
      </w:pPr>
      <w:bookmarkStart w:id="2542" w:name="_Ref204070059"/>
      <w:r>
        <w:t>[</w:t>
      </w:r>
      <w:r w:rsidR="00321C16">
        <w:t>If the Associated Project proceeds, then p</w:t>
      </w:r>
      <w:r w:rsidR="2C388DF0">
        <w:t>rior to the Associated Project Commencement Date</w:t>
      </w:r>
      <w:r w:rsidR="009D4923">
        <w:t>] [Prior to the Existing Project Commencement Date]</w:t>
      </w:r>
      <w:r w:rsidR="2C388DF0">
        <w:t>:</w:t>
      </w:r>
      <w:bookmarkEnd w:id="2542"/>
    </w:p>
    <w:p w14:paraId="3B7ED7F6" w14:textId="06C8331F" w:rsidR="00172D01" w:rsidRDefault="2C388DF0" w:rsidP="0058045D">
      <w:pPr>
        <w:pStyle w:val="Heading4"/>
      </w:pPr>
      <w:r>
        <w:t xml:space="preserve">paragraphs </w:t>
      </w:r>
      <w:r w:rsidR="00FF7F27">
        <w:fldChar w:fldCharType="begin"/>
      </w:r>
      <w:r w:rsidR="00FF7F27">
        <w:instrText xml:space="preserve"> REF _Ref155965589 \n \h </w:instrText>
      </w:r>
      <w:r w:rsidR="00FF7F27">
        <w:fldChar w:fldCharType="separate"/>
      </w:r>
      <w:r w:rsidR="002E5C6A">
        <w:t>(a)</w:t>
      </w:r>
      <w:r w:rsidR="00FF7F27">
        <w:fldChar w:fldCharType="end"/>
      </w:r>
      <w:r>
        <w:t xml:space="preserve"> and </w:t>
      </w:r>
      <w:r w:rsidR="00FF7F27">
        <w:fldChar w:fldCharType="begin"/>
      </w:r>
      <w:r w:rsidR="00FF7F27">
        <w:instrText xml:space="preserve"> REF _Ref155965592 \n \h </w:instrText>
      </w:r>
      <w:r w:rsidR="00FF7F27">
        <w:fldChar w:fldCharType="separate"/>
      </w:r>
      <w:r w:rsidR="002E5C6A">
        <w:t>(b)</w:t>
      </w:r>
      <w:r w:rsidR="00FF7F27">
        <w:fldChar w:fldCharType="end"/>
      </w:r>
      <w:r>
        <w:t xml:space="preserve"> will apply to the Project only; and</w:t>
      </w:r>
    </w:p>
    <w:p w14:paraId="0C2FCF96" w14:textId="70729B65" w:rsidR="00B357B9" w:rsidRDefault="2C388DF0" w:rsidP="0058045D">
      <w:pPr>
        <w:pStyle w:val="Heading4"/>
      </w:pPr>
      <w:r>
        <w:t xml:space="preserve">paragraphs </w:t>
      </w:r>
      <w:r w:rsidR="008E6575">
        <w:fldChar w:fldCharType="begin"/>
      </w:r>
      <w:r w:rsidR="008E6575">
        <w:instrText xml:space="preserve"> REF _Ref155873986 \n \h </w:instrText>
      </w:r>
      <w:r w:rsidR="008E6575">
        <w:fldChar w:fldCharType="separate"/>
      </w:r>
      <w:r w:rsidR="002E5C6A">
        <w:t>(d)</w:t>
      </w:r>
      <w:r w:rsidR="008E6575">
        <w:fldChar w:fldCharType="end"/>
      </w:r>
      <w:r>
        <w:t xml:space="preserve"> and </w:t>
      </w:r>
      <w:r w:rsidR="008E6575">
        <w:fldChar w:fldCharType="begin"/>
      </w:r>
      <w:r w:rsidR="008E6575">
        <w:instrText xml:space="preserve"> REF _Ref155965514 \n \h </w:instrText>
      </w:r>
      <w:r w:rsidR="008E6575">
        <w:fldChar w:fldCharType="separate"/>
      </w:r>
      <w:r w:rsidR="002E5C6A">
        <w:t>(f)</w:t>
      </w:r>
      <w:r w:rsidR="008E6575">
        <w:fldChar w:fldCharType="end"/>
      </w:r>
      <w:r w:rsidR="00B71E3F">
        <w:t xml:space="preserve"> </w:t>
      </w:r>
      <w:r>
        <w:t>will not apply.]</w:t>
      </w:r>
      <w:r w:rsidR="006F59FA">
        <w:t xml:space="preserve"> [</w:t>
      </w:r>
      <w:r w:rsidR="006F59FA" w:rsidRPr="004D3942">
        <w:rPr>
          <w:b/>
          <w:bCs/>
          <w:i/>
          <w:iCs/>
          <w:highlight w:val="lightGray"/>
        </w:rPr>
        <w:t xml:space="preserve">Note: </w:t>
      </w:r>
      <w:r w:rsidR="006F59FA">
        <w:rPr>
          <w:b/>
          <w:bCs/>
          <w:i/>
          <w:iCs/>
          <w:highlight w:val="lightGray"/>
        </w:rPr>
        <w:t xml:space="preserve">words in square brackets to be included </w:t>
      </w:r>
      <w:r w:rsidR="006F59FA" w:rsidRPr="004D3942">
        <w:rPr>
          <w:b/>
          <w:bCs/>
          <w:i/>
          <w:iCs/>
          <w:highlight w:val="lightGray"/>
        </w:rPr>
        <w:t>for all Hybrid Projects</w:t>
      </w:r>
      <w:r w:rsidR="006F59FA">
        <w:rPr>
          <w:b/>
          <w:bCs/>
          <w:i/>
          <w:iCs/>
          <w:highlight w:val="lightGray"/>
        </w:rPr>
        <w:t xml:space="preserve"> for which the Associated Project is not an existing </w:t>
      </w:r>
      <w:r w:rsidR="006F59FA" w:rsidRPr="00E4637D">
        <w:rPr>
          <w:b/>
          <w:bCs/>
          <w:i/>
          <w:iCs/>
          <w:highlight w:val="lightGray"/>
        </w:rPr>
        <w:t>project</w:t>
      </w:r>
      <w:r w:rsidR="009D4923">
        <w:rPr>
          <w:b/>
          <w:bCs/>
          <w:i/>
          <w:iCs/>
          <w:highlight w:val="lightGray"/>
        </w:rPr>
        <w:t xml:space="preserve"> and all Staged Projects (as applicable)</w:t>
      </w:r>
      <w:r w:rsidR="006F59FA" w:rsidRPr="00501A54">
        <w:rPr>
          <w:b/>
          <w:bCs/>
          <w:i/>
          <w:iCs/>
          <w:highlight w:val="lightGray"/>
        </w:rPr>
        <w:t>.</w:t>
      </w:r>
      <w:r w:rsidR="006F59FA" w:rsidRPr="00501A54">
        <w:rPr>
          <w:highlight w:val="lightGray"/>
        </w:rPr>
        <w:t>]</w:t>
      </w:r>
    </w:p>
    <w:p w14:paraId="007C3F51" w14:textId="2B74003C" w:rsidR="005F0712" w:rsidRPr="00E97049" w:rsidRDefault="005F0712" w:rsidP="005F0712">
      <w:pPr>
        <w:pStyle w:val="Heading3"/>
        <w:numPr>
          <w:ilvl w:val="0"/>
          <w:numId w:val="0"/>
        </w:numPr>
        <w:ind w:left="1474"/>
      </w:pPr>
      <w:r w:rsidRPr="006D54FC">
        <w:t>[</w:t>
      </w:r>
      <w:r w:rsidRPr="007F483A">
        <w:rPr>
          <w:b/>
          <w:bCs/>
          <w:i/>
          <w:iCs/>
          <w:highlight w:val="lightGray"/>
        </w:rPr>
        <w:t xml:space="preserve">Note: paragraph </w:t>
      </w:r>
      <w:r w:rsidR="00321C16">
        <w:rPr>
          <w:b/>
          <w:bCs/>
          <w:i/>
          <w:iCs/>
          <w:highlight w:val="lightGray"/>
        </w:rPr>
        <w:fldChar w:fldCharType="begin"/>
      </w:r>
      <w:r w:rsidR="00321C16">
        <w:rPr>
          <w:b/>
          <w:bCs/>
          <w:i/>
          <w:iCs/>
          <w:highlight w:val="lightGray"/>
        </w:rPr>
        <w:instrText xml:space="preserve"> REF _Ref204070059 \n \h </w:instrText>
      </w:r>
      <w:r w:rsidR="00321C16">
        <w:rPr>
          <w:b/>
          <w:bCs/>
          <w:i/>
          <w:iCs/>
          <w:highlight w:val="lightGray"/>
        </w:rPr>
      </w:r>
      <w:r w:rsidR="00321C16">
        <w:rPr>
          <w:b/>
          <w:bCs/>
          <w:i/>
          <w:iCs/>
          <w:highlight w:val="lightGray"/>
        </w:rPr>
        <w:fldChar w:fldCharType="separate"/>
      </w:r>
      <w:r w:rsidR="002E5C6A">
        <w:rPr>
          <w:b/>
          <w:bCs/>
          <w:i/>
          <w:iCs/>
          <w:highlight w:val="lightGray"/>
        </w:rPr>
        <w:t>(g)</w:t>
      </w:r>
      <w:r w:rsidR="00321C16">
        <w:rPr>
          <w:b/>
          <w:bCs/>
          <w:i/>
          <w:iCs/>
          <w:highlight w:val="lightGray"/>
        </w:rPr>
        <w:fldChar w:fldCharType="end"/>
      </w:r>
      <w:r w:rsidR="009D4923">
        <w:rPr>
          <w:b/>
          <w:bCs/>
          <w:i/>
          <w:iCs/>
          <w:highlight w:val="lightGray"/>
        </w:rPr>
        <w:t xml:space="preserve"> below</w:t>
      </w:r>
      <w:r w:rsidRPr="007F483A">
        <w:rPr>
          <w:b/>
          <w:bCs/>
          <w:i/>
          <w:iCs/>
          <w:highlight w:val="lightGray"/>
        </w:rPr>
        <w:t xml:space="preserve"> </w:t>
      </w:r>
      <w:r>
        <w:rPr>
          <w:b/>
          <w:bCs/>
          <w:i/>
          <w:iCs/>
          <w:highlight w:val="lightGray"/>
        </w:rPr>
        <w:t xml:space="preserve">to be included </w:t>
      </w:r>
      <w:r w:rsidRPr="007F483A">
        <w:rPr>
          <w:b/>
          <w:bCs/>
          <w:i/>
          <w:iCs/>
          <w:highlight w:val="lightGray"/>
        </w:rPr>
        <w:t xml:space="preserve">for all Hybrid </w:t>
      </w:r>
      <w:r w:rsidRPr="000D20AD">
        <w:rPr>
          <w:b/>
          <w:bCs/>
          <w:i/>
          <w:iCs/>
          <w:highlight w:val="lightGray"/>
        </w:rPr>
        <w:t>Projects</w:t>
      </w:r>
      <w:r w:rsidR="009D4923">
        <w:rPr>
          <w:b/>
          <w:bCs/>
          <w:i/>
          <w:iCs/>
          <w:highlight w:val="lightGray"/>
        </w:rPr>
        <w:t xml:space="preserve"> and Staged Projects (as applicable)</w:t>
      </w:r>
      <w:r w:rsidRPr="000D20AD">
        <w:rPr>
          <w:b/>
          <w:bCs/>
          <w:i/>
          <w:iCs/>
          <w:highlight w:val="lightGray"/>
        </w:rPr>
        <w:t>.</w:t>
      </w:r>
      <w:r w:rsidRPr="00D315FD">
        <w:rPr>
          <w:highlight w:val="lightGray"/>
        </w:rPr>
        <w:t>]</w:t>
      </w:r>
    </w:p>
    <w:p w14:paraId="3995C78A" w14:textId="0C2C4A85" w:rsidR="005F0712" w:rsidRPr="0069116B" w:rsidRDefault="00F2176F" w:rsidP="00467340">
      <w:pPr>
        <w:pStyle w:val="Heading3"/>
        <w:numPr>
          <w:ilvl w:val="2"/>
          <w:numId w:val="45"/>
        </w:numPr>
      </w:pPr>
      <w:r>
        <w:t>[</w:t>
      </w:r>
      <w:r w:rsidR="00DB77A7">
        <w:t xml:space="preserve">During </w:t>
      </w:r>
      <w:r w:rsidR="00DB77A7" w:rsidRPr="00F06646">
        <w:t>the Support Period, Project Operator must</w:t>
      </w:r>
      <w:r w:rsidR="00DB77A7">
        <w:t xml:space="preserve"> ensure that the </w:t>
      </w:r>
      <w:r w:rsidR="00DB77A7" w:rsidRPr="0069116B">
        <w:t xml:space="preserve">Project </w:t>
      </w:r>
      <w:r w:rsidRPr="0069116B">
        <w:t>is assessed by AEMO</w:t>
      </w:r>
      <w:r w:rsidR="00DB77A7" w:rsidRPr="0069116B">
        <w:t xml:space="preserve"> </w:t>
      </w:r>
      <w:r w:rsidR="005F0712" w:rsidRPr="0069116B">
        <w:t xml:space="preserve">as a Separately Certified Component separate from the </w:t>
      </w:r>
      <w:r w:rsidR="00B71E3F" w:rsidRPr="0069116B">
        <w:t>[</w:t>
      </w:r>
      <w:r w:rsidR="005F0712" w:rsidRPr="0069116B">
        <w:t>Associated</w:t>
      </w:r>
      <w:r w:rsidR="00B71E3F" w:rsidRPr="0069116B">
        <w:t>/Existing]</w:t>
      </w:r>
      <w:r w:rsidR="005F0712" w:rsidRPr="0069116B">
        <w:t xml:space="preserve"> Project</w:t>
      </w:r>
      <w:r w:rsidRPr="0069116B">
        <w:t>.]</w:t>
      </w:r>
    </w:p>
    <w:p w14:paraId="5AE9153A" w14:textId="6F6980D4" w:rsidR="0069116B" w:rsidRPr="008F660B" w:rsidRDefault="0069116B" w:rsidP="008F660B">
      <w:pPr>
        <w:pStyle w:val="Heading3"/>
        <w:numPr>
          <w:ilvl w:val="2"/>
          <w:numId w:val="95"/>
        </w:numPr>
      </w:pPr>
      <w:r w:rsidRPr="008F660B">
        <w:t xml:space="preserve">If Project Operator becomes aware that any information provided, or any express representation made, by it or on its behalf under or in relation to the performance of this agreement before or during the Term, or after the end of the Term pursuant to clause </w:t>
      </w:r>
      <w:r w:rsidRPr="008F660B">
        <w:fldChar w:fldCharType="begin"/>
      </w:r>
      <w:r w:rsidRPr="008F660B">
        <w:instrText xml:space="preserve"> REF _Ref151264050 \n \h  \* MERGEFORMAT </w:instrText>
      </w:r>
      <w:r w:rsidRPr="008F660B">
        <w:fldChar w:fldCharType="separate"/>
      </w:r>
      <w:r w:rsidR="002E5C6A">
        <w:t>32</w:t>
      </w:r>
      <w:r w:rsidRPr="008F660B">
        <w:fldChar w:fldCharType="end"/>
      </w:r>
      <w:r w:rsidRPr="008F660B">
        <w:t xml:space="preserve"> (“</w:t>
      </w:r>
      <w:r w:rsidRPr="008F660B">
        <w:fldChar w:fldCharType="begin"/>
      </w:r>
      <w:r w:rsidRPr="008F660B">
        <w:instrText xml:space="preserve"> REF _Ref151264050 \h  \* MERGEFORMAT </w:instrText>
      </w:r>
      <w:r w:rsidRPr="008F660B">
        <w:fldChar w:fldCharType="separate"/>
      </w:r>
      <w:r w:rsidR="002E5C6A">
        <w:t>Access, records and reporting</w:t>
      </w:r>
      <w:r w:rsidRPr="008F660B">
        <w:fldChar w:fldCharType="end"/>
      </w:r>
      <w:r w:rsidRPr="008F660B">
        <w:t>”), is incorrect or misleading in any material respect, it must promptly:</w:t>
      </w:r>
    </w:p>
    <w:p w14:paraId="3AE0289D" w14:textId="77777777" w:rsidR="0069116B" w:rsidRPr="008F660B" w:rsidRDefault="0069116B" w:rsidP="008F660B">
      <w:pPr>
        <w:pStyle w:val="Heading4"/>
        <w:numPr>
          <w:ilvl w:val="3"/>
          <w:numId w:val="95"/>
        </w:numPr>
      </w:pPr>
      <w:r w:rsidRPr="008F660B">
        <w:t xml:space="preserve">inform the Commonwealth of that incorrect or misleading information or representation; and </w:t>
      </w:r>
    </w:p>
    <w:p w14:paraId="6082CC2F" w14:textId="7A5D9B4D" w:rsidR="007E4657" w:rsidRPr="00847C21" w:rsidRDefault="0069116B" w:rsidP="008F660B">
      <w:pPr>
        <w:pStyle w:val="Heading4"/>
        <w:numPr>
          <w:ilvl w:val="3"/>
          <w:numId w:val="95"/>
        </w:numPr>
      </w:pPr>
      <w:r w:rsidRPr="008F660B">
        <w:t>provide to the Commonwealth a correction of the information and/or representation (as relevant) and any further information that the Commonwealth may require.</w:t>
      </w:r>
    </w:p>
    <w:p w14:paraId="4214CD0E" w14:textId="77777777" w:rsidR="00952C8B" w:rsidRPr="00847C21" w:rsidRDefault="00326066" w:rsidP="00952C8B">
      <w:pPr>
        <w:pStyle w:val="Heading2"/>
      </w:pPr>
      <w:bookmarkStart w:id="2543" w:name="_Ref170208222"/>
      <w:bookmarkStart w:id="2544" w:name="_Toc207309590"/>
      <w:r w:rsidRPr="00847C21">
        <w:t>Performance Requirement obligations</w:t>
      </w:r>
      <w:bookmarkEnd w:id="2543"/>
      <w:bookmarkEnd w:id="2544"/>
    </w:p>
    <w:p w14:paraId="330B61D0" w14:textId="7C2BAFAD" w:rsidR="00944D55" w:rsidRDefault="00944D55" w:rsidP="00AF73C7">
      <w:pPr>
        <w:pStyle w:val="Indent2"/>
        <w:keepNext/>
      </w:pPr>
      <w:r w:rsidRPr="00847C21">
        <w:t xml:space="preserve">Subject to clause </w:t>
      </w:r>
      <w:r w:rsidR="0086198F" w:rsidRPr="00847C21">
        <w:fldChar w:fldCharType="begin"/>
      </w:r>
      <w:r w:rsidR="0086198F" w:rsidRPr="00847C21">
        <w:instrText xml:space="preserve"> REF _Ref170125550 \w \h </w:instrText>
      </w:r>
      <w:r w:rsidR="00801FA4">
        <w:instrText xml:space="preserve"> \* MERGEFORMAT </w:instrText>
      </w:r>
      <w:r w:rsidR="0086198F" w:rsidRPr="00847C21">
        <w:fldChar w:fldCharType="separate"/>
      </w:r>
      <w:r w:rsidR="002E5C6A">
        <w:t>8.4</w:t>
      </w:r>
      <w:r w:rsidR="0086198F" w:rsidRPr="00847C21">
        <w:fldChar w:fldCharType="end"/>
      </w:r>
      <w:r w:rsidRPr="00847C21">
        <w:t xml:space="preserve">, </w:t>
      </w:r>
      <w:r w:rsidR="0086198F" w:rsidRPr="00847C21">
        <w:t>Project</w:t>
      </w:r>
      <w:r w:rsidRPr="00847C21">
        <w:t xml:space="preserve"> Operator must ensure</w:t>
      </w:r>
      <w:r>
        <w:t xml:space="preserve"> that: </w:t>
      </w:r>
    </w:p>
    <w:p w14:paraId="56B4263A" w14:textId="4C64E2F8" w:rsidR="00944D55" w:rsidRDefault="00BB2968" w:rsidP="008F660B">
      <w:pPr>
        <w:pStyle w:val="Heading3"/>
        <w:numPr>
          <w:ilvl w:val="2"/>
          <w:numId w:val="74"/>
        </w:numPr>
      </w:pPr>
      <w:r>
        <w:t xml:space="preserve">the </w:t>
      </w:r>
      <w:r w:rsidR="00944D55">
        <w:t xml:space="preserve">Equivalent Availability Factor for the </w:t>
      </w:r>
      <w:r w:rsidR="00F921FA">
        <w:t>Project</w:t>
      </w:r>
      <w:r w:rsidR="00944D55">
        <w:t xml:space="preserve"> for each Operati</w:t>
      </w:r>
      <w:r w:rsidR="00053A4E">
        <w:t>on</w:t>
      </w:r>
      <w:r w:rsidR="00FE2919">
        <w:t>s</w:t>
      </w:r>
      <w:r w:rsidR="00944D55">
        <w:t xml:space="preserve"> Year is equal to or exceeds 90%; and</w:t>
      </w:r>
    </w:p>
    <w:p w14:paraId="582B6BB7" w14:textId="6CEA40EE" w:rsidR="00944D55" w:rsidRPr="00FB7EB2" w:rsidRDefault="00944D55" w:rsidP="008F660B">
      <w:pPr>
        <w:pStyle w:val="Heading3"/>
        <w:numPr>
          <w:ilvl w:val="2"/>
          <w:numId w:val="74"/>
        </w:numPr>
      </w:pPr>
      <w:r>
        <w:t xml:space="preserve">the energy storage capacity for the </w:t>
      </w:r>
      <w:r w:rsidR="00F921FA">
        <w:t>Project</w:t>
      </w:r>
      <w:r>
        <w:t xml:space="preserve"> for each Operati</w:t>
      </w:r>
      <w:r w:rsidR="00FE2919">
        <w:t>ons</w:t>
      </w:r>
      <w:r>
        <w:t xml:space="preserve"> Year is equal to or exceeds the Storage Capacity</w:t>
      </w:r>
      <w:r w:rsidRPr="00FB7EB2">
        <w:t xml:space="preserve">, </w:t>
      </w:r>
      <w:r w:rsidR="00B25B83" w:rsidRPr="00FB7EB2">
        <w:t>[</w:t>
      </w:r>
      <w:r w:rsidR="00B25B83" w:rsidRPr="00FB7EB2">
        <w:rPr>
          <w:b/>
          <w:bCs/>
          <w:i/>
          <w:iCs/>
          <w:highlight w:val="lightGray"/>
        </w:rPr>
        <w:t xml:space="preserve">Note: </w:t>
      </w:r>
      <w:r w:rsidR="007A4B53" w:rsidRPr="00FB7EB2">
        <w:rPr>
          <w:b/>
          <w:bCs/>
          <w:i/>
          <w:iCs/>
          <w:highlight w:val="lightGray"/>
        </w:rPr>
        <w:t>see agreement cover note regarding Non-Storage Projects</w:t>
      </w:r>
      <w:r w:rsidR="00B25B83" w:rsidRPr="00FB7EB2">
        <w:rPr>
          <w:b/>
          <w:bCs/>
          <w:i/>
          <w:iCs/>
          <w:highlight w:val="lightGray"/>
        </w:rPr>
        <w:t>.</w:t>
      </w:r>
      <w:r w:rsidR="00B25B83" w:rsidRPr="00FB7EB2">
        <w:t>]</w:t>
      </w:r>
    </w:p>
    <w:p w14:paraId="14D033DC" w14:textId="315D418A" w:rsidR="00326066" w:rsidRPr="00326066" w:rsidRDefault="00BB2968" w:rsidP="008E4A1B">
      <w:pPr>
        <w:pStyle w:val="Indent2"/>
      </w:pPr>
      <w:r>
        <w:t>(</w:t>
      </w:r>
      <w:r w:rsidR="00944D55">
        <w:t xml:space="preserve">each a </w:t>
      </w:r>
      <w:r>
        <w:t>“</w:t>
      </w:r>
      <w:r w:rsidR="00944D55" w:rsidRPr="008E4A1B">
        <w:rPr>
          <w:b/>
          <w:bCs/>
        </w:rPr>
        <w:t>Performance Requirement</w:t>
      </w:r>
      <w:r>
        <w:t>”</w:t>
      </w:r>
      <w:r w:rsidR="00944D55">
        <w:t xml:space="preserve">). </w:t>
      </w:r>
    </w:p>
    <w:p w14:paraId="12623360" w14:textId="77777777" w:rsidR="003849F1" w:rsidRDefault="0086198F" w:rsidP="0058045D">
      <w:pPr>
        <w:pStyle w:val="Heading2"/>
      </w:pPr>
      <w:bookmarkStart w:id="2545" w:name="_Toc207309591"/>
      <w:r>
        <w:t>Measurement</w:t>
      </w:r>
      <w:r w:rsidR="003849F1">
        <w:t xml:space="preserve"> and validation</w:t>
      </w:r>
      <w:bookmarkEnd w:id="2545"/>
    </w:p>
    <w:p w14:paraId="5C59A30B" w14:textId="0A7CB7AF" w:rsidR="0086198F" w:rsidRDefault="001E1FE5" w:rsidP="008F660B">
      <w:pPr>
        <w:pStyle w:val="Heading3"/>
        <w:numPr>
          <w:ilvl w:val="2"/>
          <w:numId w:val="74"/>
        </w:numPr>
      </w:pPr>
      <w:r>
        <w:t xml:space="preserve">At the end of each Operations Year, </w:t>
      </w:r>
      <w:r w:rsidR="00D51DB7">
        <w:t xml:space="preserve">Project </w:t>
      </w:r>
      <w:r w:rsidR="0086198F">
        <w:t xml:space="preserve">Operator must measure, test and calculate the performance of the </w:t>
      </w:r>
      <w:r w:rsidR="00D51DB7">
        <w:t xml:space="preserve">Project </w:t>
      </w:r>
      <w:r w:rsidR="0086198F">
        <w:t xml:space="preserve">in respect of each of the Performance Requirements for that Operations Year. </w:t>
      </w:r>
    </w:p>
    <w:p w14:paraId="75D0CD89" w14:textId="140E1391" w:rsidR="0086198F" w:rsidRDefault="004A5F64" w:rsidP="008F660B">
      <w:pPr>
        <w:pStyle w:val="Heading3"/>
        <w:numPr>
          <w:ilvl w:val="2"/>
          <w:numId w:val="74"/>
        </w:numPr>
      </w:pPr>
      <w:r>
        <w:t xml:space="preserve">Project </w:t>
      </w:r>
      <w:r w:rsidR="0086198F" w:rsidRPr="000677EE">
        <w:t>Operator must conduct the Storage Capacity</w:t>
      </w:r>
      <w:r w:rsidR="0095398D">
        <w:t xml:space="preserve"> [and EP Storage Capacity] test[s]</w:t>
      </w:r>
      <w:r w:rsidR="0086198F" w:rsidRPr="000677EE">
        <w:t xml:space="preserve"> test in accordance with section</w:t>
      </w:r>
      <w:r w:rsidR="00532FFE">
        <w:t xml:space="preserve"> </w:t>
      </w:r>
      <w:r w:rsidR="00532FFE">
        <w:fldChar w:fldCharType="begin"/>
      </w:r>
      <w:r w:rsidR="00532FFE">
        <w:instrText xml:space="preserve"> REF _Ref206529719 \n \h </w:instrText>
      </w:r>
      <w:r w:rsidR="00532FFE">
        <w:fldChar w:fldCharType="separate"/>
      </w:r>
      <w:r w:rsidR="002E5C6A">
        <w:t>5.4</w:t>
      </w:r>
      <w:r w:rsidR="00532FFE">
        <w:fldChar w:fldCharType="end"/>
      </w:r>
      <w:r w:rsidR="0086198F" w:rsidRPr="000677EE">
        <w:t xml:space="preserve"> of </w:t>
      </w:r>
      <w:r w:rsidR="00BA1BD2">
        <w:rPr>
          <w:bCs/>
        </w:rPr>
        <w:fldChar w:fldCharType="begin"/>
      </w:r>
      <w:r w:rsidR="00BA1BD2">
        <w:rPr>
          <w:bCs/>
        </w:rPr>
        <w:instrText xml:space="preserve"> REF _Ref103257737 \w \h </w:instrText>
      </w:r>
      <w:r w:rsidR="00BA1BD2">
        <w:rPr>
          <w:bCs/>
        </w:rPr>
      </w:r>
      <w:r w:rsidR="00BA1BD2">
        <w:rPr>
          <w:bCs/>
        </w:rPr>
        <w:fldChar w:fldCharType="separate"/>
      </w:r>
      <w:r w:rsidR="002E5C6A">
        <w:rPr>
          <w:bCs/>
        </w:rPr>
        <w:t>Schedule 1</w:t>
      </w:r>
      <w:r w:rsidR="00BA1BD2">
        <w:rPr>
          <w:bCs/>
        </w:rPr>
        <w:fldChar w:fldCharType="end"/>
      </w:r>
      <w:r w:rsidR="0086198F" w:rsidRPr="000677EE">
        <w:t xml:space="preserve"> and that test must be conducted at times when the appropriately qualified independent</w:t>
      </w:r>
      <w:r w:rsidR="0086198F">
        <w:t xml:space="preserve"> professional firm identified in clause </w:t>
      </w:r>
      <w:r>
        <w:fldChar w:fldCharType="begin"/>
      </w:r>
      <w:r>
        <w:instrText xml:space="preserve"> REF _Ref170129498 \w \h </w:instrText>
      </w:r>
      <w:r>
        <w:fldChar w:fldCharType="separate"/>
      </w:r>
      <w:r w:rsidR="002E5C6A">
        <w:t>8.3(d)(i)</w:t>
      </w:r>
      <w:r>
        <w:fldChar w:fldCharType="end"/>
      </w:r>
      <w:r>
        <w:t xml:space="preserve"> </w:t>
      </w:r>
      <w:r w:rsidR="0086198F">
        <w:t xml:space="preserve">is able to attend </w:t>
      </w:r>
      <w:r w:rsidR="001E1FE5">
        <w:t xml:space="preserve">and observe </w:t>
      </w:r>
      <w:r w:rsidR="0086198F">
        <w:t xml:space="preserve">the relevant measurements, tests and calculations </w:t>
      </w:r>
      <w:r w:rsidR="001E1FE5">
        <w:t xml:space="preserve">being </w:t>
      </w:r>
      <w:r w:rsidR="0086198F">
        <w:t xml:space="preserve">undertaken by </w:t>
      </w:r>
      <w:r>
        <w:t xml:space="preserve">Project </w:t>
      </w:r>
      <w:r w:rsidR="0086198F">
        <w:t xml:space="preserve">Operator. </w:t>
      </w:r>
      <w:r w:rsidR="00A62FFF" w:rsidRPr="00D04362">
        <w:t>[</w:t>
      </w:r>
      <w:r w:rsidR="00A62FFF" w:rsidRPr="00D04362">
        <w:rPr>
          <w:b/>
          <w:bCs/>
          <w:i/>
          <w:iCs/>
          <w:highlight w:val="lightGray"/>
        </w:rPr>
        <w:t xml:space="preserve">Note: </w:t>
      </w:r>
      <w:r w:rsidR="0093578E" w:rsidRPr="00D04362">
        <w:rPr>
          <w:b/>
          <w:bCs/>
          <w:i/>
          <w:iCs/>
          <w:highlight w:val="lightGray"/>
        </w:rPr>
        <w:t>see agreement cover note regarding Non-Storage Projects</w:t>
      </w:r>
      <w:r w:rsidR="00A62FFF" w:rsidRPr="00D04362">
        <w:rPr>
          <w:b/>
          <w:bCs/>
          <w:i/>
          <w:iCs/>
          <w:highlight w:val="lightGray"/>
        </w:rPr>
        <w:t>.</w:t>
      </w:r>
      <w:r w:rsidR="00A62FFF" w:rsidRPr="00D04362">
        <w:t>]</w:t>
      </w:r>
    </w:p>
    <w:p w14:paraId="5DE88EA0" w14:textId="65D3CA1E" w:rsidR="0095398D" w:rsidRDefault="0095398D" w:rsidP="008F660B">
      <w:pPr>
        <w:pStyle w:val="Heading3"/>
        <w:numPr>
          <w:ilvl w:val="2"/>
          <w:numId w:val="74"/>
        </w:numPr>
      </w:pPr>
      <w:bookmarkStart w:id="2546" w:name="_Ref193796623"/>
      <w:bookmarkStart w:id="2547" w:name="_Ref193715548"/>
      <w:bookmarkStart w:id="2548" w:name="_Ref193794518"/>
      <w:r>
        <w:t>[Where Project Operator becomes aware that there is a reduction in the storage capacity of the Project and/or the storage capacity of the Existing Project of at least five (5) per cent of the most recent Tested Storage Capacity and/or Tested EP Storage Capacity (as applicable), the following process will apply:</w:t>
      </w:r>
      <w:bookmarkEnd w:id="2546"/>
      <w:r>
        <w:t xml:space="preserve"> [</w:t>
      </w:r>
      <w:r w:rsidRPr="0095398D">
        <w:rPr>
          <w:b/>
          <w:bCs/>
          <w:i/>
          <w:iCs/>
          <w:highlight w:val="lightGray"/>
        </w:rPr>
        <w:t xml:space="preserve">Note: the 'storage capacity’ referred to in the beginning of this paragraph </w:t>
      </w:r>
      <w:r w:rsidRPr="0095398D">
        <w:rPr>
          <w:b/>
          <w:bCs/>
          <w:i/>
          <w:iCs/>
          <w:highlight w:val="lightGray"/>
        </w:rPr>
        <w:fldChar w:fldCharType="begin"/>
      </w:r>
      <w:r w:rsidRPr="0095398D">
        <w:rPr>
          <w:b/>
          <w:bCs/>
          <w:i/>
          <w:iCs/>
          <w:highlight w:val="lightGray"/>
        </w:rPr>
        <w:instrText xml:space="preserve"> REF _Ref193796623 \n \h  \* MERGEFORMAT </w:instrText>
      </w:r>
      <w:r w:rsidRPr="0095398D">
        <w:rPr>
          <w:b/>
          <w:bCs/>
          <w:i/>
          <w:iCs/>
          <w:highlight w:val="lightGray"/>
        </w:rPr>
      </w:r>
      <w:r w:rsidRPr="0095398D">
        <w:rPr>
          <w:b/>
          <w:bCs/>
          <w:i/>
          <w:iCs/>
          <w:highlight w:val="lightGray"/>
        </w:rPr>
        <w:fldChar w:fldCharType="separate"/>
      </w:r>
      <w:r w:rsidR="002E5C6A">
        <w:rPr>
          <w:b/>
          <w:bCs/>
          <w:i/>
          <w:iCs/>
          <w:highlight w:val="lightGray"/>
        </w:rPr>
        <w:t>(c)</w:t>
      </w:r>
      <w:r w:rsidRPr="0095398D">
        <w:rPr>
          <w:b/>
          <w:bCs/>
          <w:i/>
          <w:iCs/>
          <w:highlight w:val="lightGray"/>
        </w:rPr>
        <w:fldChar w:fldCharType="end"/>
      </w:r>
      <w:r w:rsidRPr="0095398D">
        <w:rPr>
          <w:b/>
          <w:bCs/>
          <w:i/>
          <w:iCs/>
          <w:highlight w:val="lightGray"/>
        </w:rPr>
        <w:t xml:space="preserve"> is a real-time measurement of the storage capacity of the Project and/or the Existing Project (as applicable), and is distinct from the Storage Capacity and/or EP Storage Capacity contained in the Reference Details</w:t>
      </w:r>
      <w:r w:rsidRPr="008F660B">
        <w:t>.</w:t>
      </w:r>
      <w:r>
        <w:t>]</w:t>
      </w:r>
    </w:p>
    <w:p w14:paraId="3DB472BB" w14:textId="77777777" w:rsidR="0095398D" w:rsidRDefault="0095398D" w:rsidP="008F660B">
      <w:pPr>
        <w:pStyle w:val="Heading4"/>
        <w:numPr>
          <w:ilvl w:val="3"/>
          <w:numId w:val="74"/>
        </w:numPr>
      </w:pPr>
      <w:bookmarkStart w:id="2549" w:name="_Ref193796426"/>
      <w:r>
        <w:t>Project Operator must notify the Commonwealth of this reduction within 10 Business Days;</w:t>
      </w:r>
      <w:bookmarkEnd w:id="2549"/>
    </w:p>
    <w:p w14:paraId="4EA24B45" w14:textId="0059D1ED" w:rsidR="0095398D" w:rsidRDefault="0095398D" w:rsidP="008F660B">
      <w:pPr>
        <w:pStyle w:val="Heading4"/>
        <w:numPr>
          <w:ilvl w:val="3"/>
          <w:numId w:val="74"/>
        </w:numPr>
      </w:pPr>
      <w:bookmarkStart w:id="2550" w:name="_Ref193796585"/>
      <w:r>
        <w:t xml:space="preserve">following receipt of a notice under </w:t>
      </w:r>
      <w:bookmarkEnd w:id="2547"/>
      <w:r>
        <w:t xml:space="preserve">paragraph </w:t>
      </w:r>
      <w:r>
        <w:fldChar w:fldCharType="begin"/>
      </w:r>
      <w:r>
        <w:instrText xml:space="preserve"> REF _Ref193715548 \n \h  \* MERGEFORMAT </w:instrText>
      </w:r>
      <w:r>
        <w:fldChar w:fldCharType="separate"/>
      </w:r>
      <w:r w:rsidR="002E5C6A">
        <w:t>(c)</w:t>
      </w:r>
      <w:r>
        <w:fldChar w:fldCharType="end"/>
      </w:r>
      <w:r>
        <w:fldChar w:fldCharType="begin"/>
      </w:r>
      <w:r>
        <w:instrText xml:space="preserve"> REF _Ref193796426 \n \h  \* MERGEFORMAT </w:instrText>
      </w:r>
      <w:r>
        <w:fldChar w:fldCharType="separate"/>
      </w:r>
      <w:r w:rsidR="002E5C6A">
        <w:t>(i)</w:t>
      </w:r>
      <w:r>
        <w:fldChar w:fldCharType="end"/>
      </w:r>
      <w:r>
        <w:t xml:space="preserve">, the Commonwealth may in its discretion (acting reasonably) determine the revised applicable Tested Storage Capacity and/or Tested EP Storage Capacity, which will continue to apply under this agreement until the next Storage Capacity and/or EP Storage Capacity tests are conducted in accordance with section </w:t>
      </w:r>
      <w:r w:rsidR="00532FFE">
        <w:fldChar w:fldCharType="begin"/>
      </w:r>
      <w:r w:rsidR="00532FFE">
        <w:instrText xml:space="preserve"> REF _Ref206529719 \n \h </w:instrText>
      </w:r>
      <w:r w:rsidR="00532FFE">
        <w:fldChar w:fldCharType="separate"/>
      </w:r>
      <w:r w:rsidR="002E5C6A">
        <w:t>5.4</w:t>
      </w:r>
      <w:r w:rsidR="00532FFE">
        <w:fldChar w:fldCharType="end"/>
      </w:r>
      <w:r>
        <w:t xml:space="preserve"> of </w:t>
      </w:r>
      <w:r w:rsidRPr="0095398D">
        <w:fldChar w:fldCharType="begin"/>
      </w:r>
      <w:r w:rsidRPr="0095398D">
        <w:instrText xml:space="preserve"> REF _Ref103257737 \w \h </w:instrText>
      </w:r>
      <w:r>
        <w:instrText xml:space="preserve"> \* MERGEFORMAT </w:instrText>
      </w:r>
      <w:r w:rsidRPr="0095398D">
        <w:fldChar w:fldCharType="separate"/>
      </w:r>
      <w:r w:rsidR="002E5C6A">
        <w:t>Schedule 1</w:t>
      </w:r>
      <w:r w:rsidRPr="0095398D">
        <w:fldChar w:fldCharType="end"/>
      </w:r>
      <w:r w:rsidRPr="0095398D">
        <w:t xml:space="preserve"> (“</w:t>
      </w:r>
      <w:r w:rsidR="008F660B">
        <w:t>Support Terms</w:t>
      </w:r>
      <w:r w:rsidRPr="0095398D">
        <w:t>”)</w:t>
      </w:r>
      <w:r>
        <w:t>; and</w:t>
      </w:r>
      <w:bookmarkEnd w:id="2550"/>
      <w:r>
        <w:t xml:space="preserve"> </w:t>
      </w:r>
    </w:p>
    <w:p w14:paraId="432E8004" w14:textId="0DB5063D" w:rsidR="0095398D" w:rsidRDefault="0095398D" w:rsidP="008F660B">
      <w:pPr>
        <w:pStyle w:val="Heading4"/>
        <w:numPr>
          <w:ilvl w:val="3"/>
          <w:numId w:val="74"/>
        </w:numPr>
      </w:pPr>
      <w:r>
        <w:t>if Project Operator is not satisfied with the Commonwealth’s determination unde</w:t>
      </w:r>
      <w:r w:rsidRPr="00847C21">
        <w:t xml:space="preserve">r paragraph </w:t>
      </w:r>
      <w:r w:rsidRPr="00847C21">
        <w:fldChar w:fldCharType="begin"/>
      </w:r>
      <w:r w:rsidRPr="00847C21">
        <w:instrText xml:space="preserve"> REF _Ref193794518 \n \h  \* MERGEFORMAT </w:instrText>
      </w:r>
      <w:r w:rsidRPr="00847C21">
        <w:fldChar w:fldCharType="separate"/>
      </w:r>
      <w:r w:rsidR="002E5C6A">
        <w:t>(c)</w:t>
      </w:r>
      <w:r w:rsidRPr="00847C21">
        <w:fldChar w:fldCharType="end"/>
      </w:r>
      <w:r w:rsidRPr="00847C21">
        <w:fldChar w:fldCharType="begin"/>
      </w:r>
      <w:r w:rsidRPr="00847C21">
        <w:instrText xml:space="preserve"> REF _Ref193796585 \n \h  \* MERGEFORMAT </w:instrText>
      </w:r>
      <w:r w:rsidRPr="00847C21">
        <w:fldChar w:fldCharType="separate"/>
      </w:r>
      <w:r w:rsidR="002E5C6A">
        <w:t>(ii)</w:t>
      </w:r>
      <w:r w:rsidRPr="00847C21">
        <w:fldChar w:fldCharType="end"/>
      </w:r>
      <w:r w:rsidRPr="00847C21">
        <w:t xml:space="preserve">, </w:t>
      </w:r>
      <w:r w:rsidR="007E4657" w:rsidRPr="008F660B">
        <w:t>either party</w:t>
      </w:r>
      <w:r w:rsidR="007E4657" w:rsidRPr="00847C21">
        <w:t xml:space="preserve"> </w:t>
      </w:r>
      <w:r w:rsidRPr="00847C21">
        <w:t>may</w:t>
      </w:r>
      <w:r>
        <w:t xml:space="preserve"> refer the matter for determination by an Independent Expert under clause </w:t>
      </w:r>
      <w:r>
        <w:fldChar w:fldCharType="begin"/>
      </w:r>
      <w:r>
        <w:instrText xml:space="preserve"> REF _Ref515106310 \w \h  \* MERGEFORMAT </w:instrText>
      </w:r>
      <w:r>
        <w:fldChar w:fldCharType="separate"/>
      </w:r>
      <w:r w:rsidR="002E5C6A">
        <w:t>27.6</w:t>
      </w:r>
      <w:r>
        <w:fldChar w:fldCharType="end"/>
      </w:r>
      <w:r>
        <w:t xml:space="preserve"> (“</w:t>
      </w:r>
      <w:r>
        <w:fldChar w:fldCharType="begin"/>
      </w:r>
      <w:r>
        <w:instrText xml:space="preserve"> REF _Ref515106310 \h  \* MERGEFORMAT </w:instrText>
      </w:r>
      <w:r>
        <w:fldChar w:fldCharType="separate"/>
      </w:r>
      <w:r w:rsidR="002E5C6A">
        <w:t>Independent Expert</w:t>
      </w:r>
      <w:r>
        <w:fldChar w:fldCharType="end"/>
      </w:r>
      <w:r>
        <w:t>”).</w:t>
      </w:r>
      <w:bookmarkEnd w:id="2548"/>
      <w:r>
        <w:t xml:space="preserve">] </w:t>
      </w:r>
    </w:p>
    <w:p w14:paraId="6669FA3A" w14:textId="12A22EFC" w:rsidR="0086198F" w:rsidRDefault="0086198F" w:rsidP="008F660B">
      <w:pPr>
        <w:pStyle w:val="Heading3"/>
        <w:keepNext/>
        <w:numPr>
          <w:ilvl w:val="2"/>
          <w:numId w:val="74"/>
        </w:numPr>
      </w:pPr>
      <w:r>
        <w:t xml:space="preserve">In addition to </w:t>
      </w:r>
      <w:r w:rsidR="004A5F64">
        <w:t xml:space="preserve">Project </w:t>
      </w:r>
      <w:r>
        <w:t xml:space="preserve">Operator providing the relevant </w:t>
      </w:r>
      <w:r w:rsidR="005E3930">
        <w:t>Accounts and Records</w:t>
      </w:r>
      <w:r>
        <w:t xml:space="preserve"> pursuant to clause </w:t>
      </w:r>
      <w:r w:rsidR="00160266">
        <w:fldChar w:fldCharType="begin"/>
      </w:r>
      <w:r w:rsidR="00160266">
        <w:instrText xml:space="preserve"> REF _Ref151258425 \w \h </w:instrText>
      </w:r>
      <w:r w:rsidR="00160266">
        <w:fldChar w:fldCharType="separate"/>
      </w:r>
      <w:r w:rsidR="002E5C6A">
        <w:t>32.1</w:t>
      </w:r>
      <w:r w:rsidR="00160266">
        <w:fldChar w:fldCharType="end"/>
      </w:r>
      <w:r>
        <w:t xml:space="preserve"> in relation to a Performance Requirement for any Operations Year, a Performance Requirement will not be taken to have been achieved for the relevant Operations Year unless and until </w:t>
      </w:r>
      <w:r w:rsidR="00160266">
        <w:t xml:space="preserve">Project </w:t>
      </w:r>
      <w:r>
        <w:t>Operator delivers to the Commonwealth:</w:t>
      </w:r>
    </w:p>
    <w:p w14:paraId="0AB16DD9" w14:textId="5B17FC9C" w:rsidR="00B510C3" w:rsidRDefault="0086198F" w:rsidP="008F660B">
      <w:pPr>
        <w:pStyle w:val="Heading4"/>
        <w:numPr>
          <w:ilvl w:val="3"/>
          <w:numId w:val="74"/>
        </w:numPr>
      </w:pPr>
      <w:bookmarkStart w:id="2551" w:name="_Ref171249448"/>
      <w:bookmarkStart w:id="2552" w:name="_Ref170129498"/>
      <w:r>
        <w:t xml:space="preserve">a report from an appropriately qualified independent professional firm </w:t>
      </w:r>
      <w:r w:rsidR="001E1FE5">
        <w:t xml:space="preserve">that </w:t>
      </w:r>
      <w:r>
        <w:t xml:space="preserve">has no actual or perceived conflict of interest </w:t>
      </w:r>
      <w:r w:rsidR="001E1FE5">
        <w:t xml:space="preserve">that </w:t>
      </w:r>
      <w:r>
        <w:t>confirms whether or not the relevant Performance Requirements ha</w:t>
      </w:r>
      <w:r w:rsidR="001E1FE5">
        <w:t>ve</w:t>
      </w:r>
      <w:r>
        <w:t xml:space="preserve"> been satisfied. </w:t>
      </w:r>
      <w:r w:rsidR="00160266">
        <w:t xml:space="preserve">Project </w:t>
      </w:r>
      <w:r>
        <w:t>Operator must ensure that the entity providing that report has agreed to permit the Commonwealth to rely on that report and is liable to the Commonwealth for the contents of that report (in each case subject to standard and reasonable limitations of liability and qualifications which that firm imposes on such reliance in the ordinary course of its business);</w:t>
      </w:r>
      <w:bookmarkEnd w:id="2551"/>
      <w:r>
        <w:t xml:space="preserve"> </w:t>
      </w:r>
    </w:p>
    <w:p w14:paraId="53CFCB16" w14:textId="4DE45DA0" w:rsidR="0086198F" w:rsidRDefault="00B510C3" w:rsidP="008F660B">
      <w:pPr>
        <w:pStyle w:val="Heading4"/>
        <w:numPr>
          <w:ilvl w:val="3"/>
          <w:numId w:val="74"/>
        </w:numPr>
      </w:pPr>
      <w:r>
        <w:t xml:space="preserve">together with the report referred to in clause </w:t>
      </w:r>
      <w:r>
        <w:fldChar w:fldCharType="begin"/>
      </w:r>
      <w:r>
        <w:instrText xml:space="preserve"> REF _Ref171249448 \w \h </w:instrText>
      </w:r>
      <w:r>
        <w:fldChar w:fldCharType="separate"/>
      </w:r>
      <w:r w:rsidR="002E5C6A">
        <w:t>8.3(d)(i)</w:t>
      </w:r>
      <w:r>
        <w:fldChar w:fldCharType="end"/>
      </w:r>
      <w:r>
        <w:t xml:space="preserve">, a declaration by Project Operator that both the report and the identity of the entity providing that report meet the conditions set out in clause </w:t>
      </w:r>
      <w:r>
        <w:fldChar w:fldCharType="begin"/>
      </w:r>
      <w:r>
        <w:instrText xml:space="preserve"> REF _Ref171249448 \w \h </w:instrText>
      </w:r>
      <w:r>
        <w:fldChar w:fldCharType="separate"/>
      </w:r>
      <w:r w:rsidR="002E5C6A">
        <w:t>8.3(d)(i)</w:t>
      </w:r>
      <w:r>
        <w:fldChar w:fldCharType="end"/>
      </w:r>
      <w:r>
        <w:t xml:space="preserve">; </w:t>
      </w:r>
      <w:r w:rsidR="0086198F">
        <w:t>and</w:t>
      </w:r>
      <w:bookmarkEnd w:id="2552"/>
    </w:p>
    <w:p w14:paraId="65AF001A" w14:textId="4751A48E" w:rsidR="0086198F" w:rsidRDefault="0086198F" w:rsidP="008F660B">
      <w:pPr>
        <w:pStyle w:val="Heading4"/>
        <w:numPr>
          <w:ilvl w:val="3"/>
          <w:numId w:val="74"/>
        </w:numPr>
      </w:pPr>
      <w:r>
        <w:t>such other information or documentation as may be reasonably necessary to demonstrate that the Performance Requirements ha</w:t>
      </w:r>
      <w:r w:rsidR="001E1FE5">
        <w:t>ve</w:t>
      </w:r>
      <w:r>
        <w:t xml:space="preserve"> been achieved in accordance with this </w:t>
      </w:r>
      <w:r w:rsidR="007E0D0D">
        <w:t>a</w:t>
      </w:r>
      <w:r>
        <w:t>greement.</w:t>
      </w:r>
    </w:p>
    <w:p w14:paraId="05A3E1FB" w14:textId="77777777" w:rsidR="0086198F" w:rsidRDefault="0086198F" w:rsidP="008E4A1B">
      <w:pPr>
        <w:pStyle w:val="Heading2"/>
      </w:pPr>
      <w:bookmarkStart w:id="2553" w:name="_Ref170125550"/>
      <w:bookmarkStart w:id="2554" w:name="_Toc207309592"/>
      <w:r>
        <w:t>Performance Requirement failures</w:t>
      </w:r>
      <w:bookmarkEnd w:id="2553"/>
      <w:bookmarkEnd w:id="2554"/>
    </w:p>
    <w:p w14:paraId="7B21094F" w14:textId="0482EE39" w:rsidR="0086198F" w:rsidRDefault="0086198F" w:rsidP="008F660B">
      <w:pPr>
        <w:pStyle w:val="Heading3"/>
        <w:numPr>
          <w:ilvl w:val="2"/>
          <w:numId w:val="74"/>
        </w:numPr>
      </w:pPr>
      <w:r>
        <w:t xml:space="preserve">Subject to this clause </w:t>
      </w:r>
      <w:r w:rsidR="00D7435B">
        <w:fldChar w:fldCharType="begin"/>
      </w:r>
      <w:r w:rsidR="00D7435B">
        <w:instrText xml:space="preserve"> REF _Ref170125550 \w \h </w:instrText>
      </w:r>
      <w:r w:rsidR="00D7435B">
        <w:fldChar w:fldCharType="separate"/>
      </w:r>
      <w:r w:rsidR="002E5C6A">
        <w:t>8.4</w:t>
      </w:r>
      <w:r w:rsidR="00D7435B">
        <w:fldChar w:fldCharType="end"/>
      </w:r>
      <w:r>
        <w:t xml:space="preserve">, </w:t>
      </w:r>
      <w:r w:rsidR="001E1FE5">
        <w:t xml:space="preserve">if </w:t>
      </w:r>
      <w:r>
        <w:t>the Eq</w:t>
      </w:r>
      <w:r w:rsidRPr="000677EE">
        <w:t xml:space="preserve">uivalent Availability Factor for the </w:t>
      </w:r>
      <w:r w:rsidR="00D7435B" w:rsidRPr="000677EE">
        <w:t>Project</w:t>
      </w:r>
      <w:r w:rsidRPr="000677EE">
        <w:t xml:space="preserve"> in any Support Year is less than 90%, the Availability Rebate will apply in accordance with</w:t>
      </w:r>
      <w:r w:rsidR="0019711B">
        <w:t xml:space="preserve"> section </w:t>
      </w:r>
      <w:r w:rsidR="00532FFE">
        <w:fldChar w:fldCharType="begin"/>
      </w:r>
      <w:r w:rsidR="00532FFE">
        <w:instrText xml:space="preserve"> REF _Ref206083707 \n \h </w:instrText>
      </w:r>
      <w:r w:rsidR="00532FFE">
        <w:fldChar w:fldCharType="separate"/>
      </w:r>
      <w:r w:rsidR="002E5C6A">
        <w:t>4</w:t>
      </w:r>
      <w:r w:rsidR="00532FFE">
        <w:fldChar w:fldCharType="end"/>
      </w:r>
      <w:r w:rsidR="0019711B">
        <w:t xml:space="preserve"> of</w:t>
      </w:r>
      <w:r w:rsidRPr="000677EE">
        <w:t xml:space="preserve"> </w:t>
      </w:r>
      <w:r w:rsidR="00BA1BD2">
        <w:rPr>
          <w:bCs/>
        </w:rPr>
        <w:fldChar w:fldCharType="begin"/>
      </w:r>
      <w:r w:rsidR="00BA1BD2">
        <w:rPr>
          <w:bCs/>
        </w:rPr>
        <w:instrText xml:space="preserve"> REF _Ref103257737 \w \h </w:instrText>
      </w:r>
      <w:r w:rsidR="00BA1BD2">
        <w:rPr>
          <w:bCs/>
        </w:rPr>
      </w:r>
      <w:r w:rsidR="00BA1BD2">
        <w:rPr>
          <w:bCs/>
        </w:rPr>
        <w:fldChar w:fldCharType="separate"/>
      </w:r>
      <w:r w:rsidR="002E5C6A">
        <w:rPr>
          <w:bCs/>
        </w:rPr>
        <w:t>Schedule 1</w:t>
      </w:r>
      <w:r w:rsidR="00BA1BD2">
        <w:rPr>
          <w:bCs/>
        </w:rPr>
        <w:fldChar w:fldCharType="end"/>
      </w:r>
      <w:r w:rsidRPr="000677EE">
        <w:t>.</w:t>
      </w:r>
    </w:p>
    <w:p w14:paraId="3D6F2591" w14:textId="5EB56814" w:rsidR="0086198F" w:rsidRPr="000677EE" w:rsidRDefault="0086198F" w:rsidP="008F660B">
      <w:pPr>
        <w:pStyle w:val="Heading3"/>
        <w:numPr>
          <w:ilvl w:val="2"/>
          <w:numId w:val="74"/>
        </w:numPr>
      </w:pPr>
      <w:r>
        <w:t xml:space="preserve">Subject to this </w:t>
      </w:r>
      <w:r w:rsidR="00D7435B">
        <w:t xml:space="preserve">clause </w:t>
      </w:r>
      <w:r w:rsidR="00D7435B">
        <w:fldChar w:fldCharType="begin"/>
      </w:r>
      <w:r w:rsidR="00D7435B">
        <w:instrText xml:space="preserve"> REF _Ref170125550 \w \h </w:instrText>
      </w:r>
      <w:r w:rsidR="00D7435B">
        <w:fldChar w:fldCharType="separate"/>
      </w:r>
      <w:r w:rsidR="002E5C6A">
        <w:t>8.4</w:t>
      </w:r>
      <w:r w:rsidR="00D7435B">
        <w:fldChar w:fldCharType="end"/>
      </w:r>
      <w:r>
        <w:t xml:space="preserve">, </w:t>
      </w:r>
      <w:r w:rsidR="001E1FE5">
        <w:t xml:space="preserve">if </w:t>
      </w:r>
      <w:r>
        <w:t xml:space="preserve">the energy storage capacity for the </w:t>
      </w:r>
      <w:r w:rsidR="00D7435B">
        <w:t>Project</w:t>
      </w:r>
      <w:r>
        <w:t xml:space="preserve"> for each </w:t>
      </w:r>
      <w:r w:rsidRPr="000677EE">
        <w:t>Support Year is less than 100%</w:t>
      </w:r>
      <w:r w:rsidR="00635533">
        <w:t xml:space="preserve"> of the Storage Capacity,</w:t>
      </w:r>
      <w:r w:rsidRPr="000677EE">
        <w:t xml:space="preserve"> the Storage </w:t>
      </w:r>
      <w:r w:rsidR="00703A96">
        <w:t xml:space="preserve">Capacity </w:t>
      </w:r>
      <w:r w:rsidRPr="000677EE">
        <w:t>Rebate will apply in accordance with</w:t>
      </w:r>
      <w:r w:rsidR="0019711B">
        <w:t xml:space="preserve"> section </w:t>
      </w:r>
      <w:r w:rsidR="00532FFE">
        <w:fldChar w:fldCharType="begin"/>
      </w:r>
      <w:r w:rsidR="00532FFE">
        <w:instrText xml:space="preserve"> REF _Ref206708204 \n \h </w:instrText>
      </w:r>
      <w:r w:rsidR="00532FFE">
        <w:fldChar w:fldCharType="separate"/>
      </w:r>
      <w:r w:rsidR="002E5C6A">
        <w:t>5</w:t>
      </w:r>
      <w:r w:rsidR="00532FFE">
        <w:fldChar w:fldCharType="end"/>
      </w:r>
      <w:r w:rsidR="0019711B">
        <w:t xml:space="preserve"> of</w:t>
      </w:r>
      <w:r w:rsidRPr="000677EE">
        <w:t xml:space="preserve"> </w:t>
      </w:r>
      <w:r w:rsidR="00BA1BD2">
        <w:rPr>
          <w:bCs/>
        </w:rPr>
        <w:fldChar w:fldCharType="begin"/>
      </w:r>
      <w:r w:rsidR="00BA1BD2">
        <w:rPr>
          <w:bCs/>
        </w:rPr>
        <w:instrText xml:space="preserve"> REF _Ref103257737 \w \h </w:instrText>
      </w:r>
      <w:r w:rsidR="00BA1BD2">
        <w:rPr>
          <w:bCs/>
        </w:rPr>
      </w:r>
      <w:r w:rsidR="00BA1BD2">
        <w:rPr>
          <w:bCs/>
        </w:rPr>
        <w:fldChar w:fldCharType="separate"/>
      </w:r>
      <w:r w:rsidR="002E5C6A">
        <w:rPr>
          <w:bCs/>
        </w:rPr>
        <w:t>Schedule 1</w:t>
      </w:r>
      <w:r w:rsidR="00BA1BD2">
        <w:rPr>
          <w:bCs/>
        </w:rPr>
        <w:fldChar w:fldCharType="end"/>
      </w:r>
      <w:r w:rsidRPr="000677EE">
        <w:t>.</w:t>
      </w:r>
      <w:r w:rsidR="00A62FFF">
        <w:t xml:space="preserve"> </w:t>
      </w:r>
      <w:r w:rsidR="00A62FFF" w:rsidRPr="00D04362">
        <w:t>[</w:t>
      </w:r>
      <w:r w:rsidR="00A62FFF" w:rsidRPr="00D04362">
        <w:rPr>
          <w:b/>
          <w:bCs/>
          <w:i/>
          <w:iCs/>
          <w:highlight w:val="lightGray"/>
        </w:rPr>
        <w:t xml:space="preserve">Note: </w:t>
      </w:r>
      <w:r w:rsidR="00244ACB" w:rsidRPr="00D04362">
        <w:rPr>
          <w:b/>
          <w:bCs/>
          <w:i/>
          <w:iCs/>
          <w:highlight w:val="lightGray"/>
        </w:rPr>
        <w:t>see agreement cover note regarding Non-Storage Projects</w:t>
      </w:r>
      <w:r w:rsidR="00A62FFF" w:rsidRPr="00D04362">
        <w:rPr>
          <w:b/>
          <w:bCs/>
          <w:i/>
          <w:iCs/>
          <w:highlight w:val="lightGray"/>
        </w:rPr>
        <w:t>.</w:t>
      </w:r>
      <w:r w:rsidR="00A62FFF" w:rsidRPr="00D04362">
        <w:t>]</w:t>
      </w:r>
      <w:r w:rsidR="00635533">
        <w:t xml:space="preserve"> </w:t>
      </w:r>
    </w:p>
    <w:p w14:paraId="6C010DE8" w14:textId="77777777" w:rsidR="0086198F" w:rsidRDefault="0086198F" w:rsidP="008F660B">
      <w:pPr>
        <w:pStyle w:val="Heading3"/>
        <w:numPr>
          <w:ilvl w:val="2"/>
          <w:numId w:val="74"/>
        </w:numPr>
      </w:pPr>
      <w:bookmarkStart w:id="2555" w:name="_Ref170208234"/>
      <w:r>
        <w:t>If:</w:t>
      </w:r>
      <w:bookmarkEnd w:id="2555"/>
      <w:r>
        <w:t xml:space="preserve"> </w:t>
      </w:r>
    </w:p>
    <w:p w14:paraId="7F7F5C23" w14:textId="072D5585" w:rsidR="0086198F" w:rsidRDefault="0086198F" w:rsidP="008F660B">
      <w:pPr>
        <w:pStyle w:val="Heading4"/>
        <w:numPr>
          <w:ilvl w:val="3"/>
          <w:numId w:val="74"/>
        </w:numPr>
      </w:pPr>
      <w:r>
        <w:t xml:space="preserve">the Equivalent Availability Factor for the </w:t>
      </w:r>
      <w:r w:rsidR="00D7435B">
        <w:t>Project</w:t>
      </w:r>
      <w:r>
        <w:t xml:space="preserve"> is less than 50%</w:t>
      </w:r>
      <w:r w:rsidR="00DC3789">
        <w:t xml:space="preserve"> in an Operations Year</w:t>
      </w:r>
      <w:r>
        <w:t xml:space="preserve">; or </w:t>
      </w:r>
    </w:p>
    <w:p w14:paraId="53FEA96B" w14:textId="4F4791E0" w:rsidR="0086198F" w:rsidRDefault="00E56557" w:rsidP="008F660B">
      <w:pPr>
        <w:pStyle w:val="Heading4"/>
        <w:keepNext/>
        <w:numPr>
          <w:ilvl w:val="3"/>
          <w:numId w:val="74"/>
        </w:numPr>
      </w:pPr>
      <w:r>
        <w:t xml:space="preserve">excluding where caused by a Project Force Majeure Event in respect of which </w:t>
      </w:r>
      <w:r w:rsidR="006C3422">
        <w:t xml:space="preserve">clause </w:t>
      </w:r>
      <w:r w:rsidR="006C3422">
        <w:fldChar w:fldCharType="begin"/>
      </w:r>
      <w:r w:rsidR="006C3422">
        <w:instrText xml:space="preserve"> REF _Ref167895464 \w \h </w:instrText>
      </w:r>
      <w:r w:rsidR="006C3422">
        <w:fldChar w:fldCharType="separate"/>
      </w:r>
      <w:r w:rsidR="002E5C6A">
        <w:t>19</w:t>
      </w:r>
      <w:r w:rsidR="006C3422">
        <w:fldChar w:fldCharType="end"/>
      </w:r>
      <w:r w:rsidR="006C3422">
        <w:t xml:space="preserve"> (“</w:t>
      </w:r>
      <w:r w:rsidR="006C3422">
        <w:fldChar w:fldCharType="begin"/>
      </w:r>
      <w:r w:rsidR="006C3422">
        <w:instrText xml:space="preserve"> REF _Ref167895464 \h </w:instrText>
      </w:r>
      <w:r w:rsidR="006C3422">
        <w:fldChar w:fldCharType="separate"/>
      </w:r>
      <w:r w:rsidR="002E5C6A">
        <w:t>Force Majeure</w:t>
      </w:r>
      <w:r w:rsidR="006C3422">
        <w:fldChar w:fldCharType="end"/>
      </w:r>
      <w:r w:rsidR="006C3422">
        <w:t xml:space="preserve">”) applies, </w:t>
      </w:r>
      <w:r w:rsidR="0086198F">
        <w:t xml:space="preserve">the energy storage capacity of the </w:t>
      </w:r>
      <w:r w:rsidR="00D7435B">
        <w:t xml:space="preserve">Project </w:t>
      </w:r>
      <w:r w:rsidR="0086198F">
        <w:t>is less than 50% of the Storage Capacity</w:t>
      </w:r>
      <w:r w:rsidR="00DC3789">
        <w:t xml:space="preserve"> as determined by a Storage Capacity test undertaken in accordance with clause </w:t>
      </w:r>
      <w:r w:rsidR="00532FFE">
        <w:fldChar w:fldCharType="begin"/>
      </w:r>
      <w:r w:rsidR="00532FFE">
        <w:instrText xml:space="preserve"> REF _Ref206529719 \n \h </w:instrText>
      </w:r>
      <w:r w:rsidR="00532FFE">
        <w:fldChar w:fldCharType="separate"/>
      </w:r>
      <w:r w:rsidR="002E5C6A">
        <w:t>5.4</w:t>
      </w:r>
      <w:r w:rsidR="00532FFE">
        <w:fldChar w:fldCharType="end"/>
      </w:r>
      <w:r w:rsidR="00DC3789">
        <w:t xml:space="preserve"> of </w:t>
      </w:r>
      <w:r w:rsidR="00DC3789">
        <w:fldChar w:fldCharType="begin"/>
      </w:r>
      <w:r w:rsidR="00DC3789">
        <w:instrText xml:space="preserve"> REF _Ref_ContractCompanion_9kb9Ur3BH \n \h </w:instrText>
      </w:r>
      <w:r w:rsidR="00DC3789">
        <w:fldChar w:fldCharType="separate"/>
      </w:r>
      <w:r w:rsidR="002E5C6A">
        <w:t>Schedule 1</w:t>
      </w:r>
      <w:r w:rsidR="00DC3789">
        <w:fldChar w:fldCharType="end"/>
      </w:r>
      <w:r w:rsidR="0086198F">
        <w:t>,</w:t>
      </w:r>
    </w:p>
    <w:p w14:paraId="6BB64DB4" w14:textId="77777777" w:rsidR="0086198F" w:rsidRDefault="0086198F" w:rsidP="008E4A1B">
      <w:pPr>
        <w:pStyle w:val="Heading3"/>
        <w:numPr>
          <w:ilvl w:val="0"/>
          <w:numId w:val="0"/>
        </w:numPr>
        <w:ind w:left="1474"/>
      </w:pPr>
      <w:r>
        <w:t>(</w:t>
      </w:r>
      <w:r w:rsidRPr="008E4A1B">
        <w:rPr>
          <w:b/>
          <w:bCs/>
        </w:rPr>
        <w:t>Performance Requirements (Minimum)</w:t>
      </w:r>
      <w:r>
        <w:t>) in each case in any Operations Year</w:t>
      </w:r>
      <w:r w:rsidR="00DA4D71">
        <w:t xml:space="preserve">, Project </w:t>
      </w:r>
      <w:r>
        <w:t xml:space="preserve">Operator must: </w:t>
      </w:r>
    </w:p>
    <w:p w14:paraId="4BCFD871" w14:textId="77777777" w:rsidR="0086198F" w:rsidRDefault="0086198F" w:rsidP="008F660B">
      <w:pPr>
        <w:pStyle w:val="Heading4"/>
        <w:numPr>
          <w:ilvl w:val="3"/>
          <w:numId w:val="74"/>
        </w:numPr>
      </w:pPr>
      <w:r>
        <w:t xml:space="preserve">investigate the cause of the non-compliance; and </w:t>
      </w:r>
    </w:p>
    <w:p w14:paraId="7FAF502C" w14:textId="77777777" w:rsidR="0086198F" w:rsidRDefault="0086198F" w:rsidP="008F660B">
      <w:pPr>
        <w:pStyle w:val="Heading4"/>
        <w:numPr>
          <w:ilvl w:val="3"/>
          <w:numId w:val="74"/>
        </w:numPr>
      </w:pPr>
      <w:bookmarkStart w:id="2556" w:name="_Ref170378366"/>
      <w:r>
        <w:t>within 20 Business Days after becoming aware of the relevant failure (</w:t>
      </w:r>
      <w:r w:rsidRPr="008E4A1B">
        <w:rPr>
          <w:b/>
          <w:bCs/>
        </w:rPr>
        <w:t>PR Cure Period</w:t>
      </w:r>
      <w:r>
        <w:t xml:space="preserve">), provide a draft cure plan to the Commonwealth which demonstrates how </w:t>
      </w:r>
      <w:r w:rsidR="00DA4D71">
        <w:t xml:space="preserve">Project </w:t>
      </w:r>
      <w:r>
        <w:t>Operator will ensure that the relevant Performance Requirements (Minimum) will be achieved as soon as reasonably practicable (taking into account a reasonable period for contingency) in the following Operations Year (</w:t>
      </w:r>
      <w:r w:rsidRPr="008E4A1B">
        <w:rPr>
          <w:b/>
          <w:bCs/>
        </w:rPr>
        <w:t>Draft PR Cure Plan</w:t>
      </w:r>
      <w:r>
        <w:t>).</w:t>
      </w:r>
      <w:bookmarkEnd w:id="2556"/>
    </w:p>
    <w:p w14:paraId="5411937B" w14:textId="41068E58" w:rsidR="003913F5" w:rsidRPr="00A82B79" w:rsidRDefault="003913F5" w:rsidP="00A82B79">
      <w:pPr>
        <w:ind w:left="1474"/>
        <w:rPr>
          <w:b/>
          <w:bCs/>
          <w:i/>
          <w:iCs/>
        </w:rPr>
      </w:pPr>
      <w:r w:rsidRPr="00494081">
        <w:t>[</w:t>
      </w:r>
      <w:r w:rsidRPr="00A82B79">
        <w:rPr>
          <w:b/>
          <w:bCs/>
          <w:i/>
          <w:iCs/>
          <w:highlight w:val="lightGray"/>
        </w:rPr>
        <w:t>Note: see agreement cover note regarding Non-Storage Projects.</w:t>
      </w:r>
      <w:r w:rsidRPr="00494081">
        <w:t>]</w:t>
      </w:r>
    </w:p>
    <w:p w14:paraId="03A3A21F" w14:textId="02C46B7F" w:rsidR="0086198F" w:rsidRDefault="0086198F" w:rsidP="008F660B">
      <w:pPr>
        <w:pStyle w:val="Heading3"/>
        <w:numPr>
          <w:ilvl w:val="2"/>
          <w:numId w:val="74"/>
        </w:numPr>
        <w:spacing w:before="240"/>
      </w:pPr>
      <w:bookmarkStart w:id="2557" w:name="_Ref170129952"/>
      <w:r>
        <w:t xml:space="preserve">The Commonwealth must act reasonably in determining whether to approve or reject the Draft PR Cure Plan and must either approve or reject a Draft PR Cure Plan within 30 Business Days after that Draft PR Cure Plan (which complies with this </w:t>
      </w:r>
      <w:r w:rsidR="007E0D0D">
        <w:t>a</w:t>
      </w:r>
      <w:r>
        <w:t xml:space="preserve">greement) is submitted to the Commonwealth. Without limitation, it will be unreasonable for the Commonwealth to reject the Draft PR Cure Plan </w:t>
      </w:r>
      <w:r w:rsidR="001E1FE5">
        <w:t xml:space="preserve">if </w:t>
      </w:r>
      <w:r>
        <w:t>it:</w:t>
      </w:r>
      <w:bookmarkEnd w:id="2557"/>
      <w:r>
        <w:t xml:space="preserve"> </w:t>
      </w:r>
    </w:p>
    <w:p w14:paraId="378F35BC" w14:textId="77777777" w:rsidR="0086198F" w:rsidRDefault="0086198F" w:rsidP="008F660B">
      <w:pPr>
        <w:pStyle w:val="Heading4"/>
        <w:numPr>
          <w:ilvl w:val="3"/>
          <w:numId w:val="74"/>
        </w:numPr>
      </w:pPr>
      <w:r>
        <w:t xml:space="preserve">is prepared in accordance with the requirements of this </w:t>
      </w:r>
      <w:r w:rsidR="007E0D0D">
        <w:t>a</w:t>
      </w:r>
      <w:r>
        <w:t>greement; and</w:t>
      </w:r>
    </w:p>
    <w:p w14:paraId="0C0D492A" w14:textId="77777777" w:rsidR="0086198F" w:rsidRDefault="0086198F" w:rsidP="008F660B">
      <w:pPr>
        <w:pStyle w:val="Heading4"/>
        <w:numPr>
          <w:ilvl w:val="3"/>
          <w:numId w:val="74"/>
        </w:numPr>
      </w:pPr>
      <w:r>
        <w:t xml:space="preserve">demonstrates how </w:t>
      </w:r>
      <w:r w:rsidR="00ED5855">
        <w:t xml:space="preserve">Project </w:t>
      </w:r>
      <w:r>
        <w:t>Operator will ensure that the relevant Performance Requirements (Minimum) will be achieved as soon as reasonably practicable (including a reasonable period for contingency) in the following Operations Year.</w:t>
      </w:r>
    </w:p>
    <w:p w14:paraId="74BC77E4" w14:textId="77777777" w:rsidR="0086198F" w:rsidRDefault="0086198F" w:rsidP="008F660B">
      <w:pPr>
        <w:pStyle w:val="Heading3"/>
        <w:numPr>
          <w:ilvl w:val="2"/>
          <w:numId w:val="74"/>
        </w:numPr>
      </w:pPr>
      <w:r>
        <w:t>If the Commonwealth rejects a Draft PR Cure Plan:</w:t>
      </w:r>
    </w:p>
    <w:p w14:paraId="7D506966" w14:textId="77777777" w:rsidR="0086198F" w:rsidRDefault="0086198F" w:rsidP="008F660B">
      <w:pPr>
        <w:pStyle w:val="Heading4"/>
        <w:numPr>
          <w:ilvl w:val="3"/>
          <w:numId w:val="74"/>
        </w:numPr>
      </w:pPr>
      <w:bookmarkStart w:id="2558" w:name="_Ref170129974"/>
      <w:r>
        <w:t xml:space="preserve">the Commonwealth must provide </w:t>
      </w:r>
      <w:r w:rsidR="00ED5855">
        <w:t xml:space="preserve">Project </w:t>
      </w:r>
      <w:r>
        <w:t>Operator with written reasons for the rejection at the time the Draft PR Cure Plan is rejected; and</w:t>
      </w:r>
      <w:bookmarkEnd w:id="2558"/>
    </w:p>
    <w:p w14:paraId="10E86CC3" w14:textId="22EF4935" w:rsidR="0086198F" w:rsidRDefault="00ED5855" w:rsidP="008F660B">
      <w:pPr>
        <w:pStyle w:val="Heading4"/>
        <w:numPr>
          <w:ilvl w:val="3"/>
          <w:numId w:val="74"/>
        </w:numPr>
      </w:pPr>
      <w:bookmarkStart w:id="2559" w:name="_Ref170129985"/>
      <w:r>
        <w:t xml:space="preserve">Project </w:t>
      </w:r>
      <w:r w:rsidR="0086198F">
        <w:t>Operator may submit a revised Draft PR Cure Plan for approval by the Commonwealth in accordance with clause</w:t>
      </w:r>
      <w:r w:rsidR="00273BA1">
        <w:t> </w:t>
      </w:r>
      <w:r w:rsidR="00273BA1">
        <w:fldChar w:fldCharType="begin"/>
      </w:r>
      <w:r w:rsidR="00273BA1">
        <w:instrText xml:space="preserve"> REF _Ref170129952 \w \h </w:instrText>
      </w:r>
      <w:r w:rsidR="00273BA1">
        <w:fldChar w:fldCharType="separate"/>
      </w:r>
      <w:r w:rsidR="002E5C6A">
        <w:t>8.4(d)</w:t>
      </w:r>
      <w:r w:rsidR="00273BA1">
        <w:fldChar w:fldCharType="end"/>
      </w:r>
      <w:r w:rsidR="0086198F">
        <w:t>.</w:t>
      </w:r>
      <w:bookmarkEnd w:id="2559"/>
    </w:p>
    <w:p w14:paraId="3FA12E4F" w14:textId="23BE39E7" w:rsidR="0086198F" w:rsidRDefault="0086198F" w:rsidP="008F660B">
      <w:pPr>
        <w:pStyle w:val="Heading3"/>
        <w:numPr>
          <w:ilvl w:val="2"/>
          <w:numId w:val="74"/>
        </w:numPr>
      </w:pPr>
      <w:r>
        <w:t xml:space="preserve">Clauses </w:t>
      </w:r>
      <w:r w:rsidR="00273BA1">
        <w:fldChar w:fldCharType="begin"/>
      </w:r>
      <w:r w:rsidR="00273BA1">
        <w:instrText xml:space="preserve"> REF _Ref170129952 \w \h </w:instrText>
      </w:r>
      <w:r w:rsidR="00273BA1">
        <w:fldChar w:fldCharType="separate"/>
      </w:r>
      <w:r w:rsidR="002E5C6A">
        <w:t>8.4(d)</w:t>
      </w:r>
      <w:r w:rsidR="00273BA1">
        <w:fldChar w:fldCharType="end"/>
      </w:r>
      <w:r w:rsidR="00273BA1">
        <w:t xml:space="preserve"> </w:t>
      </w:r>
      <w:r>
        <w:t xml:space="preserve">and </w:t>
      </w:r>
      <w:r w:rsidR="00273BA1">
        <w:fldChar w:fldCharType="begin"/>
      </w:r>
      <w:r w:rsidR="00273BA1">
        <w:instrText xml:space="preserve"> REF _Ref170129974 \w \h </w:instrText>
      </w:r>
      <w:r w:rsidR="00273BA1">
        <w:fldChar w:fldCharType="separate"/>
      </w:r>
      <w:r w:rsidR="002E5C6A">
        <w:t>8.4(e)(i)</w:t>
      </w:r>
      <w:r w:rsidR="00273BA1">
        <w:fldChar w:fldCharType="end"/>
      </w:r>
      <w:r w:rsidR="00273BA1">
        <w:t xml:space="preserve"> </w:t>
      </w:r>
      <w:r>
        <w:t xml:space="preserve">but not clause </w:t>
      </w:r>
      <w:r w:rsidR="00273BA1">
        <w:fldChar w:fldCharType="begin"/>
      </w:r>
      <w:r w:rsidR="00273BA1">
        <w:instrText xml:space="preserve"> REF _Ref170129985 \w \h </w:instrText>
      </w:r>
      <w:r w:rsidR="00273BA1">
        <w:fldChar w:fldCharType="separate"/>
      </w:r>
      <w:r w:rsidR="002E5C6A">
        <w:t>8.4(e)(ii)</w:t>
      </w:r>
      <w:r w:rsidR="00273BA1">
        <w:fldChar w:fldCharType="end"/>
      </w:r>
      <w:r>
        <w:t xml:space="preserve">, will apply to an amended Draft PR Cure Plan submitted by </w:t>
      </w:r>
      <w:r w:rsidR="00273BA1">
        <w:t>Project</w:t>
      </w:r>
      <w:r>
        <w:t xml:space="preserve"> Operator pursuant to </w:t>
      </w:r>
      <w:r w:rsidR="00273BA1">
        <w:t xml:space="preserve">clause </w:t>
      </w:r>
      <w:r w:rsidR="00273BA1">
        <w:fldChar w:fldCharType="begin"/>
      </w:r>
      <w:r w:rsidR="00273BA1">
        <w:instrText xml:space="preserve"> REF _Ref170129985 \w \h </w:instrText>
      </w:r>
      <w:r w:rsidR="00273BA1">
        <w:fldChar w:fldCharType="separate"/>
      </w:r>
      <w:r w:rsidR="002E5C6A">
        <w:t>8.4(e)(ii)</w:t>
      </w:r>
      <w:r w:rsidR="00273BA1">
        <w:fldChar w:fldCharType="end"/>
      </w:r>
      <w:r>
        <w:t>.</w:t>
      </w:r>
    </w:p>
    <w:p w14:paraId="257A72C1" w14:textId="60F0D57F" w:rsidR="0086198F" w:rsidRDefault="0086198F" w:rsidP="008F660B">
      <w:pPr>
        <w:pStyle w:val="Heading3"/>
        <w:numPr>
          <w:ilvl w:val="2"/>
          <w:numId w:val="74"/>
        </w:numPr>
      </w:pPr>
      <w:r>
        <w:tab/>
      </w:r>
      <w:bookmarkStart w:id="2560" w:name="_Ref170130180"/>
      <w:r>
        <w:t xml:space="preserve">If the Commonwealth approves a Draft PR Cure Plan it must notify </w:t>
      </w:r>
      <w:r w:rsidR="00273BA1">
        <w:t>Project</w:t>
      </w:r>
      <w:r>
        <w:t xml:space="preserve"> Operator of that approval and that Draft PR Cure Plan becomes the approved cure plan on the date of that approval (</w:t>
      </w:r>
      <w:r w:rsidR="001E1FE5">
        <w:rPr>
          <w:b/>
          <w:bCs/>
        </w:rPr>
        <w:t xml:space="preserve">Approved </w:t>
      </w:r>
      <w:r w:rsidRPr="008E4A1B">
        <w:rPr>
          <w:b/>
          <w:bCs/>
        </w:rPr>
        <w:t>PR Cure Plan</w:t>
      </w:r>
      <w:r>
        <w:t xml:space="preserve">). On and from the date on which the Commonwealth notifies </w:t>
      </w:r>
      <w:r w:rsidR="00273BA1">
        <w:t xml:space="preserve">Project </w:t>
      </w:r>
      <w:r>
        <w:t xml:space="preserve">Operator of that approval, </w:t>
      </w:r>
      <w:r w:rsidR="00273BA1">
        <w:t xml:space="preserve">Project </w:t>
      </w:r>
      <w:r>
        <w:t>Operator must:</w:t>
      </w:r>
      <w:bookmarkEnd w:id="2560"/>
    </w:p>
    <w:p w14:paraId="659118B9" w14:textId="0CEC9263" w:rsidR="0086198F" w:rsidRDefault="0086198F" w:rsidP="008F660B">
      <w:pPr>
        <w:pStyle w:val="Heading4"/>
        <w:numPr>
          <w:ilvl w:val="3"/>
          <w:numId w:val="74"/>
        </w:numPr>
      </w:pPr>
      <w:r>
        <w:t xml:space="preserve">subject to clause </w:t>
      </w:r>
      <w:r w:rsidR="00B83F5E">
        <w:fldChar w:fldCharType="begin"/>
      </w:r>
      <w:r w:rsidR="00B83F5E">
        <w:instrText xml:space="preserve"> REF _Ref167895464 \w \h </w:instrText>
      </w:r>
      <w:r w:rsidR="00B83F5E">
        <w:fldChar w:fldCharType="separate"/>
      </w:r>
      <w:r w:rsidR="002E5C6A">
        <w:t>19</w:t>
      </w:r>
      <w:r w:rsidR="00B83F5E">
        <w:fldChar w:fldCharType="end"/>
      </w:r>
      <w:r>
        <w:t xml:space="preserve">, comply with the </w:t>
      </w:r>
      <w:r w:rsidR="001E1FE5">
        <w:t xml:space="preserve">Approved </w:t>
      </w:r>
      <w:r>
        <w:t xml:space="preserve">PR Cure Plan; and </w:t>
      </w:r>
    </w:p>
    <w:p w14:paraId="0A6E5D68" w14:textId="445C8E8D" w:rsidR="0086198F" w:rsidRDefault="00B83F5E" w:rsidP="008F660B">
      <w:pPr>
        <w:pStyle w:val="Heading4"/>
        <w:numPr>
          <w:ilvl w:val="3"/>
          <w:numId w:val="74"/>
        </w:numPr>
      </w:pPr>
      <w:r>
        <w:t>p</w:t>
      </w:r>
      <w:r w:rsidR="0086198F">
        <w:t xml:space="preserve">rovide a report to the Commonwealth regarding its progress against the </w:t>
      </w:r>
      <w:r w:rsidR="001E1FE5">
        <w:t>A</w:t>
      </w:r>
      <w:r w:rsidR="0086198F">
        <w:t xml:space="preserve">pproved PR Cure Plan within 5 Business Days after the end of each </w:t>
      </w:r>
      <w:r w:rsidR="00BD5041">
        <w:t>m</w:t>
      </w:r>
      <w:r w:rsidR="0086198F">
        <w:t xml:space="preserve">onth until </w:t>
      </w:r>
      <w:r>
        <w:t>Project</w:t>
      </w:r>
      <w:r w:rsidR="0086198F">
        <w:t xml:space="preserve"> Operator next satisfies the relevant Performance Requirements. </w:t>
      </w:r>
    </w:p>
    <w:p w14:paraId="47021D59" w14:textId="77777777" w:rsidR="0086198F" w:rsidRDefault="00BD5041" w:rsidP="008F660B">
      <w:pPr>
        <w:pStyle w:val="Heading3"/>
        <w:keepNext/>
        <w:numPr>
          <w:ilvl w:val="2"/>
          <w:numId w:val="74"/>
        </w:numPr>
      </w:pPr>
      <w:bookmarkStart w:id="2561" w:name="_Ref170211672"/>
      <w:r>
        <w:t>I</w:t>
      </w:r>
      <w:r w:rsidR="0086198F">
        <w:t xml:space="preserve">f </w:t>
      </w:r>
      <w:r>
        <w:t xml:space="preserve">Project </w:t>
      </w:r>
      <w:r w:rsidR="0086198F">
        <w:t>Operator:</w:t>
      </w:r>
      <w:bookmarkEnd w:id="2561"/>
      <w:r w:rsidR="0086198F">
        <w:t xml:space="preserve"> </w:t>
      </w:r>
    </w:p>
    <w:p w14:paraId="372CAC82" w14:textId="77777777" w:rsidR="0086198F" w:rsidRDefault="0086198F" w:rsidP="008F660B">
      <w:pPr>
        <w:pStyle w:val="Heading4"/>
        <w:numPr>
          <w:ilvl w:val="3"/>
          <w:numId w:val="74"/>
        </w:numPr>
      </w:pPr>
      <w:r>
        <w:t xml:space="preserve">fails to submit a Draft PR Cure Plan to the Commonwealth within the relevant PR Cure Period; </w:t>
      </w:r>
    </w:p>
    <w:p w14:paraId="47E2D483" w14:textId="21E1792A" w:rsidR="0086198F" w:rsidRDefault="0086198F" w:rsidP="008F660B">
      <w:pPr>
        <w:pStyle w:val="Heading4"/>
        <w:numPr>
          <w:ilvl w:val="3"/>
          <w:numId w:val="74"/>
        </w:numPr>
      </w:pPr>
      <w:r>
        <w:t xml:space="preserve">has submitted a </w:t>
      </w:r>
      <w:r w:rsidR="001E1FE5">
        <w:t>D</w:t>
      </w:r>
      <w:r>
        <w:t xml:space="preserve">raft PR Cure Plan which has been rejected by the Commonwealth and has resubmitted the </w:t>
      </w:r>
      <w:r w:rsidR="00257042">
        <w:t>D</w:t>
      </w:r>
      <w:r>
        <w:t>raft PR Cure Plan which (subject to clause</w:t>
      </w:r>
      <w:r w:rsidR="00722DE9">
        <w:t xml:space="preserve"> </w:t>
      </w:r>
      <w:r w:rsidR="004C7031">
        <w:fldChar w:fldCharType="begin"/>
      </w:r>
      <w:r w:rsidR="004C7031">
        <w:instrText xml:space="preserve"> REF _Ref170130166 \w \h </w:instrText>
      </w:r>
      <w:r w:rsidR="004C7031">
        <w:fldChar w:fldCharType="separate"/>
      </w:r>
      <w:r w:rsidR="002E5C6A">
        <w:t>8.4(i)</w:t>
      </w:r>
      <w:r w:rsidR="004C7031">
        <w:fldChar w:fldCharType="end"/>
      </w:r>
      <w:r>
        <w:t xml:space="preserve">) has also been rejected, </w:t>
      </w:r>
      <w:r w:rsidR="00257042">
        <w:t xml:space="preserve">in </w:t>
      </w:r>
      <w:r>
        <w:t xml:space="preserve">each case in accordance with this </w:t>
      </w:r>
      <w:r w:rsidR="007E0D0D">
        <w:t>a</w:t>
      </w:r>
      <w:r>
        <w:t xml:space="preserve">greement; </w:t>
      </w:r>
    </w:p>
    <w:p w14:paraId="63FF84E6" w14:textId="1FA287A8" w:rsidR="0086198F" w:rsidRDefault="0086198F" w:rsidP="008F660B">
      <w:pPr>
        <w:pStyle w:val="Heading4"/>
        <w:numPr>
          <w:ilvl w:val="3"/>
          <w:numId w:val="74"/>
        </w:numPr>
      </w:pPr>
      <w:bookmarkStart w:id="2562" w:name="_Ref170130122"/>
      <w:r>
        <w:t xml:space="preserve">subject to clause </w:t>
      </w:r>
      <w:r w:rsidR="004C7031">
        <w:fldChar w:fldCharType="begin"/>
      </w:r>
      <w:r w:rsidR="004C7031">
        <w:instrText xml:space="preserve"> REF _Ref170130180 \w \h </w:instrText>
      </w:r>
      <w:r w:rsidR="004C7031">
        <w:fldChar w:fldCharType="separate"/>
      </w:r>
      <w:r w:rsidR="002E5C6A">
        <w:t>8.4(g)</w:t>
      </w:r>
      <w:r w:rsidR="004C7031">
        <w:fldChar w:fldCharType="end"/>
      </w:r>
      <w:r>
        <w:t xml:space="preserve">, fails to commence the implementation of the </w:t>
      </w:r>
      <w:r w:rsidR="00257042">
        <w:t xml:space="preserve">Approved </w:t>
      </w:r>
      <w:r>
        <w:t xml:space="preserve">PR Cure Plan as required pursuant to </w:t>
      </w:r>
      <w:r w:rsidR="00924AD7">
        <w:t>clause</w:t>
      </w:r>
      <w:r w:rsidR="00257042">
        <w:t> </w:t>
      </w:r>
      <w:r w:rsidR="00924AD7">
        <w:fldChar w:fldCharType="begin"/>
      </w:r>
      <w:r w:rsidR="00924AD7">
        <w:instrText xml:space="preserve"> REF _Ref170130180 \w \h </w:instrText>
      </w:r>
      <w:r w:rsidR="00924AD7">
        <w:fldChar w:fldCharType="separate"/>
      </w:r>
      <w:r w:rsidR="002E5C6A">
        <w:t>8.4(g)</w:t>
      </w:r>
      <w:r w:rsidR="00924AD7">
        <w:fldChar w:fldCharType="end"/>
      </w:r>
      <w:r w:rsidR="00924AD7">
        <w:t xml:space="preserve"> </w:t>
      </w:r>
      <w:r>
        <w:t xml:space="preserve">or otherwise fails to comply with the </w:t>
      </w:r>
      <w:r w:rsidR="00257042">
        <w:t xml:space="preserve">Approved </w:t>
      </w:r>
      <w:r>
        <w:t>PR Cure Plan in any material respect, and does not remedy any such failure within 20 Business Days after receipt of a notice from the Commonwealth requiring it to do so; or</w:t>
      </w:r>
      <w:bookmarkEnd w:id="2562"/>
    </w:p>
    <w:p w14:paraId="5C9A4731" w14:textId="79F4F9C3" w:rsidR="0086198F" w:rsidRDefault="0086198F" w:rsidP="008F660B">
      <w:pPr>
        <w:pStyle w:val="Heading4"/>
        <w:numPr>
          <w:ilvl w:val="3"/>
          <w:numId w:val="74"/>
        </w:numPr>
      </w:pPr>
      <w:r>
        <w:t xml:space="preserve">fails to meet either Performance Requirement (Minimum) in respect of any two consecutive Operations Years, </w:t>
      </w:r>
    </w:p>
    <w:p w14:paraId="25AA0243" w14:textId="282CA093" w:rsidR="0086198F" w:rsidRDefault="0086198F" w:rsidP="00141370">
      <w:pPr>
        <w:pStyle w:val="Heading3"/>
        <w:numPr>
          <w:ilvl w:val="0"/>
          <w:numId w:val="0"/>
        </w:numPr>
        <w:ind w:left="1474"/>
      </w:pPr>
      <w:r>
        <w:t xml:space="preserve">the Commonwealth may terminate this </w:t>
      </w:r>
      <w:r w:rsidR="007E0D0D">
        <w:t>a</w:t>
      </w:r>
      <w:r>
        <w:t xml:space="preserve">greement by notice to </w:t>
      </w:r>
      <w:r w:rsidR="00BF61FA">
        <w:t>Project</w:t>
      </w:r>
      <w:r>
        <w:t xml:space="preserve"> Operator, </w:t>
      </w:r>
      <w:r w:rsidR="00257042">
        <w:t xml:space="preserve">and </w:t>
      </w:r>
      <w:r>
        <w:t xml:space="preserve">this </w:t>
      </w:r>
      <w:r w:rsidR="007E0D0D">
        <w:t>a</w:t>
      </w:r>
      <w:r>
        <w:t xml:space="preserve">greement will terminate on the date set out in that notice and that termination will be deemed to be a termination pursuant to clause </w:t>
      </w:r>
      <w:r w:rsidR="00BF61FA">
        <w:fldChar w:fldCharType="begin"/>
      </w:r>
      <w:r w:rsidR="00BF61FA">
        <w:instrText xml:space="preserve"> REF _Ref159420790 \w \h </w:instrText>
      </w:r>
      <w:r w:rsidR="00BF61FA">
        <w:fldChar w:fldCharType="separate"/>
      </w:r>
      <w:r w:rsidR="002E5C6A">
        <w:t>22.3</w:t>
      </w:r>
      <w:r w:rsidR="00BF61FA">
        <w:fldChar w:fldCharType="end"/>
      </w:r>
      <w:r>
        <w:t>.</w:t>
      </w:r>
    </w:p>
    <w:p w14:paraId="0625878E" w14:textId="54AD02CC" w:rsidR="0086198F" w:rsidRDefault="00257042" w:rsidP="008F660B">
      <w:pPr>
        <w:pStyle w:val="Heading3"/>
        <w:numPr>
          <w:ilvl w:val="2"/>
          <w:numId w:val="74"/>
        </w:numPr>
      </w:pPr>
      <w:bookmarkStart w:id="2563" w:name="_Ref170130166"/>
      <w:r>
        <w:t xml:space="preserve">When </w:t>
      </w:r>
      <w:r w:rsidR="00BF61FA">
        <w:t xml:space="preserve">Project </w:t>
      </w:r>
      <w:r w:rsidR="0086198F">
        <w:t xml:space="preserve">Operator submits a Draft PR Cure Plan </w:t>
      </w:r>
      <w:r>
        <w:t xml:space="preserve">that </w:t>
      </w:r>
      <w:r w:rsidR="0086198F">
        <w:t xml:space="preserve">has been rejected in accordance with </w:t>
      </w:r>
      <w:r w:rsidR="00BF61FA">
        <w:t>clause </w:t>
      </w:r>
      <w:r w:rsidR="00BF61FA">
        <w:fldChar w:fldCharType="begin"/>
      </w:r>
      <w:r w:rsidR="00BF61FA">
        <w:instrText xml:space="preserve"> REF _Ref170129952 \w \h </w:instrText>
      </w:r>
      <w:r w:rsidR="00BF61FA">
        <w:fldChar w:fldCharType="separate"/>
      </w:r>
      <w:r w:rsidR="002E5C6A">
        <w:t>8.4(d)</w:t>
      </w:r>
      <w:r w:rsidR="00BF61FA">
        <w:fldChar w:fldCharType="end"/>
      </w:r>
      <w:r w:rsidR="0086198F">
        <w:t xml:space="preserve"> and submits a revised Draft PR Cure Plan for approval in accordance with clause </w:t>
      </w:r>
      <w:r w:rsidR="00BF61FA">
        <w:fldChar w:fldCharType="begin"/>
      </w:r>
      <w:r w:rsidR="00BF61FA">
        <w:instrText xml:space="preserve"> REF _Ref170129985 \w \h </w:instrText>
      </w:r>
      <w:r w:rsidR="00BF61FA">
        <w:fldChar w:fldCharType="separate"/>
      </w:r>
      <w:r w:rsidR="002E5C6A">
        <w:t>8.4(e)(ii)</w:t>
      </w:r>
      <w:r w:rsidR="00BF61FA">
        <w:fldChar w:fldCharType="end"/>
      </w:r>
      <w:r w:rsidR="0086198F">
        <w:t>, in determining whether to approve or reject that resubmitted Draft PR Cure Plan the Commonwealth may only:</w:t>
      </w:r>
      <w:bookmarkEnd w:id="2563"/>
      <w:r w:rsidR="0086198F">
        <w:t xml:space="preserve"> </w:t>
      </w:r>
    </w:p>
    <w:p w14:paraId="68CE0370" w14:textId="71063F4A" w:rsidR="0086198F" w:rsidRDefault="0086198F" w:rsidP="008F660B">
      <w:pPr>
        <w:pStyle w:val="Heading4"/>
        <w:numPr>
          <w:ilvl w:val="3"/>
          <w:numId w:val="74"/>
        </w:numPr>
      </w:pPr>
      <w:r>
        <w:t xml:space="preserve">review and provide comments on: </w:t>
      </w:r>
    </w:p>
    <w:p w14:paraId="4266CA03" w14:textId="54EB889F" w:rsidR="0086198F" w:rsidRDefault="0086198F" w:rsidP="008F660B">
      <w:pPr>
        <w:pStyle w:val="Heading5"/>
        <w:numPr>
          <w:ilvl w:val="4"/>
          <w:numId w:val="74"/>
        </w:numPr>
      </w:pPr>
      <w:r>
        <w:t xml:space="preserve">the new and amended information provided by or on behalf of </w:t>
      </w:r>
      <w:r w:rsidR="00BF61FA">
        <w:t>Project</w:t>
      </w:r>
      <w:r>
        <w:t xml:space="preserve"> Operator </w:t>
      </w:r>
      <w:r w:rsidR="00257042">
        <w:t xml:space="preserve">in or </w:t>
      </w:r>
      <w:r>
        <w:t xml:space="preserve">with that resubmitted Draft PR Cure Plan; </w:t>
      </w:r>
    </w:p>
    <w:p w14:paraId="7C60A542" w14:textId="211E6B5A" w:rsidR="0086198F" w:rsidRDefault="0086198F" w:rsidP="008F660B">
      <w:pPr>
        <w:pStyle w:val="Heading5"/>
        <w:numPr>
          <w:ilvl w:val="4"/>
          <w:numId w:val="74"/>
        </w:numPr>
      </w:pPr>
      <w:r>
        <w:t xml:space="preserve">previous information supplied in relation to the relevant Draft PR Cure Plan </w:t>
      </w:r>
      <w:r w:rsidR="00257042">
        <w:t xml:space="preserve">that </w:t>
      </w:r>
      <w:r>
        <w:t>is impacted by that new and amended information; and</w:t>
      </w:r>
    </w:p>
    <w:p w14:paraId="22B0E2D1" w14:textId="21FF5801" w:rsidR="0086198F" w:rsidRDefault="0086198F" w:rsidP="008F660B">
      <w:pPr>
        <w:pStyle w:val="Heading5"/>
        <w:numPr>
          <w:ilvl w:val="4"/>
          <w:numId w:val="74"/>
        </w:numPr>
      </w:pPr>
      <w:r>
        <w:t xml:space="preserve">any information in the Draft PR Cure Plan </w:t>
      </w:r>
      <w:r w:rsidR="00257042">
        <w:t xml:space="preserve">that </w:t>
      </w:r>
      <w:r>
        <w:t xml:space="preserve">is impacted by any new circumstances </w:t>
      </w:r>
      <w:r w:rsidR="00257042">
        <w:t xml:space="preserve">that </w:t>
      </w:r>
      <w:r>
        <w:t xml:space="preserve">have arisen after the submission of the first version of the relevant Draft PR Cure Plan; and </w:t>
      </w:r>
    </w:p>
    <w:p w14:paraId="76FA3FEB" w14:textId="35342EC3" w:rsidR="003849F1" w:rsidRPr="0086198F" w:rsidRDefault="0086198F" w:rsidP="008F660B">
      <w:pPr>
        <w:pStyle w:val="Heading4"/>
        <w:numPr>
          <w:ilvl w:val="3"/>
          <w:numId w:val="74"/>
        </w:numPr>
      </w:pPr>
      <w:r>
        <w:t xml:space="preserve">approve or reject that resubmitted Draft PR Cure Plan based on that new and/or amended information, the previous information </w:t>
      </w:r>
      <w:r w:rsidR="00257042">
        <w:t xml:space="preserve">that </w:t>
      </w:r>
      <w:r>
        <w:t>has been impacted by that new and amended information and those new circumstances.</w:t>
      </w:r>
    </w:p>
    <w:p w14:paraId="79730BF6" w14:textId="77777777" w:rsidR="000978A7" w:rsidRDefault="2C388DF0" w:rsidP="0058045D">
      <w:pPr>
        <w:pStyle w:val="Heading2"/>
      </w:pPr>
      <w:bookmarkStart w:id="2564" w:name="_Toc207309593"/>
      <w:r>
        <w:t>Registration</w:t>
      </w:r>
      <w:bookmarkEnd w:id="2564"/>
    </w:p>
    <w:p w14:paraId="4D9EC44B" w14:textId="77777777" w:rsidR="00D54834" w:rsidRDefault="2C388DF0" w:rsidP="0058045D">
      <w:pPr>
        <w:pStyle w:val="Heading3"/>
        <w:rPr>
          <w:szCs w:val="18"/>
        </w:rPr>
      </w:pPr>
      <w:bookmarkStart w:id="2565" w:name="_Ref106632971"/>
      <w:r>
        <w:t>If:</w:t>
      </w:r>
      <w:bookmarkEnd w:id="2565"/>
    </w:p>
    <w:p w14:paraId="5EDD48B0" w14:textId="77777777" w:rsidR="00D54834" w:rsidRDefault="2C388DF0" w:rsidP="0058045D">
      <w:pPr>
        <w:pStyle w:val="Heading4"/>
      </w:pPr>
      <w:r>
        <w:t xml:space="preserve">a new market is established in the </w:t>
      </w:r>
      <w:r w:rsidR="0039210A">
        <w:t>W</w:t>
      </w:r>
      <w:r>
        <w:t xml:space="preserve">EM, or a market is established outside of the </w:t>
      </w:r>
      <w:r w:rsidR="0039210A">
        <w:t>W</w:t>
      </w:r>
      <w:r>
        <w:t xml:space="preserve">EM, in which the </w:t>
      </w:r>
      <w:bookmarkStart w:id="2566" w:name="_9kMJ6L6ZWu59979IhY4xoiy"/>
      <w:r>
        <w:t>Project</w:t>
      </w:r>
      <w:bookmarkEnd w:id="2566"/>
      <w:r>
        <w:t xml:space="preserve"> is entitled to provide services; and</w:t>
      </w:r>
    </w:p>
    <w:p w14:paraId="6A3A60CD" w14:textId="2DF2AEE8" w:rsidR="00D54834" w:rsidRDefault="2C388DF0" w:rsidP="00961F64">
      <w:pPr>
        <w:pStyle w:val="Heading4"/>
        <w:keepNext/>
      </w:pPr>
      <w:r>
        <w:t xml:space="preserve">it is consistent with industry practice for projects </w:t>
      </w:r>
      <w:r w:rsidR="00257042">
        <w:t xml:space="preserve">that </w:t>
      </w:r>
      <w:r>
        <w:t xml:space="preserve">are similar to the </w:t>
      </w:r>
      <w:bookmarkStart w:id="2567" w:name="_9kMJ7M6ZWu59979IhY4xoiy"/>
      <w:r>
        <w:t>Project</w:t>
      </w:r>
      <w:bookmarkEnd w:id="2567"/>
      <w:r>
        <w:t xml:space="preserve"> to provide those services,</w:t>
      </w:r>
    </w:p>
    <w:p w14:paraId="5CA082A5" w14:textId="43CB6076" w:rsidR="00D54834" w:rsidRDefault="00D54834" w:rsidP="003A24AE">
      <w:pPr>
        <w:pStyle w:val="Indent3"/>
      </w:pPr>
      <w:r>
        <w:t xml:space="preserve">Project Operator must register or take such action as is required to entitle it to participate in </w:t>
      </w:r>
      <w:r w:rsidRPr="006629D1">
        <w:rPr>
          <w:szCs w:val="18"/>
        </w:rPr>
        <w:t>that</w:t>
      </w:r>
      <w:r>
        <w:t xml:space="preserve"> market unless there are reasonable technical, legal, commercial or financial reasons for not doing so. </w:t>
      </w:r>
    </w:p>
    <w:p w14:paraId="14C0DC8B" w14:textId="77777777" w:rsidR="009277AD" w:rsidRPr="009277AD" w:rsidRDefault="2C388DF0" w:rsidP="0058045D">
      <w:pPr>
        <w:pStyle w:val="Heading3"/>
      </w:pPr>
      <w:r>
        <w:t>If requested by the Commonwealth, Project Operator must provide details of the reason(s) why it has decided not to register or otherwise provide services in a particular market together with reasonable supporting evidence.</w:t>
      </w:r>
    </w:p>
    <w:p w14:paraId="45D989DA" w14:textId="477CFA93" w:rsidR="00474C04" w:rsidRDefault="2C388DF0" w:rsidP="0058045D">
      <w:pPr>
        <w:pStyle w:val="Heading3"/>
        <w:rPr>
          <w:szCs w:val="18"/>
        </w:rPr>
      </w:pPr>
      <w:r>
        <w:t xml:space="preserve">Project Operator </w:t>
      </w:r>
      <w:r w:rsidR="007E4657">
        <w:t xml:space="preserve">must </w:t>
      </w:r>
      <w:r>
        <w:t xml:space="preserve">provide any documentation and other information requested by the Commonwealth in connection with applicable “know your customer” checks or similar identification procedures under all applicable Laws </w:t>
      </w:r>
      <w:r w:rsidR="00DC3789">
        <w:t xml:space="preserve">concerning </w:t>
      </w:r>
      <w:r>
        <w:t>the Project, in circumstances in which necessary information is not already available to the Commonwealth.</w:t>
      </w:r>
      <w:bookmarkStart w:id="2568" w:name="_Ref103351253"/>
      <w:bookmarkEnd w:id="2531"/>
    </w:p>
    <w:p w14:paraId="458A435E" w14:textId="77777777" w:rsidR="002C56EA" w:rsidRDefault="2C388DF0" w:rsidP="0058045D">
      <w:pPr>
        <w:pStyle w:val="Heading2"/>
      </w:pPr>
      <w:bookmarkStart w:id="2569" w:name="_Toc153945124"/>
      <w:bookmarkStart w:id="2570" w:name="_Ref166143596"/>
      <w:bookmarkStart w:id="2571" w:name="_Ref166578390"/>
      <w:bookmarkStart w:id="2572" w:name="_Ref166770457"/>
      <w:bookmarkStart w:id="2573" w:name="_Ref199427670"/>
      <w:bookmarkStart w:id="2574" w:name="_Ref199427674"/>
      <w:bookmarkStart w:id="2575" w:name="_Ref199428473"/>
      <w:bookmarkStart w:id="2576" w:name="_Toc207309594"/>
      <w:r>
        <w:t>Project Operator is a special purpose vehicle</w:t>
      </w:r>
      <w:bookmarkEnd w:id="2569"/>
      <w:bookmarkEnd w:id="2570"/>
      <w:bookmarkEnd w:id="2571"/>
      <w:bookmarkEnd w:id="2572"/>
      <w:bookmarkEnd w:id="2573"/>
      <w:bookmarkEnd w:id="2574"/>
      <w:bookmarkEnd w:id="2575"/>
      <w:bookmarkEnd w:id="2576"/>
    </w:p>
    <w:p w14:paraId="564F1C82" w14:textId="46209ECF" w:rsidR="00A84046" w:rsidRDefault="002C56EA" w:rsidP="00A84046">
      <w:pPr>
        <w:pStyle w:val="Indent2"/>
        <w:rPr>
          <w:b/>
          <w:bCs/>
        </w:rPr>
      </w:pPr>
      <w:r w:rsidRPr="002C56EA">
        <w:t>[</w:t>
      </w:r>
      <w:r w:rsidRPr="004D3942">
        <w:rPr>
          <w:b/>
          <w:bCs/>
          <w:i/>
          <w:iCs/>
          <w:highlight w:val="lightGray"/>
        </w:rPr>
        <w:t xml:space="preserve">Note: this special purpose vehicle requirement applies to the </w:t>
      </w:r>
      <w:r w:rsidR="00DC3789">
        <w:rPr>
          <w:b/>
          <w:i/>
          <w:highlight w:val="lightGray"/>
        </w:rPr>
        <w:t>project as a whole, including any Associated Project or Existing Project (as applicable) in addition to the Project.</w:t>
      </w:r>
    </w:p>
    <w:p w14:paraId="421CBD99" w14:textId="0BA91A23" w:rsidR="00A84046" w:rsidRPr="00D315FD" w:rsidRDefault="00A84046" w:rsidP="00D315FD">
      <w:pPr>
        <w:pStyle w:val="BodyIndent2"/>
        <w:spacing w:after="120"/>
        <w:ind w:left="737"/>
        <w:rPr>
          <w:b/>
          <w:bCs/>
          <w:highlight w:val="lightGray"/>
        </w:rPr>
      </w:pPr>
      <w:r w:rsidRPr="00184703">
        <w:t>[</w:t>
      </w:r>
      <w:r w:rsidRPr="00F723AC">
        <w:rPr>
          <w:b/>
          <w:bCs/>
          <w:i/>
          <w:iCs/>
          <w:highlight w:val="lightGray"/>
        </w:rPr>
        <w:t xml:space="preserve">Note: </w:t>
      </w:r>
      <w:r>
        <w:rPr>
          <w:b/>
          <w:bCs/>
          <w:i/>
          <w:iCs/>
          <w:highlight w:val="lightGray"/>
        </w:rPr>
        <w:t>words in square brackets are</w:t>
      </w:r>
      <w:r w:rsidRPr="00F723AC">
        <w:rPr>
          <w:b/>
          <w:bCs/>
          <w:i/>
          <w:iCs/>
          <w:highlight w:val="lightGray"/>
        </w:rPr>
        <w:t xml:space="preserve"> to be included for all Hybrid Projects</w:t>
      </w:r>
      <w:r>
        <w:rPr>
          <w:b/>
          <w:bCs/>
          <w:i/>
          <w:iCs/>
          <w:highlight w:val="lightGray"/>
        </w:rPr>
        <w:t xml:space="preserve"> and Staged Projects (as applicable).</w:t>
      </w:r>
      <w:r w:rsidRPr="00184703">
        <w:rPr>
          <w:highlight w:val="lightGray"/>
        </w:rPr>
        <w:t xml:space="preserve">] </w:t>
      </w:r>
    </w:p>
    <w:p w14:paraId="1B4D82AC" w14:textId="01545912" w:rsidR="002C56EA" w:rsidRDefault="2C388DF0" w:rsidP="0058045D">
      <w:pPr>
        <w:pStyle w:val="Heading3"/>
      </w:pPr>
      <w:bookmarkStart w:id="2577" w:name="_Ref166143504"/>
      <w:r>
        <w:t xml:space="preserve">Subject to paragraph </w:t>
      </w:r>
      <w:r w:rsidR="00406B52">
        <w:fldChar w:fldCharType="begin"/>
      </w:r>
      <w:r w:rsidR="00406B52">
        <w:instrText xml:space="preserve"> REF _Ref166143387 \n \h </w:instrText>
      </w:r>
      <w:r w:rsidR="00406B52">
        <w:fldChar w:fldCharType="separate"/>
      </w:r>
      <w:r w:rsidR="002E5C6A">
        <w:t>(b)</w:t>
      </w:r>
      <w:r w:rsidR="00406B52">
        <w:fldChar w:fldCharType="end"/>
      </w:r>
      <w:r>
        <w:t>, Project Operator must:</w:t>
      </w:r>
      <w:bookmarkEnd w:id="2577"/>
    </w:p>
    <w:p w14:paraId="079AD3BC" w14:textId="2231BA7F" w:rsidR="00C41730" w:rsidRDefault="002F511F" w:rsidP="0058045D">
      <w:pPr>
        <w:pStyle w:val="Heading4"/>
      </w:pPr>
      <w:r>
        <w:t>b</w:t>
      </w:r>
      <w:r w:rsidR="2C388DF0">
        <w:t xml:space="preserve">e a special purpose vehicle established for the sole purpose of carrying on the </w:t>
      </w:r>
      <w:r w:rsidR="00A84046">
        <w:t xml:space="preserve">[Hybrid/Staged] </w:t>
      </w:r>
      <w:r w:rsidR="2C388DF0">
        <w:t xml:space="preserve">Project and the </w:t>
      </w:r>
      <w:r w:rsidR="00A84046">
        <w:t xml:space="preserve">associated </w:t>
      </w:r>
      <w:r w:rsidR="2C388DF0">
        <w:t xml:space="preserve">business and activities contemplated by this agreement; </w:t>
      </w:r>
    </w:p>
    <w:p w14:paraId="59B97F34" w14:textId="7484DBB4" w:rsidR="002C56EA" w:rsidRPr="00391C05" w:rsidRDefault="2C388DF0" w:rsidP="0058045D">
      <w:pPr>
        <w:pStyle w:val="Heading4"/>
        <w:rPr>
          <w:szCs w:val="18"/>
        </w:rPr>
      </w:pPr>
      <w:r>
        <w:t>not carry on, or have previously carried on prior to the Signing Date, any other business or activity other than the</w:t>
      </w:r>
      <w:r w:rsidR="00A84046">
        <w:t xml:space="preserve"> [Hybrid/Staged]</w:t>
      </w:r>
      <w:r>
        <w:t xml:space="preserve"> Project or the</w:t>
      </w:r>
      <w:r w:rsidR="00A84046">
        <w:t xml:space="preserve"> associated</w:t>
      </w:r>
      <w:r>
        <w:t xml:space="preserve"> business and activities contemplated by or reasonably incidental to this agreement;</w:t>
      </w:r>
    </w:p>
    <w:p w14:paraId="3C51D8AA" w14:textId="426A0216" w:rsidR="00391C05" w:rsidRDefault="2C388DF0" w:rsidP="0058045D">
      <w:pPr>
        <w:pStyle w:val="Heading4"/>
      </w:pPr>
      <w:r>
        <w:t>own, or otherwise hold in its name, the</w:t>
      </w:r>
      <w:r w:rsidR="00A84046">
        <w:t xml:space="preserve"> [Hybrid/Staged]</w:t>
      </w:r>
      <w:r>
        <w:t xml:space="preserve"> Project, including all assets, legal rights and Authorisations reasonably required to carry on the </w:t>
      </w:r>
      <w:r w:rsidR="00A84046">
        <w:t xml:space="preserve">[Hybrid/Staged] </w:t>
      </w:r>
      <w:r>
        <w:t xml:space="preserve">Project; </w:t>
      </w:r>
    </w:p>
    <w:p w14:paraId="2AF1C561" w14:textId="4553FC66" w:rsidR="00787BF6" w:rsidRPr="009F2125" w:rsidRDefault="2C388DF0" w:rsidP="0058045D">
      <w:pPr>
        <w:pStyle w:val="Heading4"/>
        <w:rPr>
          <w:szCs w:val="18"/>
        </w:rPr>
      </w:pPr>
      <w:r>
        <w:t>receive all revenue generated by, and other economic value associated with, the</w:t>
      </w:r>
      <w:r w:rsidR="00A84046">
        <w:t xml:space="preserve"> [Hybrid/Staged]</w:t>
      </w:r>
      <w:r>
        <w:t xml:space="preserve"> Project, including being the counterparty to all </w:t>
      </w:r>
      <w:r w:rsidR="000B6F7D">
        <w:t>Bilateral C</w:t>
      </w:r>
      <w:r>
        <w:t xml:space="preserve">ontracts and other revenue arrangements in respect of the </w:t>
      </w:r>
      <w:r w:rsidR="00A84046">
        <w:t xml:space="preserve">[Hybrid/Staged] </w:t>
      </w:r>
      <w:r>
        <w:t xml:space="preserve">Project; </w:t>
      </w:r>
    </w:p>
    <w:p w14:paraId="182DE8FE" w14:textId="77777777" w:rsidR="006A2F3C" w:rsidRPr="006A2F3C" w:rsidRDefault="2C388DF0" w:rsidP="0058045D">
      <w:pPr>
        <w:pStyle w:val="Heading4"/>
        <w:rPr>
          <w:szCs w:val="18"/>
        </w:rPr>
      </w:pPr>
      <w:bookmarkStart w:id="2578" w:name="_Ref199428450"/>
      <w:r>
        <w:t>not hold, acquire or create any Subsidiary without the Commonwealth’s prior written consent; and</w:t>
      </w:r>
      <w:bookmarkEnd w:id="2578"/>
      <w:r>
        <w:t xml:space="preserve"> </w:t>
      </w:r>
    </w:p>
    <w:p w14:paraId="34500814" w14:textId="2BD4627D" w:rsidR="006A2F3C" w:rsidRPr="006A2F3C" w:rsidRDefault="2C388DF0" w:rsidP="0058045D">
      <w:pPr>
        <w:pStyle w:val="Heading4"/>
        <w:rPr>
          <w:szCs w:val="18"/>
        </w:rPr>
      </w:pPr>
      <w:r>
        <w:t xml:space="preserve">without limiting clause </w:t>
      </w:r>
      <w:r w:rsidR="006A2F3C">
        <w:fldChar w:fldCharType="begin"/>
      </w:r>
      <w:r w:rsidR="006A2F3C">
        <w:instrText xml:space="preserve"> REF _Ref165296530 \w \h </w:instrText>
      </w:r>
      <w:r w:rsidR="006A2F3C">
        <w:fldChar w:fldCharType="separate"/>
      </w:r>
      <w:r w:rsidR="002E5C6A">
        <w:t>23.4</w:t>
      </w:r>
      <w:r w:rsidR="006A2F3C">
        <w:fldChar w:fldCharType="end"/>
      </w:r>
      <w:r>
        <w:t xml:space="preserve"> (“</w:t>
      </w:r>
      <w:r w:rsidR="006A2F3C">
        <w:fldChar w:fldCharType="begin"/>
      </w:r>
      <w:r w:rsidR="006A2F3C">
        <w:instrText xml:space="preserve">  REF _Ref165296530 \h </w:instrText>
      </w:r>
      <w:r w:rsidR="006A2F3C">
        <w:fldChar w:fldCharType="separate"/>
      </w:r>
      <w:r w:rsidR="002E5C6A">
        <w:t>Change in Control</w:t>
      </w:r>
      <w:r w:rsidR="006A2F3C">
        <w:fldChar w:fldCharType="end"/>
      </w:r>
      <w:r>
        <w:t xml:space="preserve">”), as soon as practicable after the occurrence of </w:t>
      </w:r>
      <w:r w:rsidR="00071F83">
        <w:t xml:space="preserve">any </w:t>
      </w:r>
      <w:r>
        <w:t>change</w:t>
      </w:r>
      <w:r w:rsidR="00071F83">
        <w:t>s in the ownership of Project Operator since the assessment of the Tender</w:t>
      </w:r>
      <w:r>
        <w:t xml:space="preserve">: </w:t>
      </w:r>
    </w:p>
    <w:p w14:paraId="7D52BCC1" w14:textId="50D76D10" w:rsidR="006A2F3C" w:rsidRPr="006A2F3C" w:rsidRDefault="2C388DF0" w:rsidP="0058045D">
      <w:pPr>
        <w:pStyle w:val="Heading5"/>
        <w:rPr>
          <w:szCs w:val="18"/>
        </w:rPr>
      </w:pPr>
      <w:r>
        <w:t xml:space="preserve">notify the Commonwealth of </w:t>
      </w:r>
      <w:r w:rsidR="00257042">
        <w:t>any</w:t>
      </w:r>
      <w:r w:rsidR="00071F83">
        <w:t xml:space="preserve"> such</w:t>
      </w:r>
      <w:r w:rsidR="00257042">
        <w:t xml:space="preserve"> </w:t>
      </w:r>
      <w:r>
        <w:t xml:space="preserve">changes; and </w:t>
      </w:r>
    </w:p>
    <w:p w14:paraId="6A2041FB" w14:textId="09120294" w:rsidR="00391C05" w:rsidRPr="00406B52" w:rsidRDefault="2C388DF0" w:rsidP="0058045D">
      <w:pPr>
        <w:pStyle w:val="Heading5"/>
        <w:rPr>
          <w:szCs w:val="18"/>
        </w:rPr>
      </w:pPr>
      <w:r>
        <w:t xml:space="preserve">provide to the Commonwealth updated group structuring diagrams </w:t>
      </w:r>
      <w:r w:rsidR="00257042">
        <w:t xml:space="preserve">showing any </w:t>
      </w:r>
      <w:r w:rsidR="00071F83">
        <w:t xml:space="preserve">such </w:t>
      </w:r>
      <w:r w:rsidR="00257042">
        <w:t>changes</w:t>
      </w:r>
      <w:r>
        <w:t>.</w:t>
      </w:r>
    </w:p>
    <w:p w14:paraId="72901C69" w14:textId="74B8163F" w:rsidR="00007F05" w:rsidRDefault="2C388DF0" w:rsidP="00D9202B">
      <w:pPr>
        <w:pStyle w:val="Heading3"/>
        <w:numPr>
          <w:ilvl w:val="2"/>
          <w:numId w:val="45"/>
        </w:numPr>
      </w:pPr>
      <w:bookmarkStart w:id="2579" w:name="_Ref166578391"/>
      <w:bookmarkStart w:id="2580" w:name="_Ref166143387"/>
      <w:r>
        <w:t xml:space="preserve">Despite paragraph </w:t>
      </w:r>
      <w:r w:rsidR="00406B52">
        <w:fldChar w:fldCharType="begin"/>
      </w:r>
      <w:r w:rsidR="00406B52">
        <w:instrText xml:space="preserve"> REF _Ref166143504 \n \h </w:instrText>
      </w:r>
      <w:r w:rsidR="00406B52">
        <w:fldChar w:fldCharType="separate"/>
      </w:r>
      <w:r w:rsidR="002E5C6A">
        <w:t>(a)</w:t>
      </w:r>
      <w:r w:rsidR="00406B52">
        <w:fldChar w:fldCharType="end"/>
      </w:r>
      <w:r>
        <w:t xml:space="preserve">, Project Operator may enter into a contract or other arrangement (including as part of a </w:t>
      </w:r>
      <w:r w:rsidR="000B6F7D">
        <w:t xml:space="preserve">Bilateral </w:t>
      </w:r>
      <w:r>
        <w:t>Contract) with another person</w:t>
      </w:r>
      <w:r w:rsidR="001D2F9E">
        <w:t xml:space="preserve"> </w:t>
      </w:r>
      <w:bookmarkEnd w:id="2579"/>
      <w:r>
        <w:t>for that person to be registered as “</w:t>
      </w:r>
      <w:r w:rsidR="008A52A5">
        <w:t>I</w:t>
      </w:r>
      <w:r>
        <w:t xml:space="preserve">ntermediary” (as defined in the </w:t>
      </w:r>
      <w:r w:rsidR="004A1236">
        <w:t>ESM Rules</w:t>
      </w:r>
      <w:r>
        <w:t xml:space="preserve">) for Project Operator in respect of the </w:t>
      </w:r>
      <w:r w:rsidR="00DC3789">
        <w:t>Project[ and the Associated Project/and the Existing Project], or another form of contract or other arrangement with a similar effect (“</w:t>
      </w:r>
      <w:r w:rsidR="00DC3789">
        <w:rPr>
          <w:b/>
          <w:bCs/>
        </w:rPr>
        <w:t>Permitted Intermediary Contract</w:t>
      </w:r>
      <w:r w:rsidR="00DC3789">
        <w:t xml:space="preserve">”). </w:t>
      </w:r>
      <w:r w:rsidR="00DC3789">
        <w:rPr>
          <w:highlight w:val="lightGray"/>
        </w:rPr>
        <w:t>[</w:t>
      </w:r>
      <w:r w:rsidR="00DC3789">
        <w:rPr>
          <w:b/>
          <w:bCs/>
          <w:i/>
          <w:iCs/>
          <w:highlight w:val="lightGray"/>
        </w:rPr>
        <w:t>Note: Associated Project and Existing Project wording to be included for all Hybrid Projects and Staged Projects (as applicable).</w:t>
      </w:r>
      <w:r w:rsidR="00DC3789">
        <w:rPr>
          <w:highlight w:val="lightGray"/>
        </w:rPr>
        <w:t>]</w:t>
      </w:r>
      <w:bookmarkStart w:id="2581" w:name="_Ref170478049"/>
    </w:p>
    <w:p w14:paraId="1D9EED5F" w14:textId="77777777" w:rsidR="001D58ED" w:rsidRDefault="2C388DF0" w:rsidP="00D9202B">
      <w:pPr>
        <w:pStyle w:val="Heading3"/>
        <w:keepNext/>
      </w:pPr>
      <w:bookmarkStart w:id="2582" w:name="_Ref170374737"/>
      <w:bookmarkStart w:id="2583" w:name="_Ref179272158"/>
      <w:bookmarkStart w:id="2584" w:name="_Ref166770460"/>
      <w:bookmarkEnd w:id="2581"/>
      <w:r>
        <w:t xml:space="preserve">If there is a Permitted </w:t>
      </w:r>
      <w:r w:rsidR="00B87557">
        <w:t>Intermediary Contract</w:t>
      </w:r>
      <w:r>
        <w:t>, then</w:t>
      </w:r>
      <w:bookmarkEnd w:id="2582"/>
      <w:r w:rsidR="00007F05">
        <w:t>:</w:t>
      </w:r>
      <w:bookmarkEnd w:id="2583"/>
    </w:p>
    <w:p w14:paraId="36306C21" w14:textId="0DCF8428" w:rsidR="008009C4" w:rsidRDefault="49D70CC2" w:rsidP="00D9202B">
      <w:pPr>
        <w:pStyle w:val="Heading4"/>
        <w:keepNext/>
      </w:pPr>
      <w:bookmarkStart w:id="2585" w:name="_Ref166770605"/>
      <w:bookmarkEnd w:id="2584"/>
      <w:r>
        <w:t>in respect of a Permitted Intermediary Contract with a Related Body Corporate of Project Operator (“</w:t>
      </w:r>
      <w:r w:rsidRPr="00A66D32">
        <w:rPr>
          <w:b/>
          <w:bCs/>
        </w:rPr>
        <w:t>RBC Intermediary Contract</w:t>
      </w:r>
      <w:r>
        <w:t>”)</w:t>
      </w:r>
      <w:r w:rsidR="008009C4">
        <w:t xml:space="preserve"> that is not an Eligible Bilateral Contract:</w:t>
      </w:r>
    </w:p>
    <w:p w14:paraId="6C93D26B" w14:textId="77777777" w:rsidR="008009C4" w:rsidRPr="002E5D69" w:rsidRDefault="008009C4" w:rsidP="008009C4">
      <w:pPr>
        <w:pStyle w:val="Heading5"/>
      </w:pPr>
      <w:r w:rsidRPr="002E5D69">
        <w:t xml:space="preserve">any payments received from that Related Body Corporate under the RBC Intermediary Contract </w:t>
      </w:r>
      <w:r>
        <w:t>(“</w:t>
      </w:r>
      <w:r>
        <w:rPr>
          <w:b/>
          <w:bCs/>
        </w:rPr>
        <w:t>Permitted RBC Intermediary Revenue</w:t>
      </w:r>
      <w:r>
        <w:t xml:space="preserve">”) </w:t>
      </w:r>
      <w:r w:rsidRPr="002E5D69">
        <w:t xml:space="preserve">are deemed to be </w:t>
      </w:r>
      <w:r>
        <w:t xml:space="preserve">Operational </w:t>
      </w:r>
      <w:r w:rsidRPr="002E5D69">
        <w:t>Revenue; and</w:t>
      </w:r>
    </w:p>
    <w:p w14:paraId="0DCA6FB6" w14:textId="2C6ADDC2" w:rsidR="008009C4" w:rsidRDefault="49D70CC2" w:rsidP="008009C4">
      <w:pPr>
        <w:pStyle w:val="Heading5"/>
      </w:pPr>
      <w:r>
        <w:t xml:space="preserve">any revenue that would have been </w:t>
      </w:r>
      <w:r w:rsidR="00A66D32">
        <w:t xml:space="preserve">Operational </w:t>
      </w:r>
      <w:r>
        <w:t xml:space="preserve">Revenue had Project Operator not entered into that Permitted Intermediary Contract and registered as a </w:t>
      </w:r>
      <w:r w:rsidR="00A66D32">
        <w:t>M</w:t>
      </w:r>
      <w:r>
        <w:t xml:space="preserve">arket </w:t>
      </w:r>
      <w:r w:rsidR="00A66D32">
        <w:t>P</w:t>
      </w:r>
      <w:r>
        <w:t>articipant in respect of the Project</w:t>
      </w:r>
      <w:r w:rsidR="008009C4">
        <w:t>,</w:t>
      </w:r>
      <w:r>
        <w:t xml:space="preserve"> is deemed to be </w:t>
      </w:r>
      <w:r w:rsidR="009E225F">
        <w:t>Operational Revenue</w:t>
      </w:r>
      <w:r w:rsidR="008009C4">
        <w:t>,</w:t>
      </w:r>
    </w:p>
    <w:p w14:paraId="7505077C" w14:textId="5873C565" w:rsidR="005D2A4E" w:rsidRDefault="49D70CC2" w:rsidP="00E56908">
      <w:pPr>
        <w:pStyle w:val="Heading5"/>
        <w:numPr>
          <w:ilvl w:val="0"/>
          <w:numId w:val="0"/>
        </w:numPr>
        <w:ind w:left="2211"/>
      </w:pPr>
      <w:r>
        <w:t xml:space="preserve">and must be reported by Project Operator to the Commonwealth in accordance with clause </w:t>
      </w:r>
      <w:r w:rsidR="2C388DF0">
        <w:fldChar w:fldCharType="begin"/>
      </w:r>
      <w:r w:rsidR="2C388DF0">
        <w:instrText xml:space="preserve"> REF _Ref163828785 \w \h </w:instrText>
      </w:r>
      <w:r w:rsidR="2C388DF0">
        <w:fldChar w:fldCharType="separate"/>
      </w:r>
      <w:r w:rsidR="002E5C6A">
        <w:t>12.3</w:t>
      </w:r>
      <w:r w:rsidR="2C388DF0">
        <w:fldChar w:fldCharType="end"/>
      </w:r>
      <w:r>
        <w:t xml:space="preserve"> (“</w:t>
      </w:r>
      <w:r w:rsidR="2C388DF0">
        <w:fldChar w:fldCharType="begin"/>
      </w:r>
      <w:r w:rsidR="2C388DF0">
        <w:instrText xml:space="preserve">  REF _Ref163828785 \h </w:instrText>
      </w:r>
      <w:r w:rsidR="2C388DF0">
        <w:fldChar w:fldCharType="separate"/>
      </w:r>
      <w:r w:rsidR="002E5C6A" w:rsidRPr="00F06646">
        <w:t>Revenue reporting</w:t>
      </w:r>
      <w:r w:rsidR="2C388DF0">
        <w:fldChar w:fldCharType="end"/>
      </w:r>
      <w:r>
        <w:t>”); and</w:t>
      </w:r>
      <w:bookmarkEnd w:id="2585"/>
      <w:r>
        <w:t xml:space="preserve"> </w:t>
      </w:r>
    </w:p>
    <w:p w14:paraId="7CDEFD96" w14:textId="64BDF36F" w:rsidR="008009C4" w:rsidRDefault="49D70CC2" w:rsidP="00A66D32">
      <w:pPr>
        <w:pStyle w:val="Heading4"/>
      </w:pPr>
      <w:bookmarkStart w:id="2586" w:name="_Ref170478058"/>
      <w:r>
        <w:t xml:space="preserve">in respect of a Permitted </w:t>
      </w:r>
      <w:r w:rsidR="00220830">
        <w:t xml:space="preserve">Intermediary Contract </w:t>
      </w:r>
      <w:r>
        <w:t>other than an RBC Intermediary Contract</w:t>
      </w:r>
      <w:r w:rsidR="008009C4">
        <w:t xml:space="preserve"> </w:t>
      </w:r>
      <w:r>
        <w:t>any payments received from th</w:t>
      </w:r>
      <w:r w:rsidR="00220830">
        <w:t>e</w:t>
      </w:r>
      <w:r>
        <w:t xml:space="preserve"> other party to th</w:t>
      </w:r>
      <w:r w:rsidR="00220830">
        <w:t>at</w:t>
      </w:r>
      <w:r>
        <w:t xml:space="preserve"> </w:t>
      </w:r>
      <w:r w:rsidR="00F42973">
        <w:t xml:space="preserve">other </w:t>
      </w:r>
      <w:r>
        <w:t xml:space="preserve">Permitted </w:t>
      </w:r>
      <w:r w:rsidR="00220830">
        <w:t xml:space="preserve">Intermediary Contract </w:t>
      </w:r>
      <w:r>
        <w:t>(“</w:t>
      </w:r>
      <w:r w:rsidRPr="00A66D32">
        <w:rPr>
          <w:b/>
          <w:bCs/>
        </w:rPr>
        <w:t xml:space="preserve">Permitted </w:t>
      </w:r>
      <w:r w:rsidR="00220830">
        <w:rPr>
          <w:b/>
          <w:bCs/>
        </w:rPr>
        <w:t xml:space="preserve">Other Intermediary </w:t>
      </w:r>
      <w:r w:rsidRPr="00A66D32">
        <w:rPr>
          <w:b/>
          <w:bCs/>
        </w:rPr>
        <w:t>Revenue</w:t>
      </w:r>
      <w:r>
        <w:t xml:space="preserve">”) </w:t>
      </w:r>
      <w:r w:rsidR="008009C4">
        <w:t>are</w:t>
      </w:r>
      <w:r>
        <w:t xml:space="preserve"> deemed</w:t>
      </w:r>
      <w:r w:rsidR="008009C4">
        <w:t>:</w:t>
      </w:r>
    </w:p>
    <w:p w14:paraId="60F2DDB7" w14:textId="774C5909" w:rsidR="008009C4" w:rsidRDefault="008009C4" w:rsidP="008009C4">
      <w:pPr>
        <w:pStyle w:val="Heading5"/>
      </w:pPr>
      <w:r>
        <w:t>if the Permitted Intermediary Contract is</w:t>
      </w:r>
      <w:r w:rsidR="009E225F">
        <w:t xml:space="preserve"> </w:t>
      </w:r>
      <w:r>
        <w:t xml:space="preserve">an Eligible Bilateral Contract, </w:t>
      </w:r>
      <w:r w:rsidR="49D70CC2">
        <w:t>to be</w:t>
      </w:r>
      <w:r w:rsidR="00007F05">
        <w:t xml:space="preserve"> </w:t>
      </w:r>
      <w:r>
        <w:t>amounts under an Eligible Bilateral Contract for the purposes of</w:t>
      </w:r>
      <w:r w:rsidR="00BC2BE9">
        <w:t xml:space="preserve"> </w:t>
      </w:r>
      <w:r>
        <w:t>paragraph (a) of the definition of Operational Revenue; or</w:t>
      </w:r>
    </w:p>
    <w:p w14:paraId="720EA64D" w14:textId="6A66A5F7" w:rsidR="008009C4" w:rsidRDefault="008009C4" w:rsidP="008009C4">
      <w:pPr>
        <w:pStyle w:val="Heading5"/>
      </w:pPr>
      <w:r>
        <w:t xml:space="preserve">In all other cases, to be </w:t>
      </w:r>
      <w:r w:rsidR="00007F05">
        <w:t>Operational Revenue</w:t>
      </w:r>
      <w:r w:rsidR="00E02626">
        <w:t xml:space="preserve"> </w:t>
      </w:r>
      <w:r>
        <w:t xml:space="preserve">(which will be in addition to any Deemed Bilateral Contact Revenue </w:t>
      </w:r>
      <w:r w:rsidR="009E225F" w:rsidRPr="008F660B">
        <w:t xml:space="preserve">which is deemed under </w:t>
      </w:r>
      <w:r w:rsidR="009E225F">
        <w:fldChar w:fldCharType="begin"/>
      </w:r>
      <w:r w:rsidR="009E225F">
        <w:instrText xml:space="preserve"> REF _Ref103257737 \r \h </w:instrText>
      </w:r>
      <w:r w:rsidR="009E225F">
        <w:fldChar w:fldCharType="separate"/>
      </w:r>
      <w:r w:rsidR="002E5C6A">
        <w:t>Schedule 1</w:t>
      </w:r>
      <w:r w:rsidR="009E225F">
        <w:fldChar w:fldCharType="end"/>
      </w:r>
      <w:r w:rsidR="009E225F" w:rsidRPr="008F660B">
        <w:t xml:space="preserve"> to have been derived in respect of the portion of Notional Quantity attributable to the Permitted Intermediary Contract)</w:t>
      </w:r>
      <w:r w:rsidR="009E225F">
        <w:t>,</w:t>
      </w:r>
    </w:p>
    <w:p w14:paraId="5CFD262B" w14:textId="36422AD9" w:rsidR="00D24B1E" w:rsidRDefault="00E02626" w:rsidP="00E56908">
      <w:pPr>
        <w:pStyle w:val="Heading5"/>
        <w:numPr>
          <w:ilvl w:val="0"/>
          <w:numId w:val="0"/>
        </w:numPr>
        <w:ind w:left="2211"/>
      </w:pPr>
      <w:r>
        <w:t xml:space="preserve">and must be reported by Project Operator to the Commonwealth in accordance with clause </w:t>
      </w:r>
      <w:r>
        <w:fldChar w:fldCharType="begin"/>
      </w:r>
      <w:r>
        <w:instrText xml:space="preserve"> REF _Ref163828785 \w \h </w:instrText>
      </w:r>
      <w:r>
        <w:fldChar w:fldCharType="separate"/>
      </w:r>
      <w:r w:rsidR="002E5C6A">
        <w:t>12.3</w:t>
      </w:r>
      <w:r>
        <w:fldChar w:fldCharType="end"/>
      </w:r>
      <w:r>
        <w:t xml:space="preserve"> (“</w:t>
      </w:r>
      <w:r>
        <w:fldChar w:fldCharType="begin"/>
      </w:r>
      <w:r>
        <w:instrText xml:space="preserve">  REF _Ref163828785 \h </w:instrText>
      </w:r>
      <w:r>
        <w:fldChar w:fldCharType="separate"/>
      </w:r>
      <w:r w:rsidR="002E5C6A" w:rsidRPr="00F06646">
        <w:t>Revenue reporting</w:t>
      </w:r>
      <w:r>
        <w:fldChar w:fldCharType="end"/>
      </w:r>
      <w:r>
        <w:t>”)</w:t>
      </w:r>
      <w:r w:rsidR="00007F05">
        <w:t>.</w:t>
      </w:r>
      <w:bookmarkEnd w:id="2586"/>
    </w:p>
    <w:p w14:paraId="48B4AB26" w14:textId="5448CD11" w:rsidR="008009C4" w:rsidRPr="00E24716" w:rsidRDefault="008009C4" w:rsidP="008009C4">
      <w:pPr>
        <w:pStyle w:val="Indent3"/>
      </w:pPr>
      <w:r>
        <w:t>[</w:t>
      </w:r>
      <w:r w:rsidR="00E24716" w:rsidRPr="008F660B">
        <w:rPr>
          <w:b/>
          <w:bCs/>
          <w:i/>
          <w:iCs/>
          <w:highlight w:val="lightGray"/>
        </w:rPr>
        <w:t>For Permitted Intermediary Contracts, which are not otherwise Eligible Bilateral Contracts, any payments from the third party to Project Operator under the Permitted Intermediary Contract (in addition to any Deemed Bilateral Contract Revenue, which is deemed under Schedule 1 to have been derived in respect of the portion of Notional Quantity attributable to the Permitted Intermediary Contract) will count towards Project Operator’s revenues</w:t>
      </w:r>
      <w:r w:rsidR="00E24716" w:rsidRPr="00E24716">
        <w:rPr>
          <w:b/>
          <w:bCs/>
          <w:i/>
          <w:iCs/>
        </w:rPr>
        <w:t>.</w:t>
      </w:r>
      <w:r w:rsidR="00E24716">
        <w:rPr>
          <w:b/>
          <w:bCs/>
        </w:rPr>
        <w:t>]</w:t>
      </w:r>
    </w:p>
    <w:p w14:paraId="10E28C3B" w14:textId="77777777" w:rsidR="00F356EF" w:rsidRDefault="00F356EF" w:rsidP="0058045D">
      <w:pPr>
        <w:pStyle w:val="Heading2"/>
      </w:pPr>
      <w:bookmarkStart w:id="2587" w:name="_Toc171430554"/>
      <w:bookmarkStart w:id="2588" w:name="_Toc171584259"/>
      <w:bookmarkStart w:id="2589" w:name="_Toc163496135"/>
      <w:bookmarkStart w:id="2590" w:name="_Toc207309595"/>
      <w:bookmarkStart w:id="2591" w:name="_Ref141090882"/>
      <w:bookmarkEnd w:id="2580"/>
      <w:bookmarkEnd w:id="2587"/>
      <w:bookmarkEnd w:id="2588"/>
      <w:bookmarkEnd w:id="2589"/>
      <w:r>
        <w:t>Trading Protocol</w:t>
      </w:r>
      <w:bookmarkEnd w:id="2590"/>
    </w:p>
    <w:p w14:paraId="5E2A70CC" w14:textId="3A85DC8E" w:rsidR="00030F01" w:rsidRDefault="00030F01" w:rsidP="008E4A1B">
      <w:pPr>
        <w:pStyle w:val="Heading3"/>
      </w:pPr>
      <w:r>
        <w:t xml:space="preserve">Project Operator must provide </w:t>
      </w:r>
      <w:r w:rsidR="00257042">
        <w:t xml:space="preserve">to </w:t>
      </w:r>
      <w:r>
        <w:t>the Commonwealth a copy of its Trading Protocol</w:t>
      </w:r>
      <w:r w:rsidR="00257042">
        <w:t>,</w:t>
      </w:r>
      <w:r>
        <w:t xml:space="preserve"> for the information of the Commonwealth</w:t>
      </w:r>
      <w:r w:rsidR="00257042">
        <w:t>,</w:t>
      </w:r>
      <w:r>
        <w:t xml:space="preserve"> on or before Commercial Operation in accordance with clause </w:t>
      </w:r>
      <w:r w:rsidR="00F12177">
        <w:fldChar w:fldCharType="begin"/>
      </w:r>
      <w:r w:rsidR="00F12177">
        <w:instrText xml:space="preserve"> REF _Ref103589240 \w \h </w:instrText>
      </w:r>
      <w:r w:rsidR="00F12177">
        <w:fldChar w:fldCharType="separate"/>
      </w:r>
      <w:r w:rsidR="002E5C6A">
        <w:t>7</w:t>
      </w:r>
      <w:r w:rsidR="00F12177">
        <w:fldChar w:fldCharType="end"/>
      </w:r>
      <w:r w:rsidR="00F12177">
        <w:t xml:space="preserve">. </w:t>
      </w:r>
      <w:r>
        <w:t xml:space="preserve">The Trading Protocol may only be used by the Commonwealth for assessing whether </w:t>
      </w:r>
      <w:r w:rsidR="00F12177">
        <w:t xml:space="preserve">Project </w:t>
      </w:r>
      <w:r>
        <w:t xml:space="preserve">Operator has complied with its obligations arising from or in connection with the Project Documents. </w:t>
      </w:r>
    </w:p>
    <w:p w14:paraId="1D36393F" w14:textId="77777777" w:rsidR="00030F01" w:rsidRDefault="00030F01" w:rsidP="00AF145F">
      <w:pPr>
        <w:pStyle w:val="Heading3"/>
        <w:keepNext/>
      </w:pPr>
      <w:r>
        <w:t xml:space="preserve">As soon as reasonably practicable (and in any event within 15 Business Days) after the end of each Operations Year, </w:t>
      </w:r>
      <w:r w:rsidR="00F12177">
        <w:t>Project</w:t>
      </w:r>
      <w:r>
        <w:t xml:space="preserve"> Operator must provide to the Commonwealth: </w:t>
      </w:r>
    </w:p>
    <w:p w14:paraId="443EF862" w14:textId="7A98F2F3" w:rsidR="00030F01" w:rsidRDefault="00030F01" w:rsidP="008E4A1B">
      <w:pPr>
        <w:pStyle w:val="Heading4"/>
      </w:pPr>
      <w:r>
        <w:t xml:space="preserve">an annual report for that Operations Year outlining whether it operated the </w:t>
      </w:r>
      <w:r w:rsidR="00F12177">
        <w:t>Project</w:t>
      </w:r>
      <w:r w:rsidR="00DC3789">
        <w:t xml:space="preserve"> [and or the [Associated/Existing Project] </w:t>
      </w:r>
      <w:r>
        <w:t>in accordance with the Trading Protocol and</w:t>
      </w:r>
      <w:r w:rsidR="00257042">
        <w:t>,</w:t>
      </w:r>
      <w:r>
        <w:t xml:space="preserve"> if not</w:t>
      </w:r>
      <w:r w:rsidR="00257042">
        <w:t>,</w:t>
      </w:r>
      <w:r>
        <w:t xml:space="preserve"> how the operations of the </w:t>
      </w:r>
      <w:r w:rsidR="00F12177">
        <w:t xml:space="preserve">Project </w:t>
      </w:r>
      <w:r w:rsidR="00DC3789">
        <w:t xml:space="preserve">[and or the [Associated/Existing Project] </w:t>
      </w:r>
      <w:r>
        <w:t xml:space="preserve">differed from the Trading Protocol; and </w:t>
      </w:r>
      <w:r w:rsidR="00DC3789">
        <w:rPr>
          <w:highlight w:val="lightGray"/>
        </w:rPr>
        <w:t>[</w:t>
      </w:r>
      <w:r w:rsidR="00DC3789">
        <w:rPr>
          <w:b/>
          <w:bCs/>
          <w:i/>
          <w:iCs/>
          <w:highlight w:val="lightGray"/>
        </w:rPr>
        <w:t>Note: words in brackets to be included for all Hybrid Projects and Staged Projects (as applicable).</w:t>
      </w:r>
      <w:r w:rsidR="00DC3789">
        <w:rPr>
          <w:highlight w:val="lightGray"/>
        </w:rPr>
        <w:t>]</w:t>
      </w:r>
    </w:p>
    <w:p w14:paraId="3ECBA0EB" w14:textId="6DF180C0" w:rsidR="00F356EF" w:rsidRPr="00F356EF" w:rsidRDefault="00030F01" w:rsidP="008E4A1B">
      <w:pPr>
        <w:pStyle w:val="Heading4"/>
      </w:pPr>
      <w:r>
        <w:t>a revised Trading Protocol for the next Operations Year (to the extent that there is to be any change to the Trading Protocol).</w:t>
      </w:r>
      <w:r w:rsidR="00DC3789">
        <w:t>]</w:t>
      </w:r>
    </w:p>
    <w:p w14:paraId="24E91EA1" w14:textId="77777777" w:rsidR="006E6AA2" w:rsidRPr="00F06646" w:rsidRDefault="2C388DF0" w:rsidP="0058045D">
      <w:pPr>
        <w:pStyle w:val="Heading2"/>
      </w:pPr>
      <w:bookmarkStart w:id="2592" w:name="_Ref170472056"/>
      <w:bookmarkStart w:id="2593" w:name="_Toc207309596"/>
      <w:r w:rsidRPr="00F06646">
        <w:t>Annual Maintenance Program</w:t>
      </w:r>
      <w:bookmarkEnd w:id="2568"/>
      <w:bookmarkEnd w:id="2591"/>
      <w:bookmarkEnd w:id="2592"/>
      <w:bookmarkEnd w:id="2593"/>
    </w:p>
    <w:p w14:paraId="1E48D65D" w14:textId="1AAD17D4" w:rsidR="000A12FB" w:rsidRPr="00F06646" w:rsidRDefault="2C388DF0" w:rsidP="0058045D">
      <w:pPr>
        <w:pStyle w:val="Heading3"/>
      </w:pPr>
      <w:bookmarkStart w:id="2594" w:name="_Ref103351244"/>
      <w:r w:rsidRPr="00F06646">
        <w:t xml:space="preserve">At least 20 Business Days prior to the start of any </w:t>
      </w:r>
      <w:r w:rsidR="009A687B">
        <w:t>Support</w:t>
      </w:r>
      <w:r w:rsidR="009A687B" w:rsidRPr="00F06646">
        <w:t xml:space="preserve"> </w:t>
      </w:r>
      <w:r w:rsidRPr="00F06646">
        <w:t xml:space="preserve">Year </w:t>
      </w:r>
      <w:r w:rsidR="00474C4A" w:rsidRPr="00F06646">
        <w:t xml:space="preserve">during the Support </w:t>
      </w:r>
      <w:r w:rsidR="00DC3789">
        <w:t xml:space="preserve">Receipt </w:t>
      </w:r>
      <w:r w:rsidR="00474C4A" w:rsidRPr="00F06646">
        <w:t>Period</w:t>
      </w:r>
      <w:r w:rsidRPr="00F06646">
        <w:t xml:space="preserve">, Project Operator must provide to the Commonwealth an annual maintenance program that complies with Project Operator’s obligations under clause </w:t>
      </w:r>
      <w:r w:rsidR="006E6AA2" w:rsidRPr="00F06646">
        <w:fldChar w:fldCharType="begin"/>
      </w:r>
      <w:r w:rsidR="006E6AA2" w:rsidRPr="00F06646">
        <w:instrText xml:space="preserve"> REF _Ref101353840 \w \h  \* MERGEFORMAT </w:instrText>
      </w:r>
      <w:r w:rsidR="006E6AA2" w:rsidRPr="00F06646">
        <w:fldChar w:fldCharType="separate"/>
      </w:r>
      <w:r w:rsidR="002E5C6A">
        <w:t>8.9(a)</w:t>
      </w:r>
      <w:r w:rsidR="006E6AA2" w:rsidRPr="00F06646">
        <w:fldChar w:fldCharType="end"/>
      </w:r>
      <w:r w:rsidRPr="00F06646">
        <w:t xml:space="preserve"> (“</w:t>
      </w:r>
      <w:r w:rsidR="006E6AA2" w:rsidRPr="00F06646">
        <w:fldChar w:fldCharType="begin"/>
      </w:r>
      <w:r w:rsidR="006E6AA2" w:rsidRPr="00F06646">
        <w:instrText xml:space="preserve">  REF _Ref94884505 \h  \* MERGEFORMAT </w:instrText>
      </w:r>
      <w:r w:rsidR="006E6AA2" w:rsidRPr="00F06646">
        <w:fldChar w:fldCharType="separate"/>
      </w:r>
      <w:r w:rsidR="002E5C6A">
        <w:t>Maintenance</w:t>
      </w:r>
      <w:r w:rsidR="006E6AA2" w:rsidRPr="00F06646">
        <w:fldChar w:fldCharType="end"/>
      </w:r>
      <w:r w:rsidRPr="00F06646">
        <w:t>”) (“</w:t>
      </w:r>
      <w:r w:rsidRPr="00F06646">
        <w:rPr>
          <w:b/>
          <w:bCs/>
        </w:rPr>
        <w:t>Annual</w:t>
      </w:r>
      <w:r w:rsidRPr="00F06646">
        <w:t xml:space="preserve"> </w:t>
      </w:r>
      <w:r w:rsidRPr="00F06646">
        <w:rPr>
          <w:b/>
          <w:bCs/>
        </w:rPr>
        <w:t>Maintenance Program</w:t>
      </w:r>
      <w:r w:rsidRPr="00F06646">
        <w:t>”).</w:t>
      </w:r>
      <w:bookmarkEnd w:id="2594"/>
    </w:p>
    <w:p w14:paraId="6B547963" w14:textId="59CD64E8" w:rsidR="006E6AA2" w:rsidRPr="009457B5" w:rsidRDefault="00A14B43" w:rsidP="0058045D">
      <w:pPr>
        <w:pStyle w:val="Heading3"/>
      </w:pPr>
      <w:bookmarkStart w:id="2595" w:name="_Ref104204990"/>
      <w:r w:rsidRPr="00A14B43">
        <w:t>Within 20 Business Days after receipt of an Annual Maintenance Program, the Commonwealth may request any changes that it considers (acting reasonably) are appropriate or otherwise required to meet the requirements of this agreement or any applicable Law (including compliance with the Social Licence Commitments and any applicable work health and safety and environmental obligations</w:t>
      </w:r>
      <w:r w:rsidR="2C388DF0">
        <w:t>).</w:t>
      </w:r>
      <w:bookmarkEnd w:id="2595"/>
    </w:p>
    <w:p w14:paraId="22C1AF5F" w14:textId="6E76A83B" w:rsidR="009A6581" w:rsidRPr="007C4A7B" w:rsidRDefault="2C388DF0" w:rsidP="0058045D">
      <w:pPr>
        <w:pStyle w:val="Heading3"/>
      </w:pPr>
      <w:r>
        <w:t xml:space="preserve">If the Commonwealth requests a change to an Annual Maintenance Program in accordance with paragraph </w:t>
      </w:r>
      <w:r w:rsidR="00A57625">
        <w:fldChar w:fldCharType="begin"/>
      </w:r>
      <w:r w:rsidR="00A57625">
        <w:instrText xml:space="preserve"> REF _Ref104204990 \n \h  \* MERGEFORMAT </w:instrText>
      </w:r>
      <w:r w:rsidR="00A57625">
        <w:fldChar w:fldCharType="separate"/>
      </w:r>
      <w:r w:rsidR="002E5C6A">
        <w:t>(b)</w:t>
      </w:r>
      <w:r w:rsidR="00A57625">
        <w:fldChar w:fldCharType="end"/>
      </w:r>
      <w:r>
        <w:t xml:space="preserve">, then Project Operator must: </w:t>
      </w:r>
    </w:p>
    <w:p w14:paraId="7B719245" w14:textId="77777777" w:rsidR="009A6581" w:rsidRPr="007C4A7B" w:rsidRDefault="2C388DF0" w:rsidP="0058045D">
      <w:pPr>
        <w:pStyle w:val="Heading4"/>
      </w:pPr>
      <w:r>
        <w:t xml:space="preserve">consider (acting reasonably and in good faith) the requested changes; and </w:t>
      </w:r>
    </w:p>
    <w:p w14:paraId="4F055B33" w14:textId="77777777" w:rsidR="009A6581" w:rsidRPr="007C4A7B" w:rsidRDefault="2C388DF0" w:rsidP="0058045D">
      <w:pPr>
        <w:pStyle w:val="Heading4"/>
      </w:pPr>
      <w:r>
        <w:t>resubmit or confirm (as applicable) the Annual Maintenance Program,</w:t>
      </w:r>
    </w:p>
    <w:p w14:paraId="1B88905E" w14:textId="77777777" w:rsidR="006E6AA2" w:rsidRPr="007C4A7B" w:rsidRDefault="2BC382E4" w:rsidP="003A24AE">
      <w:pPr>
        <w:pStyle w:val="Heading4"/>
        <w:numPr>
          <w:ilvl w:val="0"/>
          <w:numId w:val="0"/>
        </w:numPr>
        <w:ind w:left="1474"/>
      </w:pPr>
      <w:r>
        <w:t>within 20 Business Days after the Commonwealth’s request.</w:t>
      </w:r>
    </w:p>
    <w:p w14:paraId="61171BA5" w14:textId="77777777" w:rsidR="00057F0D" w:rsidRPr="00057F0D" w:rsidRDefault="2C388DF0" w:rsidP="0058045D">
      <w:pPr>
        <w:pStyle w:val="Heading2"/>
      </w:pPr>
      <w:bookmarkStart w:id="2596" w:name="_Toc56502161"/>
      <w:bookmarkStart w:id="2597" w:name="_Toc56502422"/>
      <w:bookmarkStart w:id="2598" w:name="_Toc56502683"/>
      <w:bookmarkStart w:id="2599" w:name="_Ref94884505"/>
      <w:bookmarkStart w:id="2600" w:name="_Ref94884864"/>
      <w:bookmarkStart w:id="2601" w:name="_Toc207309597"/>
      <w:bookmarkStart w:id="2602" w:name="_Toc515358916"/>
      <w:bookmarkStart w:id="2603" w:name="_Ref492491154"/>
      <w:bookmarkStart w:id="2604" w:name="_Toc492504768"/>
      <w:bookmarkStart w:id="2605" w:name="_Toc515358920"/>
      <w:bookmarkStart w:id="2606" w:name="_Toc515470226"/>
      <w:bookmarkStart w:id="2607" w:name="_Ref225839376"/>
      <w:bookmarkStart w:id="2608" w:name="_Toc240354966"/>
      <w:bookmarkStart w:id="2609" w:name="_Ref467051300"/>
      <w:bookmarkEnd w:id="2596"/>
      <w:bookmarkEnd w:id="2597"/>
      <w:bookmarkEnd w:id="2598"/>
      <w:r>
        <w:t>Maintenance</w:t>
      </w:r>
      <w:bookmarkEnd w:id="2599"/>
      <w:bookmarkEnd w:id="2600"/>
      <w:bookmarkEnd w:id="2601"/>
    </w:p>
    <w:p w14:paraId="4E8C7D4E" w14:textId="38DCBE6A" w:rsidR="005E5D9C" w:rsidRDefault="2C388DF0" w:rsidP="0058045D">
      <w:pPr>
        <w:pStyle w:val="Heading3"/>
      </w:pPr>
      <w:bookmarkStart w:id="2610" w:name="_Ref101353840"/>
      <w:bookmarkStart w:id="2611" w:name="_Toc515358917"/>
      <w:bookmarkEnd w:id="2602"/>
      <w:r>
        <w:t xml:space="preserve">Unless otherwise consented to by the Commonwealth, during </w:t>
      </w:r>
      <w:r w:rsidR="000F38FD">
        <w:t xml:space="preserve">the Support </w:t>
      </w:r>
      <w:r w:rsidR="00DC3789">
        <w:t xml:space="preserve">Receipt </w:t>
      </w:r>
      <w:r w:rsidR="000F38FD">
        <w:t>Period</w:t>
      </w:r>
      <w:r>
        <w:t>, Project Operator must use its best endeavours to schedule and undertake at times outside of the Peak Period, any planned maintenance that is reasonably likely to affect the available capacity of the Project</w:t>
      </w:r>
      <w:bookmarkEnd w:id="2610"/>
      <w:r>
        <w:t>.</w:t>
      </w:r>
    </w:p>
    <w:bookmarkEnd w:id="2611"/>
    <w:p w14:paraId="7EAFF68B" w14:textId="587BD813" w:rsidR="00BB24EA" w:rsidRPr="00847C21" w:rsidRDefault="2C388DF0" w:rsidP="0058045D">
      <w:pPr>
        <w:pStyle w:val="Heading3"/>
      </w:pPr>
      <w:r w:rsidRPr="00847C21">
        <w:t xml:space="preserve">Nothing in this clause </w:t>
      </w:r>
      <w:r w:rsidR="00057FBA" w:rsidRPr="00847C21">
        <w:fldChar w:fldCharType="begin"/>
      </w:r>
      <w:r w:rsidR="00057FBA" w:rsidRPr="00847C21">
        <w:instrText xml:space="preserve"> REF _Ref94884505 \w \h </w:instrText>
      </w:r>
      <w:r w:rsidR="00801FA4">
        <w:instrText xml:space="preserve"> \* MERGEFORMAT </w:instrText>
      </w:r>
      <w:r w:rsidR="00057FBA" w:rsidRPr="00847C21">
        <w:fldChar w:fldCharType="separate"/>
      </w:r>
      <w:r w:rsidR="002E5C6A">
        <w:t>8.9</w:t>
      </w:r>
      <w:r w:rsidR="00057FBA" w:rsidRPr="00847C21">
        <w:fldChar w:fldCharType="end"/>
      </w:r>
      <w:r w:rsidRPr="00847C21">
        <w:t xml:space="preserve"> prevents Project Operator from undertaking</w:t>
      </w:r>
      <w:r w:rsidR="007E4657" w:rsidRPr="00847C21">
        <w:t xml:space="preserve"> </w:t>
      </w:r>
      <w:r w:rsidR="007E4657" w:rsidRPr="008F660B">
        <w:t>during the Peak Period</w:t>
      </w:r>
      <w:r w:rsidR="00BB24EA" w:rsidRPr="00847C21">
        <w:t>:</w:t>
      </w:r>
      <w:r w:rsidRPr="00847C21">
        <w:t xml:space="preserve"> </w:t>
      </w:r>
    </w:p>
    <w:p w14:paraId="3F923133" w14:textId="77777777" w:rsidR="00057FBA" w:rsidRDefault="2C388DF0" w:rsidP="00131021">
      <w:pPr>
        <w:pStyle w:val="Heading4"/>
      </w:pPr>
      <w:r>
        <w:t>emergency maintenance or repairs in accordance with Good Industry Practice that are:</w:t>
      </w:r>
    </w:p>
    <w:p w14:paraId="6676515C" w14:textId="77777777" w:rsidR="00057FBA" w:rsidRDefault="2C388DF0" w:rsidP="00131021">
      <w:pPr>
        <w:pStyle w:val="Heading5"/>
      </w:pPr>
      <w:r>
        <w:t>necessary to prevent injury or damage to the environment or equipment; or</w:t>
      </w:r>
    </w:p>
    <w:p w14:paraId="641C1C79" w14:textId="4E7FA6BA" w:rsidR="00BB24EA" w:rsidRDefault="2C388DF0" w:rsidP="00BB24EA">
      <w:pPr>
        <w:pStyle w:val="Heading5"/>
      </w:pPr>
      <w:r>
        <w:t>required to maintain manufacturers</w:t>
      </w:r>
      <w:r w:rsidR="00DC3789">
        <w:t>’</w:t>
      </w:r>
      <w:r>
        <w:t xml:space="preserve"> warranties</w:t>
      </w:r>
      <w:r w:rsidR="00BB24EA">
        <w:t>; or</w:t>
      </w:r>
    </w:p>
    <w:p w14:paraId="257D36EF" w14:textId="122BFC8C" w:rsidR="00057FBA" w:rsidRPr="00847C21" w:rsidRDefault="00BB24EA" w:rsidP="00BB24EA">
      <w:pPr>
        <w:pStyle w:val="Heading4"/>
      </w:pPr>
      <w:r>
        <w:t xml:space="preserve">maintenance or repairs required to be undertaken at a particular time or during a particular period or otherwise as directed by AEMO, in each </w:t>
      </w:r>
      <w:r w:rsidRPr="00847C21">
        <w:t xml:space="preserve">case, in accordance with the </w:t>
      </w:r>
      <w:r w:rsidR="004A1236" w:rsidRPr="00847C21">
        <w:t>ESM Rules</w:t>
      </w:r>
      <w:r w:rsidR="2C388DF0" w:rsidRPr="00847C21">
        <w:t xml:space="preserve">, </w:t>
      </w:r>
    </w:p>
    <w:p w14:paraId="4FB134A8" w14:textId="2E18EF4E" w:rsidR="00E9496B" w:rsidRPr="00847C21" w:rsidRDefault="00257042" w:rsidP="003A24AE">
      <w:pPr>
        <w:pStyle w:val="Heading4"/>
        <w:numPr>
          <w:ilvl w:val="0"/>
          <w:numId w:val="0"/>
        </w:numPr>
        <w:ind w:left="1474"/>
        <w:rPr>
          <w:szCs w:val="18"/>
        </w:rPr>
      </w:pPr>
      <w:r w:rsidRPr="00847C21">
        <w:t xml:space="preserve">if they </w:t>
      </w:r>
      <w:r w:rsidR="2BC382E4" w:rsidRPr="00847C21">
        <w:t>cannot reasonably be rescheduled or deferred</w:t>
      </w:r>
      <w:r w:rsidR="007E4657" w:rsidRPr="00847C21">
        <w:t xml:space="preserve"> </w:t>
      </w:r>
      <w:r w:rsidR="007E4657" w:rsidRPr="008F660B">
        <w:t>to be undertaken outside the Peak Period</w:t>
      </w:r>
      <w:r w:rsidR="2BC382E4" w:rsidRPr="00847C21">
        <w:t xml:space="preserve">. </w:t>
      </w:r>
    </w:p>
    <w:p w14:paraId="5C3DF5F5" w14:textId="77777777" w:rsidR="00F52328" w:rsidRPr="00847C21" w:rsidRDefault="2C388DF0" w:rsidP="0058045D">
      <w:pPr>
        <w:pStyle w:val="Heading2"/>
        <w:rPr>
          <w:szCs w:val="18"/>
        </w:rPr>
      </w:pPr>
      <w:bookmarkStart w:id="2612" w:name="_Ref103871650"/>
      <w:bookmarkStart w:id="2613" w:name="_Ref103871662"/>
      <w:bookmarkStart w:id="2614" w:name="_Toc207309598"/>
      <w:r w:rsidRPr="00847C21">
        <w:t>Adjustment to Peak Periods</w:t>
      </w:r>
      <w:bookmarkEnd w:id="2612"/>
      <w:bookmarkEnd w:id="2613"/>
      <w:bookmarkEnd w:id="2614"/>
    </w:p>
    <w:p w14:paraId="5011AB8B" w14:textId="3C844B92" w:rsidR="00E97940" w:rsidRPr="00847C21" w:rsidRDefault="00DB04E2" w:rsidP="003A24AE">
      <w:pPr>
        <w:pStyle w:val="Indent2"/>
      </w:pPr>
      <w:r w:rsidRPr="00847C21">
        <w:rPr>
          <w:szCs w:val="18"/>
        </w:rPr>
        <w:t>If</w:t>
      </w:r>
      <w:r w:rsidR="00F52328" w:rsidRPr="00847C21">
        <w:rPr>
          <w:szCs w:val="18"/>
        </w:rPr>
        <w:t xml:space="preserve"> </w:t>
      </w:r>
      <w:r w:rsidR="00BE77D6" w:rsidRPr="00847C21">
        <w:rPr>
          <w:szCs w:val="18"/>
        </w:rPr>
        <w:t>the Commonwealth</w:t>
      </w:r>
      <w:r w:rsidR="00F52328" w:rsidRPr="00847C21">
        <w:rPr>
          <w:szCs w:val="18"/>
        </w:rPr>
        <w:t xml:space="preserve"> considers </w:t>
      </w:r>
      <w:r w:rsidRPr="00847C21">
        <w:rPr>
          <w:szCs w:val="18"/>
        </w:rPr>
        <w:t xml:space="preserve">that an adjustment to the Peak Period </w:t>
      </w:r>
      <w:r w:rsidR="00F52328" w:rsidRPr="00847C21">
        <w:rPr>
          <w:szCs w:val="18"/>
        </w:rPr>
        <w:t xml:space="preserve">is </w:t>
      </w:r>
      <w:r w:rsidR="00432AF9" w:rsidRPr="00847C21">
        <w:rPr>
          <w:szCs w:val="18"/>
        </w:rPr>
        <w:t>appropriate</w:t>
      </w:r>
      <w:r w:rsidR="00F52328" w:rsidRPr="00847C21">
        <w:rPr>
          <w:szCs w:val="18"/>
        </w:rPr>
        <w:t xml:space="preserve"> to reflect changes in electricity demand and peak</w:t>
      </w:r>
      <w:r w:rsidR="00D52E8A" w:rsidRPr="00847C21">
        <w:rPr>
          <w:szCs w:val="18"/>
        </w:rPr>
        <w:t xml:space="preserve"> </w:t>
      </w:r>
      <w:r w:rsidR="00DC3789" w:rsidRPr="00847C21">
        <w:rPr>
          <w:szCs w:val="18"/>
        </w:rPr>
        <w:t xml:space="preserve">Final Reference Trading </w:t>
      </w:r>
      <w:r w:rsidR="00D52E8A" w:rsidRPr="00847C21">
        <w:rPr>
          <w:szCs w:val="18"/>
        </w:rPr>
        <w:t>Prices</w:t>
      </w:r>
      <w:r w:rsidR="00F52328" w:rsidRPr="00847C21">
        <w:rPr>
          <w:szCs w:val="18"/>
        </w:rPr>
        <w:t xml:space="preserve"> applicable in </w:t>
      </w:r>
      <w:r w:rsidR="001117F7" w:rsidRPr="00847C21">
        <w:rPr>
          <w:szCs w:val="18"/>
        </w:rPr>
        <w:t xml:space="preserve">the </w:t>
      </w:r>
      <w:r w:rsidR="00B12BEB" w:rsidRPr="00847C21">
        <w:rPr>
          <w:szCs w:val="18"/>
        </w:rPr>
        <w:t>Relevant Jurisdiction</w:t>
      </w:r>
      <w:r w:rsidR="00432AF9" w:rsidRPr="00847C21">
        <w:rPr>
          <w:szCs w:val="18"/>
        </w:rPr>
        <w:t>,</w:t>
      </w:r>
      <w:r w:rsidRPr="00847C21">
        <w:rPr>
          <w:szCs w:val="18"/>
        </w:rPr>
        <w:t xml:space="preserve"> then </w:t>
      </w:r>
      <w:r w:rsidR="00BE77D6" w:rsidRPr="00847C21">
        <w:rPr>
          <w:szCs w:val="18"/>
        </w:rPr>
        <w:t>the Commonwealth</w:t>
      </w:r>
      <w:r w:rsidRPr="00847C21">
        <w:rPr>
          <w:szCs w:val="18"/>
        </w:rPr>
        <w:t xml:space="preserve"> may</w:t>
      </w:r>
      <w:r w:rsidR="00DD003A" w:rsidRPr="00847C21">
        <w:rPr>
          <w:szCs w:val="18"/>
        </w:rPr>
        <w:t>, by giving at least</w:t>
      </w:r>
      <w:r w:rsidR="007E4657" w:rsidRPr="00847C21">
        <w:rPr>
          <w:szCs w:val="18"/>
        </w:rPr>
        <w:t xml:space="preserve"> three</w:t>
      </w:r>
      <w:r w:rsidR="00DD003A" w:rsidRPr="00847C21">
        <w:rPr>
          <w:szCs w:val="18"/>
        </w:rPr>
        <w:t xml:space="preserve"> </w:t>
      </w:r>
      <w:r w:rsidR="007E4657" w:rsidRPr="00847C21">
        <w:rPr>
          <w:szCs w:val="18"/>
        </w:rPr>
        <w:t>(</w:t>
      </w:r>
      <w:r w:rsidR="00DD003A" w:rsidRPr="00847C21">
        <w:rPr>
          <w:szCs w:val="18"/>
        </w:rPr>
        <w:t>3</w:t>
      </w:r>
      <w:r w:rsidR="007E4657" w:rsidRPr="00847C21">
        <w:rPr>
          <w:szCs w:val="18"/>
        </w:rPr>
        <w:t>)</w:t>
      </w:r>
      <w:r w:rsidR="00DD003A" w:rsidRPr="00847C21">
        <w:rPr>
          <w:szCs w:val="18"/>
        </w:rPr>
        <w:t xml:space="preserve"> years</w:t>
      </w:r>
      <w:r w:rsidR="00BF7D4F" w:rsidRPr="00847C21">
        <w:rPr>
          <w:szCs w:val="18"/>
        </w:rPr>
        <w:t>’</w:t>
      </w:r>
      <w:r w:rsidR="00DD003A" w:rsidRPr="00847C21">
        <w:rPr>
          <w:szCs w:val="18"/>
        </w:rPr>
        <w:t xml:space="preserve"> prior notice to </w:t>
      </w:r>
      <w:r w:rsidR="00411B14" w:rsidRPr="00847C21">
        <w:rPr>
          <w:szCs w:val="18"/>
        </w:rPr>
        <w:t>Project Operator</w:t>
      </w:r>
      <w:r w:rsidR="00DD003A" w:rsidRPr="00847C21">
        <w:rPr>
          <w:szCs w:val="18"/>
        </w:rPr>
        <w:t>,</w:t>
      </w:r>
      <w:r w:rsidRPr="00847C21">
        <w:rPr>
          <w:szCs w:val="18"/>
        </w:rPr>
        <w:t xml:space="preserve"> make such adjustment,</w:t>
      </w:r>
      <w:r w:rsidR="00F52328" w:rsidRPr="00847C21">
        <w:rPr>
          <w:szCs w:val="18"/>
        </w:rPr>
        <w:t xml:space="preserve"> provided that</w:t>
      </w:r>
      <w:r w:rsidR="00DD003A" w:rsidRPr="00847C21">
        <w:rPr>
          <w:szCs w:val="18"/>
        </w:rPr>
        <w:t xml:space="preserve"> </w:t>
      </w:r>
      <w:r w:rsidR="00F52328" w:rsidRPr="00847C21">
        <w:rPr>
          <w:szCs w:val="18"/>
        </w:rPr>
        <w:t xml:space="preserve">the </w:t>
      </w:r>
      <w:r w:rsidR="00F52328" w:rsidRPr="00847C21">
        <w:t>duration</w:t>
      </w:r>
      <w:r w:rsidR="00F52328" w:rsidRPr="00847C21">
        <w:rPr>
          <w:szCs w:val="18"/>
        </w:rPr>
        <w:t xml:space="preserve"> of the Peak </w:t>
      </w:r>
      <w:r w:rsidR="00F52328" w:rsidRPr="00847C21">
        <w:t>Period</w:t>
      </w:r>
      <w:r w:rsidR="00F52328" w:rsidRPr="00847C21">
        <w:rPr>
          <w:szCs w:val="18"/>
        </w:rPr>
        <w:t xml:space="preserve"> cannot exceed </w:t>
      </w:r>
      <w:r w:rsidR="007E4657" w:rsidRPr="00847C21">
        <w:rPr>
          <w:szCs w:val="18"/>
        </w:rPr>
        <w:t>four (</w:t>
      </w:r>
      <w:r w:rsidR="00F52328" w:rsidRPr="00847C21">
        <w:rPr>
          <w:szCs w:val="18"/>
        </w:rPr>
        <w:t>4</w:t>
      </w:r>
      <w:r w:rsidR="007E4657" w:rsidRPr="00847C21">
        <w:rPr>
          <w:szCs w:val="18"/>
        </w:rPr>
        <w:t>)</w:t>
      </w:r>
      <w:r w:rsidR="00F52328" w:rsidRPr="00847C21">
        <w:rPr>
          <w:szCs w:val="18"/>
        </w:rPr>
        <w:t xml:space="preserve"> months in a year.</w:t>
      </w:r>
    </w:p>
    <w:p w14:paraId="50EED0C8" w14:textId="77777777" w:rsidR="00890F57" w:rsidRPr="00847C21" w:rsidRDefault="00890F57" w:rsidP="0058045D">
      <w:pPr>
        <w:pStyle w:val="Heading1"/>
      </w:pPr>
      <w:bookmarkStart w:id="2615" w:name="_Toc94885391"/>
      <w:bookmarkStart w:id="2616" w:name="_Toc94885826"/>
      <w:bookmarkStart w:id="2617" w:name="_Toc94886267"/>
      <w:bookmarkStart w:id="2618" w:name="_Toc99723393"/>
      <w:bookmarkStart w:id="2619" w:name="_Toc94885392"/>
      <w:bookmarkStart w:id="2620" w:name="_Toc94885827"/>
      <w:bookmarkStart w:id="2621" w:name="_Toc94886268"/>
      <w:bookmarkStart w:id="2622" w:name="_Toc99723394"/>
      <w:bookmarkStart w:id="2623" w:name="_Toc94885393"/>
      <w:bookmarkStart w:id="2624" w:name="_Toc94885828"/>
      <w:bookmarkStart w:id="2625" w:name="_Toc94886269"/>
      <w:bookmarkStart w:id="2626" w:name="_Toc99723395"/>
      <w:bookmarkStart w:id="2627" w:name="_Toc94885394"/>
      <w:bookmarkStart w:id="2628" w:name="_Toc94885829"/>
      <w:bookmarkStart w:id="2629" w:name="_Toc94886270"/>
      <w:bookmarkStart w:id="2630" w:name="_Toc99723396"/>
      <w:bookmarkStart w:id="2631" w:name="_Toc94885395"/>
      <w:bookmarkStart w:id="2632" w:name="_Toc94885830"/>
      <w:bookmarkStart w:id="2633" w:name="_Toc94886271"/>
      <w:bookmarkStart w:id="2634" w:name="_Toc99723397"/>
      <w:bookmarkStart w:id="2635" w:name="_Toc94885396"/>
      <w:bookmarkStart w:id="2636" w:name="_Toc94885831"/>
      <w:bookmarkStart w:id="2637" w:name="_Toc94886272"/>
      <w:bookmarkStart w:id="2638" w:name="_Toc99723398"/>
      <w:bookmarkStart w:id="2639" w:name="_Toc94885397"/>
      <w:bookmarkStart w:id="2640" w:name="_Toc94885832"/>
      <w:bookmarkStart w:id="2641" w:name="_Toc94886273"/>
      <w:bookmarkStart w:id="2642" w:name="_Toc99723399"/>
      <w:bookmarkStart w:id="2643" w:name="_Toc94885398"/>
      <w:bookmarkStart w:id="2644" w:name="_Toc94885833"/>
      <w:bookmarkStart w:id="2645" w:name="_Toc94886274"/>
      <w:bookmarkStart w:id="2646" w:name="_Toc99723400"/>
      <w:bookmarkStart w:id="2647" w:name="_Toc94885399"/>
      <w:bookmarkStart w:id="2648" w:name="_Toc94885834"/>
      <w:bookmarkStart w:id="2649" w:name="_Toc94886275"/>
      <w:bookmarkStart w:id="2650" w:name="_Toc99723401"/>
      <w:bookmarkStart w:id="2651" w:name="_Toc94885400"/>
      <w:bookmarkStart w:id="2652" w:name="_Toc94885835"/>
      <w:bookmarkStart w:id="2653" w:name="_Toc94886276"/>
      <w:bookmarkStart w:id="2654" w:name="_Toc99723402"/>
      <w:bookmarkStart w:id="2655" w:name="_Toc94885401"/>
      <w:bookmarkStart w:id="2656" w:name="_Toc94885836"/>
      <w:bookmarkStart w:id="2657" w:name="_Toc94886277"/>
      <w:bookmarkStart w:id="2658" w:name="_Toc99723403"/>
      <w:bookmarkStart w:id="2659" w:name="_Toc94885402"/>
      <w:bookmarkStart w:id="2660" w:name="_Toc94885837"/>
      <w:bookmarkStart w:id="2661" w:name="_Toc94886278"/>
      <w:bookmarkStart w:id="2662" w:name="_Toc99723404"/>
      <w:bookmarkStart w:id="2663" w:name="_Toc94885403"/>
      <w:bookmarkStart w:id="2664" w:name="_Toc94885838"/>
      <w:bookmarkStart w:id="2665" w:name="_Toc94886279"/>
      <w:bookmarkStart w:id="2666" w:name="_Toc99723405"/>
      <w:bookmarkStart w:id="2667" w:name="_Toc94885404"/>
      <w:bookmarkStart w:id="2668" w:name="_Toc94885839"/>
      <w:bookmarkStart w:id="2669" w:name="_Toc94886280"/>
      <w:bookmarkStart w:id="2670" w:name="_Toc99723406"/>
      <w:bookmarkStart w:id="2671" w:name="_Toc94885405"/>
      <w:bookmarkStart w:id="2672" w:name="_Toc94885840"/>
      <w:bookmarkStart w:id="2673" w:name="_Toc94886281"/>
      <w:bookmarkStart w:id="2674" w:name="_Toc99723407"/>
      <w:bookmarkStart w:id="2675" w:name="_Toc94885406"/>
      <w:bookmarkStart w:id="2676" w:name="_Toc94885841"/>
      <w:bookmarkStart w:id="2677" w:name="_Toc94886282"/>
      <w:bookmarkStart w:id="2678" w:name="_Toc99723408"/>
      <w:bookmarkStart w:id="2679" w:name="_Toc94885407"/>
      <w:bookmarkStart w:id="2680" w:name="_Toc94885842"/>
      <w:bookmarkStart w:id="2681" w:name="_Toc94886283"/>
      <w:bookmarkStart w:id="2682" w:name="_Toc99723409"/>
      <w:bookmarkStart w:id="2683" w:name="_Toc94885408"/>
      <w:bookmarkStart w:id="2684" w:name="_Toc94885843"/>
      <w:bookmarkStart w:id="2685" w:name="_Toc94886284"/>
      <w:bookmarkStart w:id="2686" w:name="_Toc99723410"/>
      <w:bookmarkStart w:id="2687" w:name="_Toc94885409"/>
      <w:bookmarkStart w:id="2688" w:name="_Toc94885844"/>
      <w:bookmarkStart w:id="2689" w:name="_Toc94886285"/>
      <w:bookmarkStart w:id="2690" w:name="_Toc99723411"/>
      <w:bookmarkStart w:id="2691" w:name="_Toc94885410"/>
      <w:bookmarkStart w:id="2692" w:name="_Toc94885845"/>
      <w:bookmarkStart w:id="2693" w:name="_Toc94886286"/>
      <w:bookmarkStart w:id="2694" w:name="_Toc99723412"/>
      <w:bookmarkStart w:id="2695" w:name="_Toc94885411"/>
      <w:bookmarkStart w:id="2696" w:name="_Toc94885846"/>
      <w:bookmarkStart w:id="2697" w:name="_Toc94886287"/>
      <w:bookmarkStart w:id="2698" w:name="_Toc99723413"/>
      <w:bookmarkStart w:id="2699" w:name="_Ref159345993"/>
      <w:bookmarkStart w:id="2700" w:name="_Toc207309599"/>
      <w:bookmarkStart w:id="2701" w:name="_Toc492504769"/>
      <w:bookmarkStart w:id="2702" w:name="_Toc515358924"/>
      <w:bookmarkStart w:id="2703" w:name="_Toc515470227"/>
      <w:bookmarkStart w:id="2704" w:name="_Ref467049307"/>
      <w:bookmarkEnd w:id="2603"/>
      <w:bookmarkEnd w:id="2604"/>
      <w:bookmarkEnd w:id="2605"/>
      <w:bookmarkEnd w:id="2606"/>
      <w:bookmarkEnd w:id="2607"/>
      <w:bookmarkEnd w:id="2608"/>
      <w:bookmarkEnd w:id="2609"/>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r w:rsidRPr="00847C21">
        <w:t>Insurance</w:t>
      </w:r>
      <w:bookmarkEnd w:id="2699"/>
      <w:bookmarkEnd w:id="2700"/>
    </w:p>
    <w:p w14:paraId="74CC67F6" w14:textId="65C79DEA" w:rsidR="007036EF" w:rsidRPr="00847C21" w:rsidRDefault="2C388DF0" w:rsidP="003A24AE">
      <w:pPr>
        <w:pStyle w:val="Heading3"/>
        <w:rPr>
          <w:lang w:eastAsia="en-AU"/>
        </w:rPr>
      </w:pPr>
      <w:bookmarkStart w:id="2705" w:name="_Ref160872282"/>
      <w:r w:rsidRPr="00847C21">
        <w:rPr>
          <w:lang w:eastAsia="en-AU"/>
        </w:rPr>
        <w:t xml:space="preserve">Project Operator must, at its sole cost, </w:t>
      </w:r>
      <w:r w:rsidRPr="00847C21">
        <w:t>take</w:t>
      </w:r>
      <w:r w:rsidRPr="00847C21">
        <w:rPr>
          <w:lang w:eastAsia="en-AU"/>
        </w:rPr>
        <w:t xml:space="preserve"> out and maintain (or cause to be taken out and maintained) </w:t>
      </w:r>
      <w:r w:rsidR="007E4657" w:rsidRPr="008F660B">
        <w:t xml:space="preserve">for at least the stated </w:t>
      </w:r>
      <w:r w:rsidR="00B753EE" w:rsidRPr="008F660B">
        <w:t>periods</w:t>
      </w:r>
      <w:r w:rsidR="00B753EE" w:rsidRPr="00847C21">
        <w:t>, insurance</w:t>
      </w:r>
      <w:r w:rsidRPr="00847C21">
        <w:rPr>
          <w:lang w:eastAsia="en-AU"/>
        </w:rPr>
        <w:t xml:space="preserve"> policies in relation to the Project </w:t>
      </w:r>
      <w:r w:rsidR="0000302F">
        <w:rPr>
          <w:lang w:eastAsia="en-AU"/>
        </w:rPr>
        <w:t>[</w:t>
      </w:r>
      <w:r w:rsidR="0000302F" w:rsidRPr="00885DAA">
        <w:rPr>
          <w:lang w:eastAsia="en-AU"/>
        </w:rPr>
        <w:t xml:space="preserve">and the </w:t>
      </w:r>
      <w:r w:rsidR="004E072A">
        <w:rPr>
          <w:lang w:eastAsia="en-AU"/>
        </w:rPr>
        <w:t>[</w:t>
      </w:r>
      <w:r w:rsidR="0000302F" w:rsidRPr="00885DAA">
        <w:rPr>
          <w:lang w:eastAsia="en-AU"/>
        </w:rPr>
        <w:t>Associated Project</w:t>
      </w:r>
      <w:r w:rsidR="00C81802">
        <w:rPr>
          <w:lang w:eastAsia="en-AU"/>
        </w:rPr>
        <w:t>]</w:t>
      </w:r>
      <w:r w:rsidR="0000302F" w:rsidRPr="00885DAA">
        <w:rPr>
          <w:lang w:eastAsia="en-AU"/>
        </w:rPr>
        <w:t>, as appli</w:t>
      </w:r>
      <w:r w:rsidR="0000302F" w:rsidRPr="008F660B">
        <w:rPr>
          <w:lang w:eastAsia="en-AU"/>
        </w:rPr>
        <w:t>c</w:t>
      </w:r>
      <w:r w:rsidR="0000302F" w:rsidRPr="00885DAA">
        <w:rPr>
          <w:lang w:eastAsia="en-AU"/>
        </w:rPr>
        <w:t>able</w:t>
      </w:r>
      <w:r w:rsidR="0000302F" w:rsidRPr="008F660B">
        <w:rPr>
          <w:highlight w:val="lightGray"/>
          <w:lang w:eastAsia="en-AU"/>
        </w:rPr>
        <w:t>]</w:t>
      </w:r>
      <w:r w:rsidR="0000302F">
        <w:rPr>
          <w:lang w:eastAsia="en-AU"/>
        </w:rPr>
        <w:t xml:space="preserve"> </w:t>
      </w:r>
      <w:r w:rsidRPr="00847C21">
        <w:rPr>
          <w:lang w:eastAsia="en-AU"/>
        </w:rPr>
        <w:t>consistent with Good Industry Practice, including but not limited to (as applicable):</w:t>
      </w:r>
      <w:bookmarkEnd w:id="2705"/>
    </w:p>
    <w:p w14:paraId="60BD4A5E" w14:textId="360207C7" w:rsidR="00C26CD7" w:rsidRDefault="2C388DF0" w:rsidP="003A24AE">
      <w:pPr>
        <w:pStyle w:val="Heading4"/>
      </w:pPr>
      <w:r>
        <w:t xml:space="preserve">in the period commencing on the </w:t>
      </w:r>
      <w:r w:rsidR="00A82B79">
        <w:t xml:space="preserve">earlier of the </w:t>
      </w:r>
      <w:r w:rsidR="00DD5C90">
        <w:t>date o</w:t>
      </w:r>
      <w:r w:rsidR="00A82B79">
        <w:t>f</w:t>
      </w:r>
      <w:r w:rsidR="00070FBF">
        <w:t xml:space="preserve"> </w:t>
      </w:r>
      <w:r w:rsidR="00DD5C90">
        <w:t xml:space="preserve">Financial Close </w:t>
      </w:r>
      <w:r w:rsidR="00070FBF">
        <w:t xml:space="preserve">and </w:t>
      </w:r>
      <w:r w:rsidR="00A82B79">
        <w:t xml:space="preserve">the date of </w:t>
      </w:r>
      <w:r w:rsidR="00070FBF">
        <w:t>the commencement of performance of any construction work for the</w:t>
      </w:r>
      <w:r w:rsidR="00885DAA">
        <w:t xml:space="preserve"> </w:t>
      </w:r>
      <w:r w:rsidR="00070FBF">
        <w:t>Project</w:t>
      </w:r>
      <w:r w:rsidR="00C81802">
        <w:t xml:space="preserve"> [and the Associated Project]</w:t>
      </w:r>
      <w:r w:rsidR="00070FBF">
        <w:t xml:space="preserve">, </w:t>
      </w:r>
      <w:r>
        <w:t xml:space="preserve">and ending on the Commercial Operations Date, </w:t>
      </w:r>
      <w:r w:rsidR="00921F52">
        <w:t xml:space="preserve">one or more </w:t>
      </w:r>
      <w:r>
        <w:t xml:space="preserve">contract works insurance </w:t>
      </w:r>
      <w:r w:rsidR="00921F52">
        <w:t xml:space="preserve">policies which in aggregate are </w:t>
      </w:r>
      <w:r>
        <w:t>for the replacement value of the Project, including coverage for material and equipment in transit and all common construction risks;</w:t>
      </w:r>
    </w:p>
    <w:p w14:paraId="18692C2C" w14:textId="77777777" w:rsidR="00A20F1F" w:rsidRDefault="00A20F1F" w:rsidP="00A20F1F">
      <w:pPr>
        <w:pStyle w:val="Heading4"/>
        <w:numPr>
          <w:ilvl w:val="0"/>
          <w:numId w:val="0"/>
        </w:numPr>
        <w:ind w:left="2211"/>
      </w:pPr>
      <w:r>
        <w:t>[</w:t>
      </w:r>
      <w:r w:rsidRPr="004F783D">
        <w:rPr>
          <w:b/>
          <w:bCs/>
          <w:i/>
          <w:iCs/>
          <w:highlight w:val="lightGray"/>
        </w:rPr>
        <w:t>Note: the words in square brackets are to be included for all Hybrid Projects.</w:t>
      </w:r>
      <w:r>
        <w:t>]</w:t>
      </w:r>
    </w:p>
    <w:p w14:paraId="58DAD7AE" w14:textId="74D6DF5E" w:rsidR="000D7E7F" w:rsidRDefault="2C388DF0" w:rsidP="003A24AE">
      <w:pPr>
        <w:pStyle w:val="Heading4"/>
      </w:pPr>
      <w:r>
        <w:t xml:space="preserve">in the period commencing on the Commercial Operations Date and ending on the Final Support End Date, all risks insurance for the replacement value of the completed Project </w:t>
      </w:r>
      <w:r w:rsidR="00C81802">
        <w:t xml:space="preserve">[and the Associated Project] </w:t>
      </w:r>
      <w:r>
        <w:t>property</w:t>
      </w:r>
      <w:r w:rsidR="00070FBF">
        <w:t xml:space="preserve"> (</w:t>
      </w:r>
      <w:r w:rsidR="00070FBF" w:rsidRPr="008F0384">
        <w:t xml:space="preserve">or </w:t>
      </w:r>
      <w:r w:rsidR="00070FBF">
        <w:t xml:space="preserve">such other type or amount of insurance as may be </w:t>
      </w:r>
      <w:r w:rsidR="00070FBF" w:rsidRPr="008F0384">
        <w:t>agreed in writing by the Commonwealth</w:t>
      </w:r>
      <w:r w:rsidR="00070FBF">
        <w:t>)</w:t>
      </w:r>
      <w:r>
        <w:t xml:space="preserve">; </w:t>
      </w:r>
    </w:p>
    <w:p w14:paraId="67D0CEA4" w14:textId="77777777" w:rsidR="00A20F1F" w:rsidRDefault="00A20F1F" w:rsidP="00A20F1F">
      <w:pPr>
        <w:pStyle w:val="Heading4"/>
        <w:numPr>
          <w:ilvl w:val="0"/>
          <w:numId w:val="0"/>
        </w:numPr>
        <w:ind w:left="2211"/>
      </w:pPr>
      <w:r w:rsidRPr="004F783D">
        <w:t>[</w:t>
      </w:r>
      <w:r w:rsidRPr="004F783D">
        <w:rPr>
          <w:b/>
          <w:bCs/>
          <w:i/>
          <w:iCs/>
          <w:highlight w:val="lightGray"/>
        </w:rPr>
        <w:t>Note: the words in square brackets are to be included for all Hybrid Projects.</w:t>
      </w:r>
      <w:r w:rsidRPr="004F783D">
        <w:t>]</w:t>
      </w:r>
    </w:p>
    <w:p w14:paraId="5E911EC0" w14:textId="6F753E2B" w:rsidR="007036EF" w:rsidRDefault="2C388DF0" w:rsidP="003A24AE">
      <w:pPr>
        <w:pStyle w:val="Heading4"/>
      </w:pPr>
      <w:r>
        <w:t xml:space="preserve">throughout the Term, public and products liability insurance for at least $20 million for each and every occurrence and in the annual aggregate </w:t>
      </w:r>
      <w:r w:rsidR="00071F83">
        <w:t xml:space="preserve">providing cover for </w:t>
      </w:r>
      <w:r>
        <w:t>product liability and completion operations;</w:t>
      </w:r>
    </w:p>
    <w:p w14:paraId="0055A537" w14:textId="77777777" w:rsidR="007036EF" w:rsidRDefault="2C388DF0" w:rsidP="003A24AE">
      <w:pPr>
        <w:pStyle w:val="Heading4"/>
      </w:pPr>
      <w:r>
        <w:t>throughout the Term, workers’ compensation insurance as required by Law; and</w:t>
      </w:r>
    </w:p>
    <w:p w14:paraId="70AFCCF3" w14:textId="77777777" w:rsidR="00C26CD7" w:rsidRDefault="2C388DF0" w:rsidP="003A24AE">
      <w:pPr>
        <w:pStyle w:val="Heading4"/>
        <w:keepNext/>
      </w:pPr>
      <w:r>
        <w:t>throughout the Term, motor vehicle liability insurance as required by Law,</w:t>
      </w:r>
    </w:p>
    <w:p w14:paraId="2356794C" w14:textId="1F3D3A6F" w:rsidR="00AD723D" w:rsidRPr="00B17C05" w:rsidRDefault="3808A67C" w:rsidP="0076796C">
      <w:pPr>
        <w:pStyle w:val="Heading4"/>
        <w:numPr>
          <w:ilvl w:val="0"/>
          <w:numId w:val="0"/>
        </w:numPr>
        <w:ind w:left="1474"/>
      </w:pPr>
      <w:r>
        <w:t>(“</w:t>
      </w:r>
      <w:r w:rsidRPr="3808A67C">
        <w:rPr>
          <w:b/>
          <w:bCs/>
        </w:rPr>
        <w:t>Insurance Policies</w:t>
      </w:r>
      <w:r>
        <w:t>”). Each Insurance Policy must be taken out with an insurer that has an Acceptable Credit Rating</w:t>
      </w:r>
      <w:r w:rsidR="00AF73C7">
        <w:t xml:space="preserve"> </w:t>
      </w:r>
      <w:r w:rsidR="00AF73C7" w:rsidRPr="3808A67C">
        <w:rPr>
          <w:rFonts w:eastAsia="Arial"/>
        </w:rPr>
        <w:t xml:space="preserve">and </w:t>
      </w:r>
      <w:r w:rsidR="00CF7370">
        <w:rPr>
          <w:rFonts w:eastAsia="Arial"/>
        </w:rPr>
        <w:t xml:space="preserve">must </w:t>
      </w:r>
      <w:r w:rsidR="00AF73C7" w:rsidRPr="3808A67C">
        <w:rPr>
          <w:rFonts w:eastAsia="Arial"/>
        </w:rPr>
        <w:t>not contain any unusual exclusions or special conditions for a project such as the Project</w:t>
      </w:r>
      <w:r>
        <w:t>.</w:t>
      </w:r>
      <w:r w:rsidR="00070FBF">
        <w:t xml:space="preserve"> </w:t>
      </w:r>
    </w:p>
    <w:p w14:paraId="6493ECBB" w14:textId="53FAACD3" w:rsidR="008D5592" w:rsidRDefault="00C26CD7" w:rsidP="0058045D">
      <w:pPr>
        <w:pStyle w:val="Heading3"/>
        <w:rPr>
          <w:lang w:eastAsia="en-AU"/>
        </w:rPr>
      </w:pPr>
      <w:bookmarkStart w:id="2706" w:name="_Ref104218003"/>
      <w:bookmarkStart w:id="2707" w:name="_Ref205810225"/>
      <w:bookmarkStart w:id="2708" w:name="_Hlk116044870"/>
      <w:r>
        <w:rPr>
          <w:lang w:eastAsia="en-AU"/>
        </w:rPr>
        <w:t>T</w:t>
      </w:r>
      <w:r w:rsidR="00BE77D6" w:rsidRPr="00C26CD7">
        <w:rPr>
          <w:lang w:eastAsia="en-AU"/>
        </w:rPr>
        <w:t>he Commonwealth</w:t>
      </w:r>
      <w:r w:rsidR="008D5592" w:rsidRPr="00C26CD7">
        <w:rPr>
          <w:lang w:eastAsia="en-AU"/>
        </w:rPr>
        <w:t xml:space="preserve"> may request certificates of currency issued by the relevant insurers or any other documentation evidencing that the </w:t>
      </w:r>
      <w:r w:rsidR="00842E92">
        <w:rPr>
          <w:lang w:eastAsia="en-AU"/>
        </w:rPr>
        <w:t>I</w:t>
      </w:r>
      <w:r w:rsidR="008D5592" w:rsidRPr="00C26CD7">
        <w:rPr>
          <w:lang w:eastAsia="en-AU"/>
        </w:rPr>
        <w:t xml:space="preserve">nsurance </w:t>
      </w:r>
      <w:r w:rsidR="00842E92">
        <w:rPr>
          <w:lang w:eastAsia="en-AU"/>
        </w:rPr>
        <w:t>P</w:t>
      </w:r>
      <w:r w:rsidR="008D5592" w:rsidRPr="00C26CD7">
        <w:rPr>
          <w:lang w:eastAsia="en-AU"/>
        </w:rPr>
        <w:t>olicies have been effected</w:t>
      </w:r>
      <w:r w:rsidR="00A41404">
        <w:rPr>
          <w:lang w:eastAsia="en-AU"/>
        </w:rPr>
        <w:t>, that</w:t>
      </w:r>
      <w:r w:rsidR="008D5592" w:rsidRPr="00C26CD7">
        <w:rPr>
          <w:lang w:eastAsia="en-AU"/>
        </w:rPr>
        <w:t xml:space="preserve"> all premiums have been paid</w:t>
      </w:r>
      <w:r w:rsidR="00A41404">
        <w:rPr>
          <w:lang w:eastAsia="en-AU"/>
        </w:rPr>
        <w:t xml:space="preserve"> and that no unusual exclusions or special conditions apply</w:t>
      </w:r>
      <w:r w:rsidR="008D5592" w:rsidRPr="00C26CD7">
        <w:rPr>
          <w:lang w:eastAsia="en-AU"/>
        </w:rPr>
        <w:t>.</w:t>
      </w:r>
      <w:bookmarkEnd w:id="2706"/>
      <w:r w:rsidR="008D5592" w:rsidRPr="00C26CD7">
        <w:rPr>
          <w:lang w:eastAsia="en-AU"/>
        </w:rPr>
        <w:t xml:space="preserve"> </w:t>
      </w:r>
      <w:r>
        <w:rPr>
          <w:lang w:eastAsia="en-AU"/>
        </w:rPr>
        <w:t>T</w:t>
      </w:r>
      <w:r w:rsidR="00BE77D6" w:rsidRPr="00C26CD7">
        <w:rPr>
          <w:lang w:eastAsia="en-AU"/>
        </w:rPr>
        <w:t>he Commonwealth</w:t>
      </w:r>
      <w:r w:rsidR="008D5592" w:rsidRPr="00C26CD7">
        <w:rPr>
          <w:lang w:eastAsia="en-AU"/>
        </w:rPr>
        <w:t xml:space="preserve"> may not exercise its right under this </w:t>
      </w:r>
      <w:r w:rsidR="00926969" w:rsidRPr="000B5694">
        <w:rPr>
          <w:lang w:eastAsia="en-AU"/>
        </w:rPr>
        <w:t>paragraph</w:t>
      </w:r>
      <w:r w:rsidR="00926969" w:rsidRPr="00537501">
        <w:rPr>
          <w:lang w:eastAsia="en-AU"/>
        </w:rPr>
        <w:t xml:space="preserve"> </w:t>
      </w:r>
      <w:r w:rsidR="000B5694" w:rsidRPr="008F660B">
        <w:rPr>
          <w:lang w:eastAsia="en-AU"/>
        </w:rPr>
        <w:fldChar w:fldCharType="begin"/>
      </w:r>
      <w:r w:rsidR="000B5694" w:rsidRPr="008F660B">
        <w:rPr>
          <w:lang w:eastAsia="en-AU"/>
        </w:rPr>
        <w:instrText xml:space="preserve"> REF _Ref205810225 \r \h </w:instrText>
      </w:r>
      <w:r w:rsidR="000B5694">
        <w:rPr>
          <w:lang w:eastAsia="en-AU"/>
        </w:rPr>
        <w:instrText xml:space="preserve"> \* MERGEFORMAT </w:instrText>
      </w:r>
      <w:r w:rsidR="000B5694" w:rsidRPr="008F660B">
        <w:rPr>
          <w:lang w:eastAsia="en-AU"/>
        </w:rPr>
      </w:r>
      <w:r w:rsidR="000B5694" w:rsidRPr="008F660B">
        <w:rPr>
          <w:lang w:eastAsia="en-AU"/>
        </w:rPr>
        <w:fldChar w:fldCharType="separate"/>
      </w:r>
      <w:r w:rsidR="002E5C6A">
        <w:rPr>
          <w:lang w:eastAsia="en-AU"/>
        </w:rPr>
        <w:t>(b)</w:t>
      </w:r>
      <w:r w:rsidR="000B5694" w:rsidRPr="008F660B">
        <w:rPr>
          <w:lang w:eastAsia="en-AU"/>
        </w:rPr>
        <w:fldChar w:fldCharType="end"/>
      </w:r>
      <w:r w:rsidR="00926969">
        <w:rPr>
          <w:lang w:eastAsia="en-AU"/>
        </w:rPr>
        <w:t xml:space="preserve"> </w:t>
      </w:r>
      <w:r w:rsidR="008D5592" w:rsidRPr="00C26CD7">
        <w:rPr>
          <w:lang w:eastAsia="en-AU"/>
        </w:rPr>
        <w:t>more than once in any 12 month</w:t>
      </w:r>
      <w:r w:rsidR="008D5592">
        <w:rPr>
          <w:lang w:eastAsia="en-AU"/>
        </w:rPr>
        <w:t xml:space="preserve"> period.</w:t>
      </w:r>
      <w:bookmarkEnd w:id="2707"/>
      <w:r w:rsidR="008D5592">
        <w:rPr>
          <w:lang w:eastAsia="en-AU"/>
        </w:rPr>
        <w:t xml:space="preserve"> </w:t>
      </w:r>
    </w:p>
    <w:p w14:paraId="19EDA537" w14:textId="6971311B" w:rsidR="008D5592" w:rsidRDefault="008D5592" w:rsidP="0058045D">
      <w:pPr>
        <w:pStyle w:val="Heading3"/>
        <w:rPr>
          <w:lang w:eastAsia="en-AU"/>
        </w:rPr>
      </w:pPr>
      <w:r>
        <w:rPr>
          <w:lang w:eastAsia="en-AU"/>
        </w:rPr>
        <w:t>Within 10 Business Days after receiv</w:t>
      </w:r>
      <w:r w:rsidRPr="00C26CD7">
        <w:rPr>
          <w:lang w:eastAsia="en-AU"/>
        </w:rPr>
        <w:t xml:space="preserve">ing </w:t>
      </w:r>
      <w:r w:rsidR="00BE77D6" w:rsidRPr="00C26CD7">
        <w:rPr>
          <w:lang w:eastAsia="en-AU"/>
        </w:rPr>
        <w:t>the Commonwealth</w:t>
      </w:r>
      <w:r w:rsidRPr="00C26CD7">
        <w:rPr>
          <w:lang w:eastAsia="en-AU"/>
        </w:rPr>
        <w:t xml:space="preserve">’s request under </w:t>
      </w:r>
      <w:r w:rsidRPr="000B5694">
        <w:rPr>
          <w:lang w:eastAsia="en-AU"/>
        </w:rPr>
        <w:t>paragraph</w:t>
      </w:r>
      <w:r w:rsidR="00926969" w:rsidRPr="000B5694">
        <w:rPr>
          <w:lang w:eastAsia="en-AU"/>
        </w:rPr>
        <w:t xml:space="preserve"> </w:t>
      </w:r>
      <w:r w:rsidR="00AA1315" w:rsidRPr="000B5694">
        <w:rPr>
          <w:lang w:eastAsia="en-AU"/>
        </w:rPr>
        <w:fldChar w:fldCharType="begin"/>
      </w:r>
      <w:r w:rsidR="00AA1315" w:rsidRPr="000B5694">
        <w:rPr>
          <w:lang w:eastAsia="en-AU"/>
        </w:rPr>
        <w:instrText xml:space="preserve"> REF _Ref205810225 \r \h </w:instrText>
      </w:r>
      <w:r w:rsidR="00AA1315" w:rsidRPr="008F660B">
        <w:rPr>
          <w:lang w:eastAsia="en-AU"/>
        </w:rPr>
        <w:instrText xml:space="preserve"> \* MERGEFORMAT </w:instrText>
      </w:r>
      <w:r w:rsidR="00AA1315" w:rsidRPr="000B5694">
        <w:rPr>
          <w:lang w:eastAsia="en-AU"/>
        </w:rPr>
      </w:r>
      <w:r w:rsidR="00AA1315" w:rsidRPr="000B5694">
        <w:rPr>
          <w:lang w:eastAsia="en-AU"/>
        </w:rPr>
        <w:fldChar w:fldCharType="separate"/>
      </w:r>
      <w:r w:rsidR="002E5C6A">
        <w:rPr>
          <w:lang w:eastAsia="en-AU"/>
        </w:rPr>
        <w:t>(b)</w:t>
      </w:r>
      <w:r w:rsidR="00AA1315" w:rsidRPr="000B5694">
        <w:rPr>
          <w:lang w:eastAsia="en-AU"/>
        </w:rPr>
        <w:fldChar w:fldCharType="end"/>
      </w:r>
      <w:r w:rsidRPr="00C26CD7">
        <w:rPr>
          <w:lang w:eastAsia="en-AU"/>
        </w:rPr>
        <w:t xml:space="preserve">, </w:t>
      </w:r>
      <w:r w:rsidR="00411B14" w:rsidRPr="00C26CD7">
        <w:rPr>
          <w:lang w:eastAsia="en-AU"/>
        </w:rPr>
        <w:t>Project Operator</w:t>
      </w:r>
      <w:r w:rsidRPr="00C26CD7">
        <w:rPr>
          <w:lang w:eastAsia="en-AU"/>
        </w:rPr>
        <w:t xml:space="preserve"> must provide such certificates or other documentation </w:t>
      </w:r>
      <w:r w:rsidR="00AF73C7">
        <w:rPr>
          <w:lang w:eastAsia="en-AU"/>
        </w:rPr>
        <w:t>as is</w:t>
      </w:r>
      <w:r w:rsidRPr="00C26CD7">
        <w:rPr>
          <w:lang w:eastAsia="en-AU"/>
        </w:rPr>
        <w:t xml:space="preserve"> requested by </w:t>
      </w:r>
      <w:r w:rsidR="00BE77D6" w:rsidRPr="00C26CD7">
        <w:rPr>
          <w:lang w:eastAsia="en-AU"/>
        </w:rPr>
        <w:t>the Commonwealth</w:t>
      </w:r>
      <w:r w:rsidRPr="00C26CD7">
        <w:rPr>
          <w:lang w:eastAsia="en-AU"/>
        </w:rPr>
        <w:t>.</w:t>
      </w:r>
    </w:p>
    <w:p w14:paraId="126FADDD" w14:textId="59A2A288" w:rsidR="00885DAA" w:rsidRPr="00D713A2" w:rsidRDefault="00885DAA" w:rsidP="008F660B">
      <w:pPr>
        <w:rPr>
          <w:lang w:eastAsia="en-AU"/>
        </w:rPr>
      </w:pPr>
      <w:r>
        <w:rPr>
          <w:lang w:eastAsia="en-AU"/>
        </w:rPr>
        <w:t>[</w:t>
      </w:r>
      <w:r w:rsidRPr="008F660B">
        <w:rPr>
          <w:b/>
          <w:bCs/>
          <w:i/>
          <w:iCs/>
          <w:highlight w:val="lightGray"/>
          <w:lang w:eastAsia="en-AU"/>
        </w:rPr>
        <w:t>Note: Wording in square brackets is to be included for Hybrid Project and Staged Projects, as applicable</w:t>
      </w:r>
      <w:r>
        <w:rPr>
          <w:lang w:eastAsia="en-AU"/>
        </w:rPr>
        <w:t>]</w:t>
      </w:r>
    </w:p>
    <w:p w14:paraId="4CE7FC4E" w14:textId="77777777" w:rsidR="00663C63" w:rsidRPr="00847A3B" w:rsidRDefault="00663C63" w:rsidP="0058045D">
      <w:pPr>
        <w:pStyle w:val="Heading1"/>
      </w:pPr>
      <w:bookmarkStart w:id="2709" w:name="_Toc207309600"/>
      <w:bookmarkEnd w:id="2708"/>
      <w:r w:rsidRPr="00847A3B">
        <w:t>Alterations to the Project</w:t>
      </w:r>
      <w:bookmarkEnd w:id="2709"/>
      <w:r w:rsidRPr="00847A3B">
        <w:t xml:space="preserve"> </w:t>
      </w:r>
    </w:p>
    <w:p w14:paraId="7AC7278E" w14:textId="77777777" w:rsidR="00663C63" w:rsidRDefault="2C388DF0" w:rsidP="0058045D">
      <w:pPr>
        <w:pStyle w:val="Heading2"/>
      </w:pPr>
      <w:bookmarkStart w:id="2710" w:name="_Ref140568340"/>
      <w:bookmarkStart w:id="2711" w:name="_Ref140568342"/>
      <w:bookmarkStart w:id="2712" w:name="_Toc207309601"/>
      <w:r>
        <w:t>Material Alterations</w:t>
      </w:r>
      <w:bookmarkEnd w:id="2710"/>
      <w:bookmarkEnd w:id="2711"/>
      <w:bookmarkEnd w:id="2712"/>
    </w:p>
    <w:p w14:paraId="45457004" w14:textId="6C08AA10" w:rsidR="00663C63" w:rsidRDefault="2BC382E4" w:rsidP="003A24AE">
      <w:pPr>
        <w:pStyle w:val="Heading3"/>
        <w:numPr>
          <w:ilvl w:val="0"/>
          <w:numId w:val="0"/>
        </w:numPr>
        <w:ind w:left="737"/>
        <w:rPr>
          <w:lang w:eastAsia="en-AU"/>
        </w:rPr>
      </w:pPr>
      <w:r>
        <w:t>During</w:t>
      </w:r>
      <w:r w:rsidRPr="2BC382E4">
        <w:rPr>
          <w:lang w:eastAsia="en-AU"/>
        </w:rPr>
        <w:t xml:space="preserve"> the Term, Project Operator must not, and must procure that its Related Bodies Corporate do not, </w:t>
      </w:r>
      <w:r>
        <w:t>commence</w:t>
      </w:r>
      <w:r w:rsidRPr="2BC382E4">
        <w:rPr>
          <w:lang w:eastAsia="en-AU"/>
        </w:rPr>
        <w:t>, agree to or permit any Material Alteration of the Project</w:t>
      </w:r>
      <w:r w:rsidR="00941B4C">
        <w:rPr>
          <w:lang w:eastAsia="en-AU"/>
        </w:rPr>
        <w:t xml:space="preserve"> [or </w:t>
      </w:r>
      <w:r w:rsidR="00CF7370">
        <w:rPr>
          <w:lang w:eastAsia="en-AU"/>
        </w:rPr>
        <w:t xml:space="preserve">the </w:t>
      </w:r>
      <w:r w:rsidR="00163D52">
        <w:rPr>
          <w:lang w:eastAsia="en-AU"/>
        </w:rPr>
        <w:t>[</w:t>
      </w:r>
      <w:r w:rsidR="009A40B6">
        <w:rPr>
          <w:lang w:eastAsia="en-AU"/>
        </w:rPr>
        <w:t>Associated/</w:t>
      </w:r>
      <w:r w:rsidR="00941B4C">
        <w:rPr>
          <w:lang w:eastAsia="en-AU"/>
        </w:rPr>
        <w:t>Existing</w:t>
      </w:r>
      <w:r w:rsidR="00163D52">
        <w:rPr>
          <w:lang w:eastAsia="en-AU"/>
        </w:rPr>
        <w:t>]</w:t>
      </w:r>
      <w:r w:rsidR="00941B4C">
        <w:rPr>
          <w:lang w:eastAsia="en-AU"/>
        </w:rPr>
        <w:t xml:space="preserve"> Project]</w:t>
      </w:r>
      <w:r w:rsidRPr="2BC382E4">
        <w:rPr>
          <w:lang w:eastAsia="en-AU"/>
        </w:rPr>
        <w:t xml:space="preserve"> without the Commonwealth’s prior written consent.</w:t>
      </w:r>
      <w:r w:rsidR="00941B4C">
        <w:rPr>
          <w:lang w:eastAsia="en-AU"/>
        </w:rPr>
        <w:t xml:space="preserve"> </w:t>
      </w:r>
      <w:r w:rsidR="00941B4C" w:rsidRPr="008129EB">
        <w:t>[</w:t>
      </w:r>
      <w:r w:rsidR="00941B4C" w:rsidRPr="00453ECB">
        <w:rPr>
          <w:b/>
          <w:bCs/>
          <w:i/>
          <w:iCs/>
          <w:highlight w:val="lightGray"/>
        </w:rPr>
        <w:t xml:space="preserve">Note: words in square brackets to be included for all </w:t>
      </w:r>
      <w:r w:rsidR="009A40B6">
        <w:rPr>
          <w:b/>
          <w:bCs/>
          <w:i/>
          <w:iCs/>
          <w:highlight w:val="lightGray"/>
        </w:rPr>
        <w:t xml:space="preserve">Hybrid Projects and </w:t>
      </w:r>
      <w:r w:rsidR="00941B4C" w:rsidRPr="00453ECB">
        <w:rPr>
          <w:b/>
          <w:bCs/>
          <w:i/>
          <w:iCs/>
          <w:highlight w:val="lightGray"/>
        </w:rPr>
        <w:t>Staged Projects</w:t>
      </w:r>
      <w:r w:rsidR="009A40B6">
        <w:rPr>
          <w:b/>
          <w:bCs/>
          <w:i/>
          <w:iCs/>
          <w:highlight w:val="lightGray"/>
        </w:rPr>
        <w:t xml:space="preserve"> (as applicable)</w:t>
      </w:r>
      <w:r w:rsidR="00941B4C" w:rsidRPr="00453ECB">
        <w:rPr>
          <w:b/>
          <w:bCs/>
          <w:i/>
          <w:iCs/>
          <w:highlight w:val="lightGray"/>
        </w:rPr>
        <w:t>.</w:t>
      </w:r>
      <w:r w:rsidR="00941B4C" w:rsidRPr="008129EB">
        <w:t>]</w:t>
      </w:r>
    </w:p>
    <w:p w14:paraId="13E725FE" w14:textId="77777777" w:rsidR="00663C63" w:rsidRPr="00B12BEB" w:rsidRDefault="2C388DF0" w:rsidP="0058045D">
      <w:pPr>
        <w:pStyle w:val="Heading2"/>
        <w:rPr>
          <w:lang w:eastAsia="en-AU"/>
        </w:rPr>
      </w:pPr>
      <w:bookmarkStart w:id="2713" w:name="_Toc207309602"/>
      <w:r w:rsidRPr="2C388DF0">
        <w:rPr>
          <w:lang w:eastAsia="en-AU"/>
        </w:rPr>
        <w:t>Commonwealth consent to a Material Alteration</w:t>
      </w:r>
      <w:bookmarkEnd w:id="2713"/>
    </w:p>
    <w:p w14:paraId="25A94144" w14:textId="77777777" w:rsidR="00663C63" w:rsidRDefault="2BC382E4" w:rsidP="003A24AE">
      <w:pPr>
        <w:pStyle w:val="Heading3"/>
        <w:numPr>
          <w:ilvl w:val="0"/>
          <w:numId w:val="0"/>
        </w:numPr>
        <w:ind w:left="737"/>
        <w:rPr>
          <w:szCs w:val="18"/>
        </w:rPr>
      </w:pPr>
      <w:r>
        <w:t>The Commonwealth must not unreasonably withhold or delay its consent to a Material Alteration if:</w:t>
      </w:r>
    </w:p>
    <w:p w14:paraId="693985D2" w14:textId="77777777" w:rsidR="00663C63" w:rsidRPr="00B12BEB" w:rsidRDefault="2C388DF0" w:rsidP="0058045D">
      <w:pPr>
        <w:pStyle w:val="Heading3"/>
        <w:rPr>
          <w:lang w:eastAsia="en-AU"/>
        </w:rPr>
      </w:pPr>
      <w:r w:rsidRPr="2C388DF0">
        <w:rPr>
          <w:lang w:eastAsia="en-AU"/>
        </w:rPr>
        <w:t>Project Operator has provided to the Commonwealth details of:</w:t>
      </w:r>
    </w:p>
    <w:p w14:paraId="5ECFCB5D" w14:textId="77777777" w:rsidR="00663C63" w:rsidRDefault="2C388DF0" w:rsidP="0058045D">
      <w:pPr>
        <w:pStyle w:val="Heading4"/>
      </w:pPr>
      <w:r>
        <w:t xml:space="preserve">the proposed Material Alteration; </w:t>
      </w:r>
    </w:p>
    <w:p w14:paraId="0FCCEA06" w14:textId="77777777" w:rsidR="00F31EC0" w:rsidRDefault="2C388DF0" w:rsidP="0058045D">
      <w:pPr>
        <w:pStyle w:val="Heading4"/>
      </w:pPr>
      <w:r>
        <w:t>any change to</w:t>
      </w:r>
      <w:r w:rsidR="00F31EC0">
        <w:t>:</w:t>
      </w:r>
    </w:p>
    <w:p w14:paraId="55BCF506" w14:textId="3887BCB7" w:rsidR="00DA7DEB" w:rsidRDefault="2C388DF0" w:rsidP="00F31EC0">
      <w:pPr>
        <w:pStyle w:val="Heading5"/>
      </w:pPr>
      <w:r>
        <w:t>the</w:t>
      </w:r>
      <w:r w:rsidR="00212D93">
        <w:t xml:space="preserve"> export</w:t>
      </w:r>
      <w:r>
        <w:t xml:space="preserve"> capacity,</w:t>
      </w:r>
      <w:r w:rsidR="00212D93">
        <w:t xml:space="preserve"> import capacity</w:t>
      </w:r>
      <w:r>
        <w:t xml:space="preserve"> or </w:t>
      </w:r>
      <w:r w:rsidR="00212D93">
        <w:t xml:space="preserve">storage capacity </w:t>
      </w:r>
      <w:r>
        <w:t>of the Project</w:t>
      </w:r>
      <w:r w:rsidR="009A40B6">
        <w:t>[or the Existing Project]</w:t>
      </w:r>
      <w:r w:rsidR="00DA7DEB">
        <w:t>[;</w:t>
      </w:r>
      <w:r w:rsidR="009A40B6">
        <w:t xml:space="preserve"> or</w:t>
      </w:r>
    </w:p>
    <w:p w14:paraId="2D6FE7EA" w14:textId="4B34E8F2" w:rsidR="00DA7DEB" w:rsidRDefault="009A40B6" w:rsidP="00F31EC0">
      <w:pPr>
        <w:pStyle w:val="Heading5"/>
      </w:pPr>
      <w:r>
        <w:t>the capacity, availability or generation profile of the Associated Project</w:t>
      </w:r>
      <w:r w:rsidR="00DA7DEB">
        <w:t>;]</w:t>
      </w:r>
    </w:p>
    <w:p w14:paraId="64B99536" w14:textId="50DBD5AF" w:rsidR="00663C63" w:rsidRDefault="2C388DF0" w:rsidP="008F660B">
      <w:pPr>
        <w:pStyle w:val="Heading5"/>
        <w:numPr>
          <w:ilvl w:val="0"/>
          <w:numId w:val="0"/>
        </w:numPr>
        <w:ind w:left="2211"/>
      </w:pPr>
      <w:r>
        <w:t xml:space="preserve">that would result from the Material Alteration; </w:t>
      </w:r>
      <w:r w:rsidR="00A62FFF" w:rsidRPr="00D04362">
        <w:t>[</w:t>
      </w:r>
      <w:r w:rsidR="00A62FFF" w:rsidRPr="00D04362">
        <w:rPr>
          <w:b/>
          <w:bCs/>
          <w:i/>
          <w:iCs/>
          <w:highlight w:val="lightGray"/>
        </w:rPr>
        <w:t xml:space="preserve">Note: </w:t>
      </w:r>
      <w:r w:rsidR="00941B4C">
        <w:rPr>
          <w:b/>
          <w:bCs/>
          <w:i/>
          <w:iCs/>
          <w:highlight w:val="lightGray"/>
        </w:rPr>
        <w:t>word</w:t>
      </w:r>
      <w:r w:rsidR="009A40B6">
        <w:rPr>
          <w:b/>
          <w:bCs/>
          <w:i/>
          <w:iCs/>
          <w:highlight w:val="lightGray"/>
        </w:rPr>
        <w:t>s</w:t>
      </w:r>
      <w:r w:rsidR="00941B4C">
        <w:rPr>
          <w:b/>
          <w:bCs/>
          <w:i/>
          <w:iCs/>
          <w:highlight w:val="lightGray"/>
        </w:rPr>
        <w:t xml:space="preserve"> in square brackets to be included for all Staged Projects. S</w:t>
      </w:r>
      <w:r w:rsidR="00F058A7" w:rsidRPr="00D04362">
        <w:rPr>
          <w:b/>
          <w:bCs/>
          <w:i/>
          <w:iCs/>
          <w:highlight w:val="lightGray"/>
        </w:rPr>
        <w:t>ee agreement cover note regarding Non-Storage Projects</w:t>
      </w:r>
      <w:r w:rsidR="00A62FFF" w:rsidRPr="00D04362">
        <w:rPr>
          <w:b/>
          <w:bCs/>
          <w:i/>
          <w:iCs/>
          <w:highlight w:val="lightGray"/>
        </w:rPr>
        <w:t>.</w:t>
      </w:r>
      <w:r w:rsidR="00A62FFF" w:rsidRPr="00D04362">
        <w:t>]</w:t>
      </w:r>
    </w:p>
    <w:p w14:paraId="3E9E1E12" w14:textId="77777777" w:rsidR="00663C63" w:rsidRDefault="2C388DF0" w:rsidP="0058045D">
      <w:pPr>
        <w:pStyle w:val="Heading4"/>
      </w:pPr>
      <w:r>
        <w:t xml:space="preserve">any outages that would result from the Material Alteration; </w:t>
      </w:r>
    </w:p>
    <w:p w14:paraId="0D592142" w14:textId="77777777" w:rsidR="007E4657" w:rsidRPr="00847C21" w:rsidRDefault="2C388DF0" w:rsidP="0058045D">
      <w:pPr>
        <w:pStyle w:val="Heading4"/>
      </w:pPr>
      <w:r w:rsidRPr="00847C21">
        <w:t>any impact of the proposed Material Alteration on Project Operator’s ability to carry out its obligations under this agreement;</w:t>
      </w:r>
    </w:p>
    <w:p w14:paraId="52F47021" w14:textId="1CA16FEC" w:rsidR="00663C63" w:rsidRPr="00847C21" w:rsidRDefault="007E4657" w:rsidP="0058045D">
      <w:pPr>
        <w:pStyle w:val="Heading4"/>
      </w:pPr>
      <w:r w:rsidRPr="008F660B">
        <w:t>as required, any amendments to this agreement reasonably required to accommodate the proposed Material Alteration (including but not limited to any amendments reasonably required to the Reference Details)</w:t>
      </w:r>
      <w:r w:rsidRPr="00847C21">
        <w:t xml:space="preserve">; </w:t>
      </w:r>
      <w:r w:rsidR="2C388DF0" w:rsidRPr="00847C21">
        <w:t xml:space="preserve">and </w:t>
      </w:r>
    </w:p>
    <w:p w14:paraId="067E88CB" w14:textId="77777777" w:rsidR="00A41404" w:rsidRPr="00847C21" w:rsidRDefault="2C388DF0" w:rsidP="0058045D">
      <w:pPr>
        <w:pStyle w:val="Heading4"/>
      </w:pPr>
      <w:r w:rsidRPr="00847C21">
        <w:t xml:space="preserve">any further information reasonably required by the Commonwealth (which must be provided promptly by Project Operator following a request from the Commonwealth); </w:t>
      </w:r>
    </w:p>
    <w:p w14:paraId="3F528F51" w14:textId="43D2383F" w:rsidR="00663C63" w:rsidRPr="00847C21" w:rsidRDefault="2C388DF0" w:rsidP="00D9202B">
      <w:pPr>
        <w:pStyle w:val="Heading3"/>
        <w:keepNext/>
      </w:pPr>
      <w:bookmarkStart w:id="2714" w:name="_Ref101359070"/>
      <w:r w:rsidRPr="00847C21">
        <w:t xml:space="preserve">the Commonwealth determines (acting reasonably) that the </w:t>
      </w:r>
      <w:r w:rsidRPr="00847C21">
        <w:rPr>
          <w:lang w:eastAsia="en-AU"/>
        </w:rPr>
        <w:t xml:space="preserve">Material Alteration </w:t>
      </w:r>
      <w:r w:rsidRPr="00847C21">
        <w:t xml:space="preserve">will not </w:t>
      </w:r>
      <w:r w:rsidR="00B314B2" w:rsidRPr="00847C21">
        <w:t xml:space="preserve">have a </w:t>
      </w:r>
      <w:r w:rsidRPr="00847C21">
        <w:t>material and adverse impact</w:t>
      </w:r>
      <w:r w:rsidR="00B314B2" w:rsidRPr="00847C21">
        <w:t xml:space="preserve"> on</w:t>
      </w:r>
      <w:r w:rsidRPr="00847C21">
        <w:t>:</w:t>
      </w:r>
      <w:bookmarkEnd w:id="2714"/>
    </w:p>
    <w:p w14:paraId="5D50D969" w14:textId="2CAF7964" w:rsidR="00C16954" w:rsidRDefault="007E4657" w:rsidP="0058045D">
      <w:pPr>
        <w:pStyle w:val="Heading4"/>
      </w:pPr>
      <w:r w:rsidRPr="008F660B">
        <w:t>Project Operator’s capacity to meet its obligations in this agreement or</w:t>
      </w:r>
      <w:r w:rsidRPr="00847C21">
        <w:t xml:space="preserve"> </w:t>
      </w:r>
      <w:r w:rsidR="2C388DF0" w:rsidRPr="00847C21">
        <w:t>the Commonwealth’s rights and obligations in relation to this agreement, including</w:t>
      </w:r>
      <w:r w:rsidR="2C388DF0">
        <w:t xml:space="preserve"> the Commonwealth’s expected financial outcomes under this agreement and any agreement </w:t>
      </w:r>
      <w:r w:rsidR="00B314B2">
        <w:t xml:space="preserve">that </w:t>
      </w:r>
      <w:r w:rsidR="2C388DF0">
        <w:t>it has entered into with a third party in relation to this agreement;</w:t>
      </w:r>
      <w:r w:rsidR="00B61725">
        <w:t xml:space="preserve"> or </w:t>
      </w:r>
    </w:p>
    <w:p w14:paraId="01B179D3" w14:textId="77777777" w:rsidR="00663C63" w:rsidRDefault="2C388DF0" w:rsidP="0058045D">
      <w:pPr>
        <w:pStyle w:val="Heading4"/>
      </w:pPr>
      <w:r>
        <w:t>Project Operator’s performance of the Social Licence Commitments; and</w:t>
      </w:r>
    </w:p>
    <w:p w14:paraId="109B3D9E" w14:textId="182064AA" w:rsidR="00972AA6" w:rsidRDefault="009A40B6" w:rsidP="00314F33">
      <w:pPr>
        <w:pStyle w:val="Heading3"/>
        <w:keepNext/>
      </w:pPr>
      <w:bookmarkStart w:id="2715" w:name="_Ref170379662"/>
      <w:r>
        <w:t xml:space="preserve">in </w:t>
      </w:r>
      <w:r w:rsidR="2C388DF0">
        <w:t xml:space="preserve">the </w:t>
      </w:r>
      <w:r>
        <w:t xml:space="preserve">case of a </w:t>
      </w:r>
      <w:r w:rsidR="2C388DF0">
        <w:t xml:space="preserve">Material Alteration </w:t>
      </w:r>
      <w:r>
        <w:t xml:space="preserve">which </w:t>
      </w:r>
      <w:r w:rsidR="2C388DF0">
        <w:t>involves the installation of a new energy storage system</w:t>
      </w:r>
      <w:r w:rsidR="003E726E">
        <w:t xml:space="preserve">, </w:t>
      </w:r>
      <w:r w:rsidR="00A62FFF">
        <w:t xml:space="preserve">new dispatchable capacity, </w:t>
      </w:r>
      <w:r w:rsidR="003E726E">
        <w:t>a generation system or load</w:t>
      </w:r>
      <w:r w:rsidR="2C388DF0">
        <w:t xml:space="preserve"> behind the Connection Point</w:t>
      </w:r>
      <w:r>
        <w:t xml:space="preserve"> or the Measurement Point for the Project</w:t>
      </w:r>
      <w:r w:rsidR="003E726E">
        <w:t xml:space="preserve"> (“</w:t>
      </w:r>
      <w:r w:rsidR="003E726E">
        <w:rPr>
          <w:b/>
          <w:bCs/>
        </w:rPr>
        <w:t>New Infrastructure</w:t>
      </w:r>
      <w:r w:rsidR="003E726E">
        <w:t>”)</w:t>
      </w:r>
      <w:r w:rsidR="2C388DF0">
        <w:t>, then:</w:t>
      </w:r>
      <w:bookmarkEnd w:id="2715"/>
      <w:r w:rsidR="2C388DF0">
        <w:t xml:space="preserve"> </w:t>
      </w:r>
    </w:p>
    <w:p w14:paraId="2E977F17" w14:textId="77777777" w:rsidR="002C1AB0" w:rsidRDefault="2C388DF0" w:rsidP="0058045D">
      <w:pPr>
        <w:pStyle w:val="Heading4"/>
      </w:pPr>
      <w:r>
        <w:t>Project Operator agrees to amend the Project Documents to the reasonable satisfaction of the Commonwealth to give effect to the following principles:</w:t>
      </w:r>
    </w:p>
    <w:p w14:paraId="04F351AD" w14:textId="77777777" w:rsidR="002C1AB0" w:rsidRDefault="2C388DF0" w:rsidP="0058045D">
      <w:pPr>
        <w:pStyle w:val="Heading5"/>
      </w:pPr>
      <w:r>
        <w:t>the amendments to the Project Documents must substantially preserve the intended operation and effect of the Project Documents and the relevant risk and commercial positions of the parties under those Project Documents as at the date of the agreement;</w:t>
      </w:r>
    </w:p>
    <w:p w14:paraId="059115CB" w14:textId="1A8B64F8" w:rsidR="00D304F7" w:rsidRDefault="2C388DF0" w:rsidP="008E4A1B">
      <w:pPr>
        <w:pStyle w:val="Heading5"/>
      </w:pPr>
      <w:r>
        <w:t xml:space="preserve">the Project Documents must account for </w:t>
      </w:r>
      <w:r w:rsidR="005472D8">
        <w:t>l</w:t>
      </w:r>
      <w:r>
        <w:t xml:space="preserve">osses associated with any infrastructure between the shared Connection Point </w:t>
      </w:r>
      <w:r w:rsidR="009A40B6">
        <w:t xml:space="preserve">(if applicable) </w:t>
      </w:r>
      <w:r>
        <w:t xml:space="preserve">and the point at which electricity volumes </w:t>
      </w:r>
      <w:r w:rsidR="003E726E">
        <w:t xml:space="preserve">in respect of </w:t>
      </w:r>
      <w:r>
        <w:t xml:space="preserve">the Project and the </w:t>
      </w:r>
      <w:r w:rsidR="003E726E">
        <w:t>N</w:t>
      </w:r>
      <w:r>
        <w:t xml:space="preserve">ew </w:t>
      </w:r>
      <w:r w:rsidR="003E726E">
        <w:t xml:space="preserve">Infrastructure </w:t>
      </w:r>
      <w:r>
        <w:t xml:space="preserve">are measured; </w:t>
      </w:r>
    </w:p>
    <w:p w14:paraId="29FDCC36" w14:textId="77777777" w:rsidR="00D304F7" w:rsidRDefault="2C388DF0" w:rsidP="0058045D">
      <w:pPr>
        <w:pStyle w:val="Heading5"/>
      </w:pPr>
      <w:r>
        <w:t xml:space="preserve">the Apportionment Principles must be adopted, to the extent that apportionment between the Project and the </w:t>
      </w:r>
      <w:r w:rsidR="00206B22">
        <w:t>N</w:t>
      </w:r>
      <w:r>
        <w:t xml:space="preserve">ew </w:t>
      </w:r>
      <w:r w:rsidR="00206B22">
        <w:t xml:space="preserve">Infrastructure </w:t>
      </w:r>
      <w:r>
        <w:t>is required;</w:t>
      </w:r>
    </w:p>
    <w:p w14:paraId="089007B1" w14:textId="77777777" w:rsidR="002C1AB0" w:rsidRDefault="2C388DF0" w:rsidP="0058045D">
      <w:pPr>
        <w:pStyle w:val="Heading5"/>
      </w:pPr>
      <w:r>
        <w:t>Project Operator must provide such additional reporting as is reasonably required by the Commonwealth, including reporting on apportionment of Green Products and</w:t>
      </w:r>
      <w:r w:rsidR="00C74E7A" w:rsidRPr="00C74E7A">
        <w:t xml:space="preserve"> </w:t>
      </w:r>
      <w:r w:rsidR="00C74E7A">
        <w:t>Peak</w:t>
      </w:r>
      <w:r>
        <w:t xml:space="preserve"> Capacity </w:t>
      </w:r>
      <w:r w:rsidR="00A04B12">
        <w:t xml:space="preserve">Credits </w:t>
      </w:r>
      <w:r>
        <w:t>and the basis for apportionment; and</w:t>
      </w:r>
    </w:p>
    <w:p w14:paraId="1883BD23" w14:textId="70AD4EA4" w:rsidR="00972AA6" w:rsidRDefault="2C388DF0" w:rsidP="0058045D">
      <w:pPr>
        <w:pStyle w:val="Heading5"/>
      </w:pPr>
      <w:r>
        <w:t xml:space="preserve">any arrangements between the Project and the </w:t>
      </w:r>
      <w:r w:rsidR="009A40B6">
        <w:t xml:space="preserve">New Infrastructure </w:t>
      </w:r>
      <w:r>
        <w:t>must be properly documented and entered into on arms’ length terms; and</w:t>
      </w:r>
    </w:p>
    <w:p w14:paraId="10FBA529" w14:textId="240FC03C" w:rsidR="00972AA6" w:rsidRDefault="2C388DF0" w:rsidP="0058045D">
      <w:pPr>
        <w:pStyle w:val="Heading4"/>
      </w:pPr>
      <w:r>
        <w:t xml:space="preserve">the metering arrangements for the Project and the </w:t>
      </w:r>
      <w:r w:rsidR="00A04B12">
        <w:t>N</w:t>
      </w:r>
      <w:r>
        <w:t xml:space="preserve">ew </w:t>
      </w:r>
      <w:r w:rsidR="00A04B12">
        <w:t>Infrastructure</w:t>
      </w:r>
      <w:r>
        <w:t>:</w:t>
      </w:r>
    </w:p>
    <w:p w14:paraId="20FBC746" w14:textId="0B4E91DF" w:rsidR="00972AA6" w:rsidRDefault="009A40B6" w:rsidP="0058045D">
      <w:pPr>
        <w:pStyle w:val="Heading5"/>
      </w:pPr>
      <w:r>
        <w:t xml:space="preserve">are </w:t>
      </w:r>
      <w:r w:rsidR="2C388DF0">
        <w:t xml:space="preserve">to a standard, and located in a position, acceptable to the Commonwealth (acting reasonably) to allow for the measurement or calculation of energy flows for the Project and creation of applicable Green Products or </w:t>
      </w:r>
      <w:r w:rsidR="00C74E7A">
        <w:t xml:space="preserve">Peak </w:t>
      </w:r>
      <w:r w:rsidR="2C388DF0">
        <w:t xml:space="preserve">Capacity </w:t>
      </w:r>
      <w:r w:rsidR="00206B22">
        <w:t>Credits</w:t>
      </w:r>
      <w:r w:rsidR="2C388DF0">
        <w:t xml:space="preserve">; </w:t>
      </w:r>
    </w:p>
    <w:p w14:paraId="761896CD" w14:textId="603EC3D8" w:rsidR="00663C63" w:rsidRDefault="009A40B6" w:rsidP="0058045D">
      <w:pPr>
        <w:pStyle w:val="Heading5"/>
      </w:pPr>
      <w:r>
        <w:t xml:space="preserve">are </w:t>
      </w:r>
      <w:r w:rsidR="2C388DF0">
        <w:t xml:space="preserve">of sufficient accuracy to meet the metering accuracy requirements specified by AEMO for meters used for settlement of the </w:t>
      </w:r>
      <w:r w:rsidR="00BC09C0">
        <w:t>W</w:t>
      </w:r>
      <w:r w:rsidR="2C388DF0">
        <w:t>EM</w:t>
      </w:r>
      <w:r>
        <w:t>; and</w:t>
      </w:r>
    </w:p>
    <w:p w14:paraId="65229E43" w14:textId="348EF0E5" w:rsidR="009A40B6" w:rsidRDefault="009A40B6" w:rsidP="0058045D">
      <w:pPr>
        <w:pStyle w:val="Heading5"/>
      </w:pPr>
      <w:r>
        <w:t>meet any other applicable requirements under the ESM Rules.</w:t>
      </w:r>
    </w:p>
    <w:p w14:paraId="285E3687" w14:textId="37128F85" w:rsidR="00AC3112" w:rsidRDefault="00AC3112" w:rsidP="0058045D">
      <w:pPr>
        <w:pStyle w:val="Heading1"/>
      </w:pPr>
      <w:bookmarkStart w:id="2716" w:name="_Toc156909149"/>
      <w:bookmarkStart w:id="2717" w:name="_Ref160875588"/>
      <w:bookmarkStart w:id="2718" w:name="_Ref199427283"/>
      <w:bookmarkStart w:id="2719" w:name="_Ref199427383"/>
      <w:bookmarkStart w:id="2720" w:name="_Toc207309603"/>
      <w:bookmarkStart w:id="2721" w:name="_Toc101536774"/>
      <w:bookmarkStart w:id="2722" w:name="_Ref103020169"/>
      <w:r w:rsidRPr="002528B3">
        <w:t>Social Licence Commitments</w:t>
      </w:r>
      <w:bookmarkEnd w:id="2716"/>
      <w:bookmarkEnd w:id="2717"/>
      <w:bookmarkEnd w:id="2718"/>
      <w:bookmarkEnd w:id="2719"/>
      <w:bookmarkEnd w:id="2720"/>
      <w:r w:rsidRPr="002528B3">
        <w:t xml:space="preserve"> </w:t>
      </w:r>
    </w:p>
    <w:p w14:paraId="415E9CDA" w14:textId="77777777" w:rsidR="00AC3112" w:rsidRPr="00873112" w:rsidRDefault="2BC382E4" w:rsidP="008F660B">
      <w:pPr>
        <w:pStyle w:val="Heading2"/>
        <w:numPr>
          <w:ilvl w:val="1"/>
          <w:numId w:val="76"/>
        </w:numPr>
      </w:pPr>
      <w:bookmarkStart w:id="2723" w:name="_Toc156909150"/>
      <w:bookmarkStart w:id="2724" w:name="_Ref205814896"/>
      <w:bookmarkStart w:id="2725" w:name="_Ref205814912"/>
      <w:bookmarkStart w:id="2726" w:name="_Ref205814959"/>
      <w:bookmarkStart w:id="2727" w:name="_Ref205814969"/>
      <w:bookmarkStart w:id="2728" w:name="_Ref205815013"/>
      <w:bookmarkStart w:id="2729" w:name="_Ref205815023"/>
      <w:bookmarkStart w:id="2730" w:name="_Ref205815063"/>
      <w:bookmarkStart w:id="2731" w:name="_Ref205815074"/>
      <w:bookmarkStart w:id="2732" w:name="_Ref205815115"/>
      <w:bookmarkStart w:id="2733" w:name="_Ref205815122"/>
      <w:bookmarkStart w:id="2734" w:name="_Ref205815144"/>
      <w:bookmarkStart w:id="2735" w:name="_Ref205815152"/>
      <w:bookmarkStart w:id="2736" w:name="_Ref205815187"/>
      <w:bookmarkStart w:id="2737" w:name="_Ref205815194"/>
      <w:bookmarkStart w:id="2738" w:name="_Ref205815279"/>
      <w:bookmarkStart w:id="2739" w:name="_Ref205815286"/>
      <w:bookmarkStart w:id="2740" w:name="_Ref205815306"/>
      <w:bookmarkStart w:id="2741" w:name="_Ref205815314"/>
      <w:bookmarkStart w:id="2742" w:name="_Ref205815337"/>
      <w:bookmarkStart w:id="2743" w:name="_Ref205815346"/>
      <w:bookmarkStart w:id="2744" w:name="_Ref206706719"/>
      <w:bookmarkStart w:id="2745" w:name="_Ref206706721"/>
      <w:bookmarkStart w:id="2746" w:name="_Toc207309604"/>
      <w:r>
        <w:t>Performance</w:t>
      </w:r>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p>
    <w:p w14:paraId="65B43FCB" w14:textId="2C87C74B" w:rsidR="002528B3" w:rsidRDefault="00E87990" w:rsidP="0058045D">
      <w:pPr>
        <w:pStyle w:val="Heading3"/>
      </w:pPr>
      <w:r>
        <w:t>D</w:t>
      </w:r>
      <w:r w:rsidR="00AC3112">
        <w:t xml:space="preserve">uring the Term, </w:t>
      </w:r>
      <w:r w:rsidR="00DC2887">
        <w:t xml:space="preserve">or as otherwise specified in this agreement, </w:t>
      </w:r>
      <w:r w:rsidR="00AC3112">
        <w:t>Project Operator</w:t>
      </w:r>
      <w:r w:rsidR="00AC3112" w:rsidRPr="00873112">
        <w:t xml:space="preserve"> must</w:t>
      </w:r>
      <w:r w:rsidR="002528B3">
        <w:t>:</w:t>
      </w:r>
      <w:r w:rsidR="00AC3112" w:rsidRPr="00873112">
        <w:t xml:space="preserve"> </w:t>
      </w:r>
    </w:p>
    <w:p w14:paraId="4F003E77" w14:textId="4E31CAE8" w:rsidR="002528B3" w:rsidRDefault="2C388DF0" w:rsidP="0058045D">
      <w:pPr>
        <w:pStyle w:val="Heading4"/>
      </w:pPr>
      <w:r>
        <w:t xml:space="preserve">perform the Social Licence Commitments; </w:t>
      </w:r>
    </w:p>
    <w:p w14:paraId="57692E66" w14:textId="368B36FA" w:rsidR="00AC3112" w:rsidRDefault="2C388DF0" w:rsidP="0058045D">
      <w:pPr>
        <w:pStyle w:val="Heading4"/>
      </w:pPr>
      <w:r>
        <w:t>report on its compliance with</w:t>
      </w:r>
      <w:r w:rsidR="00E87990">
        <w:t xml:space="preserve"> and achievement of</w:t>
      </w:r>
      <w:r>
        <w:t xml:space="preserve"> the Social Licence Commitments in accordance with clause </w:t>
      </w:r>
      <w:r w:rsidR="002528B3">
        <w:fldChar w:fldCharType="begin"/>
      </w:r>
      <w:r w:rsidR="002528B3">
        <w:instrText xml:space="preserve"> REF _Ref94878032 \w \h </w:instrText>
      </w:r>
      <w:r w:rsidR="002528B3">
        <w:fldChar w:fldCharType="separate"/>
      </w:r>
      <w:r w:rsidR="002E5C6A">
        <w:t>12.4</w:t>
      </w:r>
      <w:r w:rsidR="002528B3">
        <w:fldChar w:fldCharType="end"/>
      </w:r>
      <w:r>
        <w:t xml:space="preserve"> (“</w:t>
      </w:r>
      <w:r w:rsidR="002528B3">
        <w:fldChar w:fldCharType="begin"/>
      </w:r>
      <w:r w:rsidR="002528B3">
        <w:instrText xml:space="preserve">  REF _Ref94878032 \h </w:instrText>
      </w:r>
      <w:r w:rsidR="002528B3">
        <w:fldChar w:fldCharType="separate"/>
      </w:r>
      <w:r w:rsidR="002E5C6A" w:rsidRPr="00F06646">
        <w:t>Social Licence Commitments Reporting</w:t>
      </w:r>
      <w:r w:rsidR="002528B3">
        <w:fldChar w:fldCharType="end"/>
      </w:r>
      <w:r>
        <w:t xml:space="preserve">”); </w:t>
      </w:r>
      <w:r w:rsidR="00482EF3">
        <w:t>and</w:t>
      </w:r>
    </w:p>
    <w:p w14:paraId="7925F0B8" w14:textId="6A0D55EE" w:rsidR="00AC3112" w:rsidRDefault="2BC382E4" w:rsidP="0058045D">
      <w:pPr>
        <w:pStyle w:val="Heading4"/>
      </w:pPr>
      <w:bookmarkStart w:id="2747" w:name="_Ref199422817"/>
      <w:r>
        <w:t>promptly notify the Commonwealth if it fails, or becomes</w:t>
      </w:r>
      <w:r w:rsidR="00163D52">
        <w:t xml:space="preserve"> aware that it is</w:t>
      </w:r>
      <w:r>
        <w:t xml:space="preserve"> likely to fail, to comply with or achieve any of the Social Licence Commitments.</w:t>
      </w:r>
      <w:bookmarkEnd w:id="2747"/>
      <w:r>
        <w:t xml:space="preserve"> </w:t>
      </w:r>
    </w:p>
    <w:p w14:paraId="3F90B1BD" w14:textId="659F18F6" w:rsidR="00D80FC4" w:rsidRDefault="00D80FC4" w:rsidP="0058045D">
      <w:pPr>
        <w:pStyle w:val="Heading3"/>
      </w:pPr>
      <w:r>
        <w:t xml:space="preserve">Project Operator must publish its Social Licence Commitments </w:t>
      </w:r>
      <w:r w:rsidR="00DC2887">
        <w:t xml:space="preserve">in a readily </w:t>
      </w:r>
      <w:r w:rsidR="00163D52">
        <w:t xml:space="preserve">publicly </w:t>
      </w:r>
      <w:r w:rsidR="00DC2887">
        <w:t xml:space="preserve">accessible location </w:t>
      </w:r>
      <w:r w:rsidR="009D1C5E">
        <w:t>within 20</w:t>
      </w:r>
      <w:r w:rsidR="00E87990">
        <w:t> </w:t>
      </w:r>
      <w:r>
        <w:t>Business Days after the Signing Date</w:t>
      </w:r>
      <w:r w:rsidR="00DC2887">
        <w:t xml:space="preserve"> and continue to make these Social Licence Commitments </w:t>
      </w:r>
      <w:r w:rsidR="00163D52">
        <w:t xml:space="preserve">readily </w:t>
      </w:r>
      <w:r w:rsidR="00DC2887">
        <w:t>publicly available for the Term</w:t>
      </w:r>
      <w:r>
        <w:t xml:space="preserve">. </w:t>
      </w:r>
    </w:p>
    <w:p w14:paraId="2CFF72E8" w14:textId="62EC1945" w:rsidR="00D80FC4" w:rsidRDefault="009D1C5E" w:rsidP="0058045D">
      <w:pPr>
        <w:pStyle w:val="Heading3"/>
      </w:pPr>
      <w:r>
        <w:t>Project Operator</w:t>
      </w:r>
      <w:r w:rsidR="00DC2887">
        <w:t xml:space="preserve"> acknowledges and</w:t>
      </w:r>
      <w:r>
        <w:t xml:space="preserve"> agrees that the Commonwealth</w:t>
      </w:r>
      <w:r w:rsidR="00DC2887">
        <w:t>, and other Commonwealth entities, and State or Territory Governments (as applicable)</w:t>
      </w:r>
      <w:r>
        <w:t xml:space="preserve"> may, from time to time, publish a report on </w:t>
      </w:r>
      <w:r w:rsidR="00DC2887">
        <w:t>their</w:t>
      </w:r>
      <w:r>
        <w:t xml:space="preserve"> website with details of</w:t>
      </w:r>
      <w:r w:rsidR="00D80FC4">
        <w:t>:</w:t>
      </w:r>
    </w:p>
    <w:p w14:paraId="5EE8008D" w14:textId="77777777" w:rsidR="00D80FC4" w:rsidRDefault="2C388DF0" w:rsidP="0058045D">
      <w:pPr>
        <w:pStyle w:val="Heading4"/>
      </w:pPr>
      <w:r>
        <w:t>the Social Licence Commitments achieved by Project Operator; and</w:t>
      </w:r>
    </w:p>
    <w:p w14:paraId="056A0C00" w14:textId="0026F31B" w:rsidR="00A254B4" w:rsidRDefault="2C388DF0" w:rsidP="0058045D">
      <w:pPr>
        <w:pStyle w:val="Heading4"/>
      </w:pPr>
      <w:r>
        <w:t xml:space="preserve">Project Operator’s progress against its </w:t>
      </w:r>
      <w:r w:rsidR="00163D52">
        <w:t xml:space="preserve">ongoing </w:t>
      </w:r>
      <w:r>
        <w:t>Social Licence Commitments.</w:t>
      </w:r>
    </w:p>
    <w:p w14:paraId="505B0942" w14:textId="77777777" w:rsidR="00AC3112" w:rsidRDefault="2BC382E4" w:rsidP="0058045D">
      <w:pPr>
        <w:pStyle w:val="Heading2"/>
      </w:pPr>
      <w:bookmarkStart w:id="2748" w:name="_Ref94878040"/>
      <w:bookmarkStart w:id="2749" w:name="_Toc101536776"/>
      <w:bookmarkStart w:id="2750" w:name="_Toc156909152"/>
      <w:bookmarkStart w:id="2751" w:name="_Toc207309605"/>
      <w:r>
        <w:t>Audit</w:t>
      </w:r>
      <w:bookmarkEnd w:id="2748"/>
      <w:bookmarkEnd w:id="2749"/>
      <w:bookmarkEnd w:id="2750"/>
      <w:bookmarkEnd w:id="2751"/>
    </w:p>
    <w:p w14:paraId="4F7EF7BA" w14:textId="301B3B84" w:rsidR="00AC3112" w:rsidRDefault="00AC3112" w:rsidP="003A24AE">
      <w:pPr>
        <w:pStyle w:val="Heading3"/>
        <w:numPr>
          <w:ilvl w:val="0"/>
          <w:numId w:val="0"/>
        </w:numPr>
        <w:ind w:left="737"/>
      </w:pPr>
      <w:bookmarkStart w:id="2752" w:name="_Ref106275292"/>
      <w:bookmarkStart w:id="2753" w:name="_Ref93659782"/>
      <w:r>
        <w:t xml:space="preserve">The Commonwealth may, at any time, request an audit of Project Operator’s compliance with </w:t>
      </w:r>
      <w:r w:rsidR="0050276D">
        <w:t>and</w:t>
      </w:r>
      <w:r>
        <w:t xml:space="preserve"> perform</w:t>
      </w:r>
      <w:r w:rsidR="0050276D">
        <w:t xml:space="preserve">ance of </w:t>
      </w:r>
      <w:r>
        <w:t>the Social Licence Commitments</w:t>
      </w:r>
      <w:r w:rsidR="0050276D">
        <w:t>,</w:t>
      </w:r>
      <w:r w:rsidR="00D344F3">
        <w:t xml:space="preserve"> in accordance with clause </w:t>
      </w:r>
      <w:r w:rsidR="00D344F3">
        <w:fldChar w:fldCharType="begin"/>
      </w:r>
      <w:r w:rsidR="00D344F3">
        <w:instrText xml:space="preserve"> REF _Ref149848578 \w \h </w:instrText>
      </w:r>
      <w:r w:rsidR="00D344F3">
        <w:fldChar w:fldCharType="separate"/>
      </w:r>
      <w:r w:rsidR="002E5C6A">
        <w:t>32.4</w:t>
      </w:r>
      <w:r w:rsidR="00D344F3">
        <w:fldChar w:fldCharType="end"/>
      </w:r>
      <w:r w:rsidR="00D344F3">
        <w:t xml:space="preserve"> (“</w:t>
      </w:r>
      <w:r w:rsidR="00D344F3">
        <w:fldChar w:fldCharType="begin"/>
      </w:r>
      <w:r w:rsidR="00D344F3">
        <w:instrText xml:space="preserve">  REF _Ref149848578 \h </w:instrText>
      </w:r>
      <w:r w:rsidR="00D344F3">
        <w:fldChar w:fldCharType="separate"/>
      </w:r>
      <w:r w:rsidR="002E5C6A">
        <w:t>Right to access and audit</w:t>
      </w:r>
      <w:r w:rsidR="00D344F3">
        <w:fldChar w:fldCharType="end"/>
      </w:r>
      <w:r w:rsidR="00D344F3">
        <w:t>”)</w:t>
      </w:r>
      <w:r>
        <w:t>.</w:t>
      </w:r>
      <w:bookmarkEnd w:id="2752"/>
      <w:r>
        <w:t xml:space="preserve"> </w:t>
      </w:r>
    </w:p>
    <w:p w14:paraId="54F270BD" w14:textId="77777777" w:rsidR="00AC3112" w:rsidRDefault="2BC382E4" w:rsidP="0058045D">
      <w:pPr>
        <w:pStyle w:val="Heading2"/>
        <w:rPr>
          <w:szCs w:val="18"/>
        </w:rPr>
      </w:pPr>
      <w:bookmarkStart w:id="2754" w:name="_Ref94878268"/>
      <w:bookmarkStart w:id="2755" w:name="_Toc101536777"/>
      <w:bookmarkStart w:id="2756" w:name="_Toc156909153"/>
      <w:bookmarkStart w:id="2757" w:name="_Toc207309606"/>
      <w:bookmarkEnd w:id="2753"/>
      <w:r>
        <w:t>Notice of non-compliance</w:t>
      </w:r>
      <w:bookmarkEnd w:id="2754"/>
      <w:bookmarkEnd w:id="2755"/>
      <w:bookmarkEnd w:id="2756"/>
      <w:bookmarkEnd w:id="2757"/>
    </w:p>
    <w:p w14:paraId="73DBD827" w14:textId="77777777" w:rsidR="00AC3112" w:rsidRDefault="2BC382E4" w:rsidP="003A24AE">
      <w:pPr>
        <w:pStyle w:val="Heading3"/>
        <w:numPr>
          <w:ilvl w:val="0"/>
          <w:numId w:val="0"/>
        </w:numPr>
        <w:ind w:left="737"/>
      </w:pPr>
      <w:bookmarkStart w:id="2758" w:name="_Ref93318388"/>
      <w:r>
        <w:t>If, following:</w:t>
      </w:r>
      <w:bookmarkEnd w:id="2758"/>
      <w:r>
        <w:t xml:space="preserve"> </w:t>
      </w:r>
    </w:p>
    <w:p w14:paraId="540033AC" w14:textId="1C835B83" w:rsidR="00AC3112" w:rsidRDefault="2C388DF0" w:rsidP="0058045D">
      <w:pPr>
        <w:pStyle w:val="Heading3"/>
      </w:pPr>
      <w:r>
        <w:t>the receipt of Project Operator’s report and any additional information requested by the Commonwealth under clause</w:t>
      </w:r>
      <w:r w:rsidR="00624158">
        <w:t xml:space="preserve"> </w:t>
      </w:r>
      <w:r w:rsidR="00624158">
        <w:fldChar w:fldCharType="begin"/>
      </w:r>
      <w:r w:rsidR="00624158">
        <w:instrText xml:space="preserve"> REF _Ref94878032 \r \h </w:instrText>
      </w:r>
      <w:r w:rsidR="00624158">
        <w:fldChar w:fldCharType="separate"/>
      </w:r>
      <w:r w:rsidR="002E5C6A">
        <w:t>12.4</w:t>
      </w:r>
      <w:r w:rsidR="00624158">
        <w:fldChar w:fldCharType="end"/>
      </w:r>
      <w:r>
        <w:t xml:space="preserve"> (“</w:t>
      </w:r>
      <w:r w:rsidR="00AC3112">
        <w:fldChar w:fldCharType="begin"/>
      </w:r>
      <w:r w:rsidR="00AC3112">
        <w:instrText xml:space="preserve"> REF _Ref94878032 \h </w:instrText>
      </w:r>
      <w:r w:rsidR="00AC3112">
        <w:fldChar w:fldCharType="separate"/>
      </w:r>
      <w:r w:rsidR="002E5C6A" w:rsidRPr="00F06646">
        <w:t>Social Licence Commitments Reporting</w:t>
      </w:r>
      <w:r w:rsidR="00AC3112">
        <w:fldChar w:fldCharType="end"/>
      </w:r>
      <w:r>
        <w:t xml:space="preserve">”); </w:t>
      </w:r>
    </w:p>
    <w:p w14:paraId="26CB2FB8" w14:textId="35A70F6B" w:rsidR="00AC3112" w:rsidRDefault="00AC3112" w:rsidP="0058045D">
      <w:pPr>
        <w:pStyle w:val="Heading3"/>
      </w:pPr>
      <w:r>
        <w:t xml:space="preserve">the expiry of the </w:t>
      </w:r>
      <w:r w:rsidR="00DF3A43">
        <w:t>20</w:t>
      </w:r>
      <w:r>
        <w:t xml:space="preserve"> Business Day period in which Project Operator must provide any additional information requested by the Commonwealth</w:t>
      </w:r>
      <w:r w:rsidRPr="005A0D9B">
        <w:t xml:space="preserve"> </w:t>
      </w:r>
      <w:r>
        <w:t xml:space="preserve">under clause </w:t>
      </w:r>
      <w:r w:rsidR="00624158">
        <w:fldChar w:fldCharType="begin"/>
      </w:r>
      <w:r w:rsidR="00624158">
        <w:instrText xml:space="preserve"> REF _Ref94878032 \r \h </w:instrText>
      </w:r>
      <w:r w:rsidR="00624158">
        <w:fldChar w:fldCharType="separate"/>
      </w:r>
      <w:r w:rsidR="002E5C6A">
        <w:t>12.4</w:t>
      </w:r>
      <w:r w:rsidR="00624158">
        <w:fldChar w:fldCharType="end"/>
      </w:r>
      <w:r>
        <w:t xml:space="preserve"> (“</w:t>
      </w:r>
      <w:r>
        <w:fldChar w:fldCharType="begin"/>
      </w:r>
      <w:r>
        <w:instrText xml:space="preserve"> REF _Ref94878032 \h </w:instrText>
      </w:r>
      <w:r>
        <w:fldChar w:fldCharType="separate"/>
      </w:r>
      <w:r w:rsidR="002E5C6A" w:rsidRPr="00F06646">
        <w:t>Social Licence Commitments Reporting</w:t>
      </w:r>
      <w:r>
        <w:fldChar w:fldCharType="end"/>
      </w:r>
      <w:r>
        <w:t>”)</w:t>
      </w:r>
      <w:r w:rsidR="0050276D">
        <w:t xml:space="preserve">, whether or not Project Operator has provided the additional information requested by the Commonwealth under clause </w:t>
      </w:r>
      <w:r w:rsidR="0050276D">
        <w:fldChar w:fldCharType="begin"/>
      </w:r>
      <w:r w:rsidR="0050276D">
        <w:instrText xml:space="preserve"> REF _Ref94878032 \r \h </w:instrText>
      </w:r>
      <w:r w:rsidR="0050276D">
        <w:fldChar w:fldCharType="separate"/>
      </w:r>
      <w:r w:rsidR="002E5C6A">
        <w:t>12.4</w:t>
      </w:r>
      <w:r w:rsidR="0050276D">
        <w:fldChar w:fldCharType="end"/>
      </w:r>
      <w:r>
        <w:t>; or</w:t>
      </w:r>
      <w:r w:rsidR="00B73695">
        <w:t xml:space="preserve"> </w:t>
      </w:r>
    </w:p>
    <w:p w14:paraId="5BF25E57" w14:textId="3A97CAD8" w:rsidR="00AC3112" w:rsidRDefault="00AC3112" w:rsidP="0058045D">
      <w:pPr>
        <w:pStyle w:val="Heading3"/>
      </w:pPr>
      <w:r>
        <w:t xml:space="preserve">the completion of an audit of Project Operator’s performance </w:t>
      </w:r>
      <w:r w:rsidR="00FD034C">
        <w:t xml:space="preserve">or </w:t>
      </w:r>
      <w:r w:rsidR="00EE32DC">
        <w:t>compliance</w:t>
      </w:r>
      <w:r w:rsidR="00FD034C">
        <w:t xml:space="preserve"> with</w:t>
      </w:r>
      <w:r>
        <w:t xml:space="preserve"> its Social Licence Commitments in accordance with clause </w:t>
      </w:r>
      <w:r w:rsidR="00781189">
        <w:fldChar w:fldCharType="begin"/>
      </w:r>
      <w:r w:rsidR="00781189">
        <w:instrText xml:space="preserve"> REF _Ref149848578 \w \h </w:instrText>
      </w:r>
      <w:r w:rsidR="00781189">
        <w:fldChar w:fldCharType="separate"/>
      </w:r>
      <w:r w:rsidR="002E5C6A">
        <w:t>32.4</w:t>
      </w:r>
      <w:r w:rsidR="00781189">
        <w:fldChar w:fldCharType="end"/>
      </w:r>
      <w:r w:rsidR="00781189">
        <w:t xml:space="preserve"> (“</w:t>
      </w:r>
      <w:r w:rsidR="00781189">
        <w:fldChar w:fldCharType="begin"/>
      </w:r>
      <w:r w:rsidR="00781189">
        <w:instrText xml:space="preserve">  REF _Ref149848578 \h </w:instrText>
      </w:r>
      <w:r w:rsidR="00781189">
        <w:fldChar w:fldCharType="separate"/>
      </w:r>
      <w:r w:rsidR="002E5C6A">
        <w:t>Right to access and audit</w:t>
      </w:r>
      <w:r w:rsidR="00781189">
        <w:fldChar w:fldCharType="end"/>
      </w:r>
      <w:r w:rsidR="00781189">
        <w:t>”)</w:t>
      </w:r>
      <w:r>
        <w:t xml:space="preserve">, </w:t>
      </w:r>
    </w:p>
    <w:p w14:paraId="7C1A07CB" w14:textId="69C8B19E" w:rsidR="00AC3112" w:rsidRPr="00847C21" w:rsidRDefault="2BC382E4" w:rsidP="003A24AE">
      <w:pPr>
        <w:pStyle w:val="Heading3"/>
        <w:numPr>
          <w:ilvl w:val="0"/>
          <w:numId w:val="0"/>
        </w:numPr>
        <w:ind w:left="737"/>
      </w:pPr>
      <w:r>
        <w:t xml:space="preserve">the Commonwealth determines (acting reasonably) that </w:t>
      </w:r>
      <w:r w:rsidRPr="00847C21">
        <w:t>Project Operator is not complying with, or performing, the Social Licence Commitments</w:t>
      </w:r>
      <w:r w:rsidR="007E4657" w:rsidRPr="008F660B">
        <w:t xml:space="preserve"> as required by this agreement</w:t>
      </w:r>
      <w:r w:rsidRPr="00847C21">
        <w:t xml:space="preserve">, then the Commonwealth may give a notice to Project Operator </w:t>
      </w:r>
      <w:r w:rsidR="00B314B2" w:rsidRPr="00847C21">
        <w:t>that</w:t>
      </w:r>
      <w:r w:rsidRPr="00847C21">
        <w:t xml:space="preserve">: </w:t>
      </w:r>
    </w:p>
    <w:p w14:paraId="0DA9EEEF" w14:textId="77777777" w:rsidR="00AC3112" w:rsidRPr="00847C21" w:rsidRDefault="00AC3112" w:rsidP="0058045D">
      <w:pPr>
        <w:pStyle w:val="Heading3"/>
      </w:pPr>
      <w:r w:rsidRPr="00847C21">
        <w:t xml:space="preserve">specifies each Social Licence Commitment </w:t>
      </w:r>
      <w:r w:rsidR="0050276D" w:rsidRPr="00847C21">
        <w:t xml:space="preserve">with which </w:t>
      </w:r>
      <w:r w:rsidRPr="00847C21">
        <w:t>Project Operator has failed to comply; and</w:t>
      </w:r>
    </w:p>
    <w:p w14:paraId="4B4007C9" w14:textId="77777777" w:rsidR="00AC3112" w:rsidRPr="00847C21" w:rsidRDefault="00AC3112" w:rsidP="0058045D">
      <w:pPr>
        <w:pStyle w:val="Heading3"/>
      </w:pPr>
      <w:bookmarkStart w:id="2759" w:name="_Ref167308316"/>
      <w:r w:rsidRPr="00847C21">
        <w:t>may specify whether the Commonwealth considers Project Operator’s non-compliance to be not remediable, in which case the Commonwealth will provide reasonable details of its reasons.</w:t>
      </w:r>
      <w:bookmarkEnd w:id="2759"/>
    </w:p>
    <w:p w14:paraId="7277965D" w14:textId="77777777" w:rsidR="00AC3112" w:rsidRPr="00847C21" w:rsidRDefault="2BC382E4" w:rsidP="0058045D">
      <w:pPr>
        <w:pStyle w:val="Heading2"/>
      </w:pPr>
      <w:bookmarkStart w:id="2760" w:name="_Ref99722672"/>
      <w:bookmarkStart w:id="2761" w:name="_Toc101536778"/>
      <w:bookmarkStart w:id="2762" w:name="_Toc156909154"/>
      <w:bookmarkStart w:id="2763" w:name="_Toc207309607"/>
      <w:r w:rsidRPr="00847C21">
        <w:t>Cure</w:t>
      </w:r>
      <w:bookmarkEnd w:id="2760"/>
      <w:bookmarkEnd w:id="2761"/>
      <w:bookmarkEnd w:id="2762"/>
      <w:bookmarkEnd w:id="2763"/>
    </w:p>
    <w:p w14:paraId="43308E05" w14:textId="77777777" w:rsidR="00DC2887" w:rsidRPr="00847C21" w:rsidRDefault="008D57E5" w:rsidP="0058045D">
      <w:pPr>
        <w:pStyle w:val="Heading3"/>
      </w:pPr>
      <w:bookmarkStart w:id="2764" w:name="_Ref94878971"/>
      <w:bookmarkStart w:id="2765" w:name="_Ref93318840"/>
      <w:r w:rsidRPr="00847C21">
        <w:t>As soon as reasonably practicable, and in any case w</w:t>
      </w:r>
      <w:r w:rsidR="00AC3112" w:rsidRPr="00847C21">
        <w:t>ithin 20 Business Days after</w:t>
      </w:r>
      <w:r w:rsidR="00DC2887" w:rsidRPr="00847C21">
        <w:t>:</w:t>
      </w:r>
    </w:p>
    <w:p w14:paraId="18AEAA26" w14:textId="756B19CB" w:rsidR="00DC2887" w:rsidRDefault="002B24BD" w:rsidP="00DC2887">
      <w:pPr>
        <w:pStyle w:val="Heading4"/>
      </w:pPr>
      <w:r w:rsidRPr="00847C21">
        <w:t>p</w:t>
      </w:r>
      <w:r w:rsidR="00DC2887" w:rsidRPr="00847C21">
        <w:t xml:space="preserve">roviding a notice under clause </w:t>
      </w:r>
      <w:r w:rsidR="00DC2887" w:rsidRPr="00847C21">
        <w:fldChar w:fldCharType="begin"/>
      </w:r>
      <w:r w:rsidR="00DC2887" w:rsidRPr="00847C21">
        <w:instrText xml:space="preserve"> REF _Ref199422817 \r \h </w:instrText>
      </w:r>
      <w:r w:rsidR="00801FA4">
        <w:instrText xml:space="preserve"> \* MERGEFORMAT </w:instrText>
      </w:r>
      <w:r w:rsidR="00DC2887" w:rsidRPr="00847C21">
        <w:fldChar w:fldCharType="separate"/>
      </w:r>
      <w:r w:rsidR="002E5C6A">
        <w:t>11.1(a)(iii)</w:t>
      </w:r>
      <w:r w:rsidR="00DC2887" w:rsidRPr="00847C21">
        <w:fldChar w:fldCharType="end"/>
      </w:r>
      <w:r w:rsidR="00DC2887" w:rsidRPr="00847C21">
        <w:t xml:space="preserve"> in respect of</w:t>
      </w:r>
      <w:r w:rsidR="007E4657" w:rsidRPr="008F660B">
        <w:t xml:space="preserve"> an actual or anticipated</w:t>
      </w:r>
      <w:r w:rsidR="00DC2887" w:rsidRPr="00847C21">
        <w:t xml:space="preserve"> material non-compliance with any of the Social Licence Commitments</w:t>
      </w:r>
      <w:r w:rsidR="00DC2887">
        <w:t>; or</w:t>
      </w:r>
    </w:p>
    <w:p w14:paraId="7C44DB87" w14:textId="0C922CDA" w:rsidR="00DC2887" w:rsidRDefault="00AC3112" w:rsidP="00DC2887">
      <w:pPr>
        <w:pStyle w:val="Heading4"/>
      </w:pPr>
      <w:r>
        <w:t xml:space="preserve">receiving a notice under clause </w:t>
      </w:r>
      <w:r>
        <w:fldChar w:fldCharType="begin"/>
      </w:r>
      <w:r>
        <w:instrText xml:space="preserve"> REF _Ref94878268 \r \h  \* MERGEFORMAT </w:instrText>
      </w:r>
      <w:r>
        <w:fldChar w:fldCharType="separate"/>
      </w:r>
      <w:r w:rsidR="002E5C6A">
        <w:t>11.3</w:t>
      </w:r>
      <w:r>
        <w:fldChar w:fldCharType="end"/>
      </w:r>
      <w:r>
        <w:t xml:space="preserve"> (“</w:t>
      </w:r>
      <w:r>
        <w:fldChar w:fldCharType="begin"/>
      </w:r>
      <w:r>
        <w:instrText xml:space="preserve"> REF _Ref94878268 \h  \* MERGEFORMAT </w:instrText>
      </w:r>
      <w:r>
        <w:fldChar w:fldCharType="separate"/>
      </w:r>
      <w:r w:rsidR="002E5C6A">
        <w:t>Notice of non-compliance</w:t>
      </w:r>
      <w:r>
        <w:fldChar w:fldCharType="end"/>
      </w:r>
      <w:r>
        <w:t xml:space="preserve">”), </w:t>
      </w:r>
    </w:p>
    <w:p w14:paraId="70D060A6" w14:textId="09FFE85D" w:rsidR="00AC3112" w:rsidRDefault="00AC3112" w:rsidP="00D315FD">
      <w:pPr>
        <w:pStyle w:val="Heading4"/>
        <w:numPr>
          <w:ilvl w:val="0"/>
          <w:numId w:val="0"/>
        </w:numPr>
        <w:ind w:left="1474"/>
      </w:pPr>
      <w:r>
        <w:t>Project Operator must submit a cure plan to the Commonwealth in relation to the non-compliance (“</w:t>
      </w:r>
      <w:r w:rsidRPr="00D315FD">
        <w:t>Draft</w:t>
      </w:r>
      <w:r>
        <w:t xml:space="preserve"> </w:t>
      </w:r>
      <w:r w:rsidRPr="00D315FD">
        <w:t>SLC Cure Plan</w:t>
      </w:r>
      <w:r w:rsidRPr="00616850">
        <w:t>”</w:t>
      </w:r>
      <w:r>
        <w:t>).</w:t>
      </w:r>
      <w:bookmarkEnd w:id="2764"/>
      <w:r>
        <w:t xml:space="preserve"> </w:t>
      </w:r>
    </w:p>
    <w:p w14:paraId="0518ABAE" w14:textId="77777777" w:rsidR="00AC3112" w:rsidRDefault="00AC3112" w:rsidP="00AF73C7">
      <w:pPr>
        <w:pStyle w:val="Heading3"/>
        <w:keepNext/>
      </w:pPr>
      <w:bookmarkStart w:id="2766" w:name="_Ref108098504"/>
      <w:r>
        <w:t>A Draft SLC Cure Plan must set out:</w:t>
      </w:r>
      <w:bookmarkEnd w:id="2765"/>
      <w:bookmarkEnd w:id="2766"/>
      <w:r>
        <w:t xml:space="preserve"> </w:t>
      </w:r>
    </w:p>
    <w:p w14:paraId="1E7EF0EE" w14:textId="77777777" w:rsidR="00AC3112" w:rsidRDefault="00AC3112" w:rsidP="0058045D">
      <w:pPr>
        <w:pStyle w:val="Heading4"/>
      </w:pPr>
      <w:r>
        <w:t xml:space="preserve">the progress made by Project Operator in satisfying the relevant Social Licence Commitment; </w:t>
      </w:r>
    </w:p>
    <w:p w14:paraId="06ED8F37" w14:textId="775800CB" w:rsidR="00AC3112" w:rsidRPr="00847C21" w:rsidRDefault="00AC3112" w:rsidP="0058045D">
      <w:pPr>
        <w:pStyle w:val="Heading4"/>
      </w:pPr>
      <w:r>
        <w:t>Project Operator’s best estimate of when the non-compliance will be remedied</w:t>
      </w:r>
      <w:r w:rsidR="00EB44AD">
        <w:t xml:space="preserve"> (using its best endeavours)</w:t>
      </w:r>
      <w:r w:rsidR="00184F98">
        <w:t xml:space="preserve">, </w:t>
      </w:r>
      <w:r w:rsidR="00B314B2">
        <w:t xml:space="preserve">and </w:t>
      </w:r>
      <w:r w:rsidR="00184F98">
        <w:t xml:space="preserve">that estimate </w:t>
      </w:r>
      <w:r w:rsidR="00B314B2" w:rsidRPr="00847C21">
        <w:t xml:space="preserve">must be </w:t>
      </w:r>
      <w:r w:rsidR="00184F98" w:rsidRPr="00847C21">
        <w:t>provided on the basis that Project Operator is required to remedy that non-compliance as soon as reasonably practicable (including a reasonable period for contingency)</w:t>
      </w:r>
      <w:r w:rsidR="007E4657" w:rsidRPr="008F660B">
        <w:t xml:space="preserve"> at its own expense</w:t>
      </w:r>
      <w:r w:rsidRPr="00847C21">
        <w:t xml:space="preserve">; and </w:t>
      </w:r>
    </w:p>
    <w:p w14:paraId="629BDFA9" w14:textId="6EEDE4AA" w:rsidR="00AC3112" w:rsidRPr="00847C21" w:rsidRDefault="00AC3112" w:rsidP="0058045D">
      <w:pPr>
        <w:pStyle w:val="Heading4"/>
      </w:pPr>
      <w:bookmarkStart w:id="2767" w:name="_Ref101357679"/>
      <w:bookmarkStart w:id="2768" w:name="_Ref93318842"/>
      <w:r w:rsidRPr="00847C21">
        <w:t>if Project Operator or the Commonwealth considers that a non-compliance cannot be remedied, an alternative proposal to the Social Licence Commitment. The alternative proposal may include</w:t>
      </w:r>
      <w:bookmarkEnd w:id="2767"/>
      <w:r w:rsidRPr="00847C21">
        <w:t xml:space="preserve"> </w:t>
      </w:r>
      <w:r w:rsidR="0050276D" w:rsidRPr="00847C21">
        <w:t xml:space="preserve">an alternative to the relevant Social Licence Commitment which is of equivalent or greater merit for the Commonwealth than the Social Licence Commitment that has not been </w:t>
      </w:r>
      <w:r w:rsidR="00A524BB" w:rsidRPr="00847C21">
        <w:t>performed</w:t>
      </w:r>
      <w:r w:rsidR="0050276D" w:rsidRPr="00847C21">
        <w:t>.</w:t>
      </w:r>
    </w:p>
    <w:bookmarkEnd w:id="2768"/>
    <w:p w14:paraId="10E03675" w14:textId="3981EB1D" w:rsidR="00AC3112" w:rsidRPr="00F06646" w:rsidRDefault="00AC3112" w:rsidP="0058045D">
      <w:pPr>
        <w:pStyle w:val="Heading3"/>
      </w:pPr>
      <w:r w:rsidRPr="00847C21">
        <w:t xml:space="preserve">If the non-compliance that cannot be remedied relates only to a part of that Social Licence Commitment, then the Draft SLC Cure Plan may </w:t>
      </w:r>
      <w:r w:rsidR="007E4657" w:rsidRPr="008F660B">
        <w:t>address only</w:t>
      </w:r>
      <w:r w:rsidR="007E4657" w:rsidRPr="00847C21">
        <w:t xml:space="preserve"> </w:t>
      </w:r>
      <w:r w:rsidRPr="00847C21">
        <w:t>that part</w:t>
      </w:r>
      <w:r w:rsidRPr="00F06646">
        <w:t xml:space="preserve"> of the relevant Social Licence Commitment.</w:t>
      </w:r>
    </w:p>
    <w:p w14:paraId="0495D4BD" w14:textId="77777777" w:rsidR="00AC3112" w:rsidRPr="00F06646" w:rsidRDefault="00AC3112" w:rsidP="0058045D">
      <w:pPr>
        <w:pStyle w:val="Heading3"/>
      </w:pPr>
      <w:bookmarkStart w:id="2769" w:name="_Ref103540919"/>
      <w:bookmarkStart w:id="2770" w:name="_Ref108098509"/>
      <w:r w:rsidRPr="00F06646">
        <w:t xml:space="preserve">The Commonwealth will determine (acting reasonably) whether any proposed alternative to the Social Licence Commitment is acceptable to the Commonwealth, having regard to the original Social Licence Commitment and taking into account the merit criteria applied by </w:t>
      </w:r>
      <w:r w:rsidR="00F830B3" w:rsidRPr="00F06646">
        <w:t>the Commonwealth</w:t>
      </w:r>
      <w:r w:rsidRPr="00F06646">
        <w:t xml:space="preserve"> to </w:t>
      </w:r>
      <w:r w:rsidR="00EB44AD" w:rsidRPr="00F06646">
        <w:t>the assessment of the Tender</w:t>
      </w:r>
      <w:r w:rsidRPr="00F06646">
        <w:t>.</w:t>
      </w:r>
      <w:bookmarkEnd w:id="2769"/>
      <w:r w:rsidRPr="00F06646">
        <w:t xml:space="preserve"> </w:t>
      </w:r>
      <w:bookmarkEnd w:id="2770"/>
    </w:p>
    <w:p w14:paraId="030F0CEA" w14:textId="3F8DE187" w:rsidR="00AC3112" w:rsidRPr="00F06646" w:rsidRDefault="00AC3112" w:rsidP="0058045D">
      <w:pPr>
        <w:pStyle w:val="Heading3"/>
      </w:pPr>
      <w:bookmarkStart w:id="2771" w:name="_Ref94879032"/>
      <w:bookmarkStart w:id="2772" w:name="_Ref108098511"/>
      <w:bookmarkStart w:id="2773" w:name="_Ref114136384"/>
      <w:bookmarkStart w:id="2774" w:name="_Ref166245206"/>
      <w:r w:rsidRPr="00F06646">
        <w:t xml:space="preserve">Within 60 Business Days after </w:t>
      </w:r>
      <w:r w:rsidR="003353C6" w:rsidRPr="00F06646">
        <w:t xml:space="preserve">the later of </w:t>
      </w:r>
      <w:r w:rsidRPr="00F06646">
        <w:t>receiving the Draft SLC Cure Plan</w:t>
      </w:r>
      <w:r w:rsidR="003353C6" w:rsidRPr="00F06646">
        <w:t xml:space="preserve"> and </w:t>
      </w:r>
      <w:r w:rsidR="009D6B76" w:rsidRPr="00F06646">
        <w:t xml:space="preserve">receiving </w:t>
      </w:r>
      <w:r w:rsidR="003353C6" w:rsidRPr="00F06646">
        <w:t>any further information requested by the Commonwealth</w:t>
      </w:r>
      <w:r w:rsidRPr="00F06646">
        <w:t xml:space="preserve">, the Commonwealth must use reasonable endeavours to </w:t>
      </w:r>
      <w:r w:rsidRPr="00F06646">
        <w:rPr>
          <w:szCs w:val="18"/>
        </w:rPr>
        <w:t>either</w:t>
      </w:r>
      <w:r w:rsidRPr="00F06646">
        <w:t xml:space="preserve"> approve or reject that Draft SLC Cure Plan.</w:t>
      </w:r>
      <w:bookmarkEnd w:id="2771"/>
      <w:bookmarkEnd w:id="2772"/>
      <w:r w:rsidRPr="00F06646">
        <w:t xml:space="preserve"> </w:t>
      </w:r>
      <w:bookmarkEnd w:id="2773"/>
      <w:r w:rsidR="00781189" w:rsidRPr="00F06646">
        <w:t xml:space="preserve">Without limitation, it will be unreasonable for the Commonwealth </w:t>
      </w:r>
      <w:r w:rsidR="0050276D" w:rsidRPr="00F06646">
        <w:t xml:space="preserve">to </w:t>
      </w:r>
      <w:r w:rsidR="00781189" w:rsidRPr="00F06646">
        <w:t xml:space="preserve">reject the Draft SLC Cure Plan </w:t>
      </w:r>
      <w:r w:rsidR="0050276D" w:rsidRPr="00792B2E">
        <w:t>if</w:t>
      </w:r>
      <w:r w:rsidR="0050276D" w:rsidRPr="00F06646">
        <w:t xml:space="preserve"> </w:t>
      </w:r>
      <w:r w:rsidR="00781189" w:rsidRPr="00F06646">
        <w:t>it:</w:t>
      </w:r>
      <w:bookmarkEnd w:id="2774"/>
      <w:r w:rsidR="00781189" w:rsidRPr="00F06646">
        <w:t xml:space="preserve"> </w:t>
      </w:r>
    </w:p>
    <w:p w14:paraId="736F0D99" w14:textId="77777777" w:rsidR="00781189" w:rsidRPr="00F06646" w:rsidRDefault="00781189" w:rsidP="0058045D">
      <w:pPr>
        <w:pStyle w:val="Heading4"/>
      </w:pPr>
      <w:r w:rsidRPr="00F06646">
        <w:t xml:space="preserve">is prepared in accordance with the requirements of this agreement; </w:t>
      </w:r>
    </w:p>
    <w:p w14:paraId="0669A751" w14:textId="75BA2D40" w:rsidR="00781189" w:rsidRPr="00F06646" w:rsidRDefault="00781189" w:rsidP="0058045D">
      <w:pPr>
        <w:pStyle w:val="Heading4"/>
      </w:pPr>
      <w:r w:rsidRPr="00F06646">
        <w:t xml:space="preserve">identifies reasonable steps </w:t>
      </w:r>
      <w:r w:rsidR="00B314B2">
        <w:t>that</w:t>
      </w:r>
      <w:r w:rsidRPr="00F06646">
        <w:t>, if implemented by Project Operator, will remedy Project Operator</w:t>
      </w:r>
      <w:r w:rsidR="001117F7" w:rsidRPr="00F06646">
        <w:t>’</w:t>
      </w:r>
      <w:r w:rsidRPr="00F06646">
        <w:t>s failure to comply with its Social Licence Commitments;</w:t>
      </w:r>
    </w:p>
    <w:p w14:paraId="1E4474DE" w14:textId="77777777" w:rsidR="00781189" w:rsidRPr="00F06646" w:rsidRDefault="00781189" w:rsidP="0058045D">
      <w:pPr>
        <w:pStyle w:val="Heading4"/>
      </w:pPr>
      <w:r w:rsidRPr="00F06646">
        <w:t>identifies a date for the satisfaction of the relevant Social Licence Commitments</w:t>
      </w:r>
      <w:r w:rsidR="001359F2" w:rsidRPr="00F06646">
        <w:t>,</w:t>
      </w:r>
      <w:r w:rsidRPr="00F06646">
        <w:t xml:space="preserve"> which is as soon as reasonably practicable (including a reasonable period for contingency) after </w:t>
      </w:r>
      <w:r w:rsidR="001359F2" w:rsidRPr="00F06646">
        <w:t xml:space="preserve">Project </w:t>
      </w:r>
      <w:r w:rsidRPr="00F06646">
        <w:t>Operator submits the Draft SLC Cure Plan to the Commonwealth;</w:t>
      </w:r>
    </w:p>
    <w:p w14:paraId="43442318" w14:textId="48257B45" w:rsidR="00A524BB" w:rsidRPr="00792B2E" w:rsidRDefault="00781189" w:rsidP="0058045D">
      <w:pPr>
        <w:pStyle w:val="Heading4"/>
      </w:pPr>
      <w:r w:rsidRPr="00F06646">
        <w:t xml:space="preserve">demonstrates that </w:t>
      </w:r>
      <w:r w:rsidR="001359F2" w:rsidRPr="00F06646">
        <w:t>Project</w:t>
      </w:r>
      <w:r w:rsidRPr="00F06646">
        <w:t xml:space="preserve"> Operator will be able to satisfy the relevant Social Licence Commitments on or before the proposed revised dates or </w:t>
      </w:r>
      <w:r w:rsidRPr="00847C21">
        <w:t xml:space="preserve">includes an alternative proposal </w:t>
      </w:r>
      <w:r w:rsidR="00B314B2" w:rsidRPr="00847C21">
        <w:t xml:space="preserve">that </w:t>
      </w:r>
      <w:r w:rsidRPr="00847C21">
        <w:t>is of equivalent or greater merit than th</w:t>
      </w:r>
      <w:r w:rsidR="00AD743A" w:rsidRPr="00847C21">
        <w:t>e original</w:t>
      </w:r>
      <w:r w:rsidRPr="00847C21">
        <w:t xml:space="preserve"> Social</w:t>
      </w:r>
      <w:r w:rsidRPr="00F06646">
        <w:t xml:space="preserve"> Licence Commitment</w:t>
      </w:r>
      <w:r w:rsidR="00A524BB" w:rsidRPr="00F06646">
        <w:t xml:space="preserve">; </w:t>
      </w:r>
      <w:r w:rsidR="00A524BB" w:rsidRPr="00792B2E">
        <w:t xml:space="preserve">and </w:t>
      </w:r>
    </w:p>
    <w:p w14:paraId="28031D45" w14:textId="089F50E7" w:rsidR="00781189" w:rsidRPr="00847C21" w:rsidRDefault="00A524BB" w:rsidP="0058045D">
      <w:pPr>
        <w:pStyle w:val="Heading4"/>
      </w:pPr>
      <w:r w:rsidRPr="00847C21">
        <w:t xml:space="preserve">identifies the changes that need to be made to </w:t>
      </w:r>
      <w:r w:rsidRPr="00847C21">
        <w:fldChar w:fldCharType="begin"/>
      </w:r>
      <w:r w:rsidRPr="00847C21">
        <w:instrText xml:space="preserve"> REF _Ref159507374 \w \h </w:instrText>
      </w:r>
      <w:r w:rsidR="00F205EC" w:rsidRPr="00847C21">
        <w:instrText xml:space="preserve"> \* MERGEFORMAT </w:instrText>
      </w:r>
      <w:r w:rsidRPr="00847C21">
        <w:fldChar w:fldCharType="separate"/>
      </w:r>
      <w:r w:rsidR="002E5C6A">
        <w:t>Schedule 2</w:t>
      </w:r>
      <w:r w:rsidRPr="00847C21">
        <w:fldChar w:fldCharType="end"/>
      </w:r>
      <w:r w:rsidRPr="00847C21">
        <w:t xml:space="preserve"> (“</w:t>
      </w:r>
      <w:r w:rsidRPr="00847C21">
        <w:fldChar w:fldCharType="begin"/>
      </w:r>
      <w:r w:rsidRPr="00847C21">
        <w:instrText xml:space="preserve"> REF _Ref159507374 \h </w:instrText>
      </w:r>
      <w:r w:rsidR="00F205EC" w:rsidRPr="00847C21">
        <w:instrText xml:space="preserve"> \* MERGEFORMAT </w:instrText>
      </w:r>
      <w:r w:rsidRPr="00847C21">
        <w:fldChar w:fldCharType="separate"/>
      </w:r>
      <w:r w:rsidR="002E5C6A" w:rsidRPr="00792B2E">
        <w:t>Social Licence Commitments</w:t>
      </w:r>
      <w:r w:rsidRPr="00847C21">
        <w:fldChar w:fldCharType="end"/>
      </w:r>
      <w:r w:rsidRPr="00847C21">
        <w:t xml:space="preserve">”) including changes to the values attributed to the affected Social Licence Commitments in </w:t>
      </w:r>
      <w:r w:rsidRPr="00847C21">
        <w:fldChar w:fldCharType="begin"/>
      </w:r>
      <w:r w:rsidRPr="00847C21">
        <w:instrText xml:space="preserve"> REF _Ref159507374 \w \h </w:instrText>
      </w:r>
      <w:r w:rsidR="00F205EC" w:rsidRPr="00847C21">
        <w:instrText xml:space="preserve"> \* MERGEFORMAT </w:instrText>
      </w:r>
      <w:r w:rsidRPr="00847C21">
        <w:fldChar w:fldCharType="separate"/>
      </w:r>
      <w:r w:rsidR="002E5C6A">
        <w:t>Schedule 2</w:t>
      </w:r>
      <w:r w:rsidRPr="00847C21">
        <w:fldChar w:fldCharType="end"/>
      </w:r>
      <w:r w:rsidR="00AD743A" w:rsidRPr="008F660B">
        <w:t xml:space="preserve"> and the consequences of non-achievement of any revised Social Licence Commitments</w:t>
      </w:r>
      <w:r w:rsidR="00AD743A" w:rsidRPr="00847C21">
        <w:t>.</w:t>
      </w:r>
      <w:r w:rsidR="00781189" w:rsidRPr="00847C21">
        <w:t>.</w:t>
      </w:r>
    </w:p>
    <w:p w14:paraId="1A86B9D5" w14:textId="77777777" w:rsidR="00AC3112" w:rsidRPr="00F06646" w:rsidRDefault="00AC3112" w:rsidP="00314F33">
      <w:pPr>
        <w:pStyle w:val="Heading3"/>
        <w:keepNext/>
      </w:pPr>
      <w:bookmarkStart w:id="2775" w:name="_Ref93320021"/>
      <w:r w:rsidRPr="00F06646">
        <w:t>If the Commonwealth rejects a Draft SLC Cure Plan, then:</w:t>
      </w:r>
      <w:bookmarkEnd w:id="2775"/>
    </w:p>
    <w:p w14:paraId="3D93EB15" w14:textId="64C71B9F" w:rsidR="00AC3112" w:rsidRPr="00F06646" w:rsidRDefault="00AC3112" w:rsidP="0058045D">
      <w:pPr>
        <w:pStyle w:val="Heading4"/>
      </w:pPr>
      <w:bookmarkStart w:id="2776" w:name="_Ref101357395"/>
      <w:r w:rsidRPr="00F06646">
        <w:t>the Commonwealth will provide reasonable details of its reasons and may suggest amendments to the Draft SLC Cure Plan, which may include an assessment of the merit of any alternative proposal made by Project Operator pursuant to subparagraph</w:t>
      </w:r>
      <w:r w:rsidR="008D57E5" w:rsidRPr="00F06646">
        <w:t> </w:t>
      </w:r>
      <w:r w:rsidRPr="00F06646">
        <w:fldChar w:fldCharType="begin"/>
      </w:r>
      <w:r w:rsidRPr="00F06646">
        <w:instrText xml:space="preserve"> REF _Ref108098504 \n \h </w:instrText>
      </w:r>
      <w:r w:rsidR="00F06646">
        <w:instrText xml:space="preserve"> \* MERGEFORMAT </w:instrText>
      </w:r>
      <w:r w:rsidRPr="00F06646">
        <w:fldChar w:fldCharType="separate"/>
      </w:r>
      <w:r w:rsidR="002E5C6A">
        <w:t>(b)</w:t>
      </w:r>
      <w:r w:rsidRPr="00F06646">
        <w:fldChar w:fldCharType="end"/>
      </w:r>
      <w:r w:rsidRPr="00F06646">
        <w:fldChar w:fldCharType="begin"/>
      </w:r>
      <w:r w:rsidRPr="00F06646">
        <w:instrText xml:space="preserve"> REF _Ref101357679 \n \h </w:instrText>
      </w:r>
      <w:r w:rsidR="00F06646">
        <w:instrText xml:space="preserve"> \* MERGEFORMAT </w:instrText>
      </w:r>
      <w:r w:rsidRPr="00F06646">
        <w:fldChar w:fldCharType="separate"/>
      </w:r>
      <w:r w:rsidR="002E5C6A">
        <w:t>(iii)</w:t>
      </w:r>
      <w:r w:rsidRPr="00F06646">
        <w:fldChar w:fldCharType="end"/>
      </w:r>
      <w:r w:rsidRPr="00F06646">
        <w:t>; and</w:t>
      </w:r>
      <w:bookmarkEnd w:id="2776"/>
      <w:r w:rsidRPr="00F06646">
        <w:t xml:space="preserve"> </w:t>
      </w:r>
    </w:p>
    <w:p w14:paraId="6EAE6223" w14:textId="77777777" w:rsidR="00AC3112" w:rsidRPr="00F06646" w:rsidRDefault="008D57E5" w:rsidP="0058045D">
      <w:pPr>
        <w:pStyle w:val="Heading4"/>
      </w:pPr>
      <w:bookmarkStart w:id="2777" w:name="_Ref103540960"/>
      <w:bookmarkStart w:id="2778" w:name="_Ref94878978"/>
      <w:bookmarkStart w:id="2779" w:name="_Ref93320023"/>
      <w:r w:rsidRPr="00F06646">
        <w:t xml:space="preserve">as soon as reasonably practicable, and in any case </w:t>
      </w:r>
      <w:r w:rsidR="00AC3112" w:rsidRPr="00F06646">
        <w:t>within 20</w:t>
      </w:r>
      <w:r w:rsidR="00A524BB" w:rsidRPr="00F06646">
        <w:t> </w:t>
      </w:r>
      <w:r w:rsidR="00AC3112" w:rsidRPr="00F06646">
        <w:t>Business Days after the Draft SLC Cure Plan is rejected, Project Operator must amend and resubmit the Draft SLC Cure Plan to the Commonwealth for approval.</w:t>
      </w:r>
      <w:bookmarkEnd w:id="2777"/>
    </w:p>
    <w:p w14:paraId="32F7CCEE" w14:textId="16A0036A" w:rsidR="001359F2" w:rsidRPr="00F06646" w:rsidRDefault="001359F2" w:rsidP="0058045D">
      <w:pPr>
        <w:pStyle w:val="Heading3"/>
      </w:pPr>
      <w:bookmarkStart w:id="2780" w:name="_Ref167309284"/>
      <w:bookmarkStart w:id="2781" w:name="_Ref103541231"/>
      <w:bookmarkEnd w:id="2778"/>
      <w:bookmarkEnd w:id="2779"/>
      <w:r w:rsidRPr="00F06646">
        <w:t>Whe</w:t>
      </w:r>
      <w:r w:rsidR="00650EF6" w:rsidRPr="00F06646">
        <w:t>n</w:t>
      </w:r>
      <w:r w:rsidRPr="00F06646">
        <w:t xml:space="preserve"> Project Operator submits an amended Draft SLC Cure Plan pursuant to subparagraph </w:t>
      </w:r>
      <w:r w:rsidRPr="00F06646">
        <w:fldChar w:fldCharType="begin"/>
      </w:r>
      <w:r w:rsidRPr="00F06646">
        <w:instrText xml:space="preserve"> REF _Ref93320021 \n \h </w:instrText>
      </w:r>
      <w:r w:rsidR="00F06646">
        <w:instrText xml:space="preserve"> \* MERGEFORMAT </w:instrText>
      </w:r>
      <w:r w:rsidRPr="00F06646">
        <w:fldChar w:fldCharType="separate"/>
      </w:r>
      <w:r w:rsidR="002E5C6A">
        <w:t>(f)</w:t>
      </w:r>
      <w:r w:rsidRPr="00F06646">
        <w:fldChar w:fldCharType="end"/>
      </w:r>
      <w:r w:rsidRPr="00F06646">
        <w:fldChar w:fldCharType="begin"/>
      </w:r>
      <w:r w:rsidRPr="00F06646">
        <w:instrText xml:space="preserve"> REF _Ref103540960 \n \h </w:instrText>
      </w:r>
      <w:r w:rsidR="00F06646">
        <w:instrText xml:space="preserve"> \* MERGEFORMAT </w:instrText>
      </w:r>
      <w:r w:rsidRPr="00F06646">
        <w:fldChar w:fldCharType="separate"/>
      </w:r>
      <w:r w:rsidR="002E5C6A">
        <w:t>(ii)</w:t>
      </w:r>
      <w:r w:rsidRPr="00F06646">
        <w:fldChar w:fldCharType="end"/>
      </w:r>
      <w:r w:rsidRPr="00F06646">
        <w:t>:</w:t>
      </w:r>
      <w:bookmarkEnd w:id="2780"/>
    </w:p>
    <w:p w14:paraId="677D95CF" w14:textId="2BDF0C7D" w:rsidR="00AC3112" w:rsidRPr="00F06646" w:rsidRDefault="001359F2" w:rsidP="0058045D">
      <w:pPr>
        <w:pStyle w:val="Heading4"/>
      </w:pPr>
      <w:r w:rsidRPr="00F06646">
        <w:t>p</w:t>
      </w:r>
      <w:r w:rsidR="00AC3112" w:rsidRPr="00F06646">
        <w:t xml:space="preserve">aragraphs </w:t>
      </w:r>
      <w:r w:rsidR="00AC3112" w:rsidRPr="00F06646">
        <w:fldChar w:fldCharType="begin"/>
      </w:r>
      <w:r w:rsidR="00AC3112" w:rsidRPr="00F06646">
        <w:instrText xml:space="preserve"> REF _Ref108098509 \n \h </w:instrText>
      </w:r>
      <w:r w:rsidR="00F06646">
        <w:instrText xml:space="preserve"> \* MERGEFORMAT </w:instrText>
      </w:r>
      <w:r w:rsidR="00AC3112" w:rsidRPr="00F06646">
        <w:fldChar w:fldCharType="separate"/>
      </w:r>
      <w:r w:rsidR="002E5C6A">
        <w:t>(d)</w:t>
      </w:r>
      <w:r w:rsidR="00AC3112" w:rsidRPr="00F06646">
        <w:fldChar w:fldCharType="end"/>
      </w:r>
      <w:r w:rsidR="00AC3112" w:rsidRPr="00F06646">
        <w:t xml:space="preserve"> and </w:t>
      </w:r>
      <w:r w:rsidR="00AC3112" w:rsidRPr="00F06646">
        <w:fldChar w:fldCharType="begin"/>
      </w:r>
      <w:r w:rsidR="00AC3112" w:rsidRPr="00F06646">
        <w:instrText xml:space="preserve"> REF _Ref108098511 \n \h </w:instrText>
      </w:r>
      <w:r w:rsidR="00F06646">
        <w:instrText xml:space="preserve"> \* MERGEFORMAT </w:instrText>
      </w:r>
      <w:r w:rsidR="00AC3112" w:rsidRPr="00F06646">
        <w:fldChar w:fldCharType="separate"/>
      </w:r>
      <w:r w:rsidR="002E5C6A">
        <w:t>(e)</w:t>
      </w:r>
      <w:r w:rsidR="00AC3112" w:rsidRPr="00F06646">
        <w:fldChar w:fldCharType="end"/>
      </w:r>
      <w:r w:rsidR="00AC3112" w:rsidRPr="00F06646">
        <w:rPr>
          <w:szCs w:val="18"/>
        </w:rPr>
        <w:t xml:space="preserve">, </w:t>
      </w:r>
      <w:r w:rsidR="00AC3112" w:rsidRPr="00F06646">
        <w:t xml:space="preserve">but not paragraph </w:t>
      </w:r>
      <w:r w:rsidR="00AC3112" w:rsidRPr="00F06646">
        <w:fldChar w:fldCharType="begin"/>
      </w:r>
      <w:r w:rsidR="00AC3112" w:rsidRPr="00F06646">
        <w:instrText xml:space="preserve"> REF _Ref93320021 \n \h </w:instrText>
      </w:r>
      <w:r w:rsidR="00F06646">
        <w:instrText xml:space="preserve"> \* MERGEFORMAT </w:instrText>
      </w:r>
      <w:r w:rsidR="00AC3112" w:rsidRPr="00F06646">
        <w:fldChar w:fldCharType="separate"/>
      </w:r>
      <w:r w:rsidR="002E5C6A">
        <w:t>(f)</w:t>
      </w:r>
      <w:r w:rsidR="00AC3112" w:rsidRPr="00F06646">
        <w:fldChar w:fldCharType="end"/>
      </w:r>
      <w:r w:rsidR="00AC3112" w:rsidRPr="00F06646">
        <w:rPr>
          <w:szCs w:val="18"/>
        </w:rPr>
        <w:t xml:space="preserve">, </w:t>
      </w:r>
      <w:r w:rsidR="00AC3112" w:rsidRPr="00F06646">
        <w:t>will apply to the amended Draft SLC Cure Plan</w:t>
      </w:r>
      <w:r w:rsidRPr="00F06646">
        <w:t xml:space="preserve">; </w:t>
      </w:r>
      <w:bookmarkEnd w:id="2781"/>
    </w:p>
    <w:p w14:paraId="57E90DC0" w14:textId="77777777" w:rsidR="001359F2" w:rsidRPr="00F06646" w:rsidRDefault="001359F2" w:rsidP="0058045D">
      <w:pPr>
        <w:pStyle w:val="Heading4"/>
      </w:pPr>
      <w:r w:rsidRPr="00F06646">
        <w:t xml:space="preserve">in determining whether to approve or reject that amended Draft SLC Cure Plan, the Commonwealth may only: </w:t>
      </w:r>
    </w:p>
    <w:p w14:paraId="22C159A4" w14:textId="77777777" w:rsidR="00571F19" w:rsidRPr="00F06646" w:rsidRDefault="001359F2" w:rsidP="0058045D">
      <w:pPr>
        <w:pStyle w:val="Heading5"/>
      </w:pPr>
      <w:r w:rsidRPr="00F06646">
        <w:t>review and provide comments on</w:t>
      </w:r>
      <w:r w:rsidR="00571F19" w:rsidRPr="00F06646">
        <w:t>:</w:t>
      </w:r>
      <w:r w:rsidRPr="00F06646">
        <w:t xml:space="preserve"> </w:t>
      </w:r>
    </w:p>
    <w:p w14:paraId="6E98A8B7" w14:textId="7B0A83FA" w:rsidR="00B177E0" w:rsidRPr="00F06646" w:rsidRDefault="001359F2" w:rsidP="003A24AE">
      <w:pPr>
        <w:pStyle w:val="Heading6"/>
      </w:pPr>
      <w:r w:rsidRPr="00F06646">
        <w:t xml:space="preserve">the new </w:t>
      </w:r>
      <w:r w:rsidR="00861608" w:rsidRPr="00F06646">
        <w:t>and/</w:t>
      </w:r>
      <w:r w:rsidRPr="00F06646">
        <w:t xml:space="preserve">or amended information provided by </w:t>
      </w:r>
      <w:r w:rsidR="008F62B6" w:rsidRPr="00F06646">
        <w:t xml:space="preserve">or </w:t>
      </w:r>
      <w:r w:rsidR="00B177E0" w:rsidRPr="00F06646">
        <w:t xml:space="preserve">on behalf of </w:t>
      </w:r>
      <w:r w:rsidRPr="00F06646">
        <w:t xml:space="preserve">Project Operator </w:t>
      </w:r>
      <w:r w:rsidR="00B314B2">
        <w:t xml:space="preserve">in or </w:t>
      </w:r>
      <w:r w:rsidRPr="00F06646">
        <w:t>with that amen</w:t>
      </w:r>
      <w:r w:rsidR="00C20541" w:rsidRPr="00F06646">
        <w:t>d</w:t>
      </w:r>
      <w:r w:rsidRPr="00F06646">
        <w:t>ed Draft SLC Cure Plan</w:t>
      </w:r>
      <w:r w:rsidR="00B177E0" w:rsidRPr="00F06646">
        <w:t>;</w:t>
      </w:r>
    </w:p>
    <w:p w14:paraId="718D60E6" w14:textId="6FE3F717" w:rsidR="00F65B81" w:rsidRPr="00F06646" w:rsidRDefault="001359F2" w:rsidP="003A24AE">
      <w:pPr>
        <w:pStyle w:val="Heading6"/>
      </w:pPr>
      <w:r w:rsidRPr="00F06646">
        <w:t xml:space="preserve">previous information supplied in relation to the relevant Draft SLC Cure Plan </w:t>
      </w:r>
      <w:r w:rsidR="00B314B2">
        <w:t xml:space="preserve">that </w:t>
      </w:r>
      <w:r w:rsidRPr="00F06646">
        <w:t xml:space="preserve">is </w:t>
      </w:r>
      <w:r w:rsidR="00070FBF">
        <w:t>adversely affected</w:t>
      </w:r>
      <w:r w:rsidR="00070FBF" w:rsidRPr="00F06646">
        <w:t xml:space="preserve"> </w:t>
      </w:r>
      <w:r w:rsidRPr="00F06646">
        <w:t xml:space="preserve">by that new </w:t>
      </w:r>
      <w:r w:rsidR="00861608" w:rsidRPr="00F06646">
        <w:t>and/</w:t>
      </w:r>
      <w:r w:rsidR="00F65B81" w:rsidRPr="00F06646">
        <w:t xml:space="preserve">or </w:t>
      </w:r>
      <w:r w:rsidRPr="00F06646">
        <w:t xml:space="preserve">amended </w:t>
      </w:r>
      <w:r w:rsidR="00F65B81" w:rsidRPr="00F06646">
        <w:t xml:space="preserve">information; </w:t>
      </w:r>
      <w:r w:rsidR="00A524BB" w:rsidRPr="00F06646">
        <w:t>and</w:t>
      </w:r>
    </w:p>
    <w:p w14:paraId="57CB5176" w14:textId="178B19A1" w:rsidR="001359F2" w:rsidRPr="00F06646" w:rsidRDefault="00861608" w:rsidP="003A24AE">
      <w:pPr>
        <w:pStyle w:val="Heading6"/>
      </w:pPr>
      <w:r w:rsidRPr="00F06646">
        <w:t xml:space="preserve">any information in the Draft SLC Cure Plan </w:t>
      </w:r>
      <w:r w:rsidR="00B314B2">
        <w:t xml:space="preserve">that </w:t>
      </w:r>
      <w:r w:rsidRPr="00F06646">
        <w:t xml:space="preserve">is </w:t>
      </w:r>
      <w:r w:rsidR="00070FBF">
        <w:t>adversely affected</w:t>
      </w:r>
      <w:r w:rsidR="00070FBF" w:rsidRPr="00F06646">
        <w:t xml:space="preserve"> </w:t>
      </w:r>
      <w:r w:rsidRPr="00F06646">
        <w:t>by any</w:t>
      </w:r>
      <w:r w:rsidR="001359F2" w:rsidRPr="00F06646">
        <w:t xml:space="preserve"> new circumstances </w:t>
      </w:r>
      <w:r w:rsidR="00B314B2">
        <w:t xml:space="preserve">that </w:t>
      </w:r>
      <w:r w:rsidR="001359F2" w:rsidRPr="00F06646">
        <w:t xml:space="preserve">have arisen after the submission of the first version of the relevant Draft SLC Cure Plan; and </w:t>
      </w:r>
    </w:p>
    <w:p w14:paraId="2E010A17" w14:textId="4E62FB19" w:rsidR="001359F2" w:rsidRPr="00F06646" w:rsidRDefault="001359F2" w:rsidP="0058045D">
      <w:pPr>
        <w:pStyle w:val="Heading5"/>
      </w:pPr>
      <w:r w:rsidRPr="00F06646">
        <w:t xml:space="preserve">approve or reject that </w:t>
      </w:r>
      <w:r w:rsidR="00F65B81" w:rsidRPr="00F06646">
        <w:t xml:space="preserve">amended </w:t>
      </w:r>
      <w:r w:rsidRPr="00F06646">
        <w:t xml:space="preserve">Draft SLC Cure Plan based on that new </w:t>
      </w:r>
      <w:r w:rsidR="009E6BFB" w:rsidRPr="00F06646">
        <w:t>and/</w:t>
      </w:r>
      <w:r w:rsidRPr="00F06646">
        <w:t xml:space="preserve">or amended information, the previous information </w:t>
      </w:r>
      <w:r w:rsidR="00B314B2">
        <w:t xml:space="preserve">that </w:t>
      </w:r>
      <w:r w:rsidRPr="00F06646">
        <w:t xml:space="preserve">has been </w:t>
      </w:r>
      <w:r w:rsidR="00070FBF">
        <w:t>adversely affected</w:t>
      </w:r>
      <w:r w:rsidR="00070FBF" w:rsidRPr="00F06646">
        <w:t xml:space="preserve"> </w:t>
      </w:r>
      <w:r w:rsidR="000B1427" w:rsidRPr="00F06646">
        <w:t>by that new and</w:t>
      </w:r>
      <w:r w:rsidR="00861608" w:rsidRPr="00F06646">
        <w:t>/or</w:t>
      </w:r>
      <w:r w:rsidR="000B1427" w:rsidRPr="00F06646">
        <w:t xml:space="preserve"> amended information </w:t>
      </w:r>
      <w:r w:rsidRPr="00F06646">
        <w:t>and those new circumstances.</w:t>
      </w:r>
    </w:p>
    <w:p w14:paraId="78ECCF3F" w14:textId="54E83897" w:rsidR="00A524BB" w:rsidRPr="00F06646" w:rsidRDefault="00AC3112" w:rsidP="0058045D">
      <w:pPr>
        <w:pStyle w:val="Heading3"/>
      </w:pPr>
      <w:bookmarkStart w:id="2782" w:name="_Ref205749186"/>
      <w:bookmarkStart w:id="2783" w:name="_Ref93320046"/>
      <w:bookmarkStart w:id="2784" w:name="_Ref93591180"/>
      <w:bookmarkStart w:id="2785" w:name="_Ref89808039"/>
      <w:r w:rsidRPr="00F06646">
        <w:t>If the Commonwealth approves a Draft SLC Cure Plan under paragraph</w:t>
      </w:r>
      <w:r w:rsidR="008D57E5" w:rsidRPr="00F06646">
        <w:t> </w:t>
      </w:r>
      <w:r w:rsidRPr="00F06646">
        <w:fldChar w:fldCharType="begin"/>
      </w:r>
      <w:r w:rsidRPr="00F06646">
        <w:instrText xml:space="preserve"> REF _Ref108098511 \n \h </w:instrText>
      </w:r>
      <w:r w:rsidR="00F06646">
        <w:instrText xml:space="preserve"> \* MERGEFORMAT </w:instrText>
      </w:r>
      <w:r w:rsidRPr="00F06646">
        <w:fldChar w:fldCharType="separate"/>
      </w:r>
      <w:r w:rsidR="002E5C6A">
        <w:t>(e)</w:t>
      </w:r>
      <w:r w:rsidRPr="00F06646">
        <w:fldChar w:fldCharType="end"/>
      </w:r>
      <w:r w:rsidR="00650EF6" w:rsidRPr="00F06646">
        <w:t xml:space="preserve"> </w:t>
      </w:r>
      <w:r w:rsidR="00C4144C" w:rsidRPr="00792B2E">
        <w:t>or paragraph</w:t>
      </w:r>
      <w:r w:rsidR="00AC30DE" w:rsidRPr="00792B2E">
        <w:t> </w:t>
      </w:r>
      <w:r w:rsidR="00AC30DE" w:rsidRPr="00792B2E">
        <w:fldChar w:fldCharType="begin"/>
      </w:r>
      <w:r w:rsidR="00AC30DE" w:rsidRPr="00792B2E">
        <w:instrText xml:space="preserve"> REF _Ref167309284 \n \h </w:instrText>
      </w:r>
      <w:r w:rsidR="00F205EC" w:rsidRPr="00792B2E">
        <w:instrText xml:space="preserve"> \* MERGEFORMAT </w:instrText>
      </w:r>
      <w:r w:rsidR="00AC30DE" w:rsidRPr="00792B2E">
        <w:fldChar w:fldCharType="separate"/>
      </w:r>
      <w:r w:rsidR="002E5C6A">
        <w:t>(g)</w:t>
      </w:r>
      <w:r w:rsidR="00AC30DE" w:rsidRPr="00792B2E">
        <w:fldChar w:fldCharType="end"/>
      </w:r>
      <w:r w:rsidR="00AC30DE" w:rsidRPr="00F06646">
        <w:t xml:space="preserve"> </w:t>
      </w:r>
      <w:r w:rsidR="00650EF6" w:rsidRPr="00DC2887">
        <w:t>(</w:t>
      </w:r>
      <w:r w:rsidR="00DC2887" w:rsidRPr="00DC2887">
        <w:t>“</w:t>
      </w:r>
      <w:r w:rsidR="00775A28" w:rsidRPr="00F06646">
        <w:rPr>
          <w:b/>
          <w:bCs/>
        </w:rPr>
        <w:t>Approved SLC Cure Plan</w:t>
      </w:r>
      <w:r w:rsidR="00DC2887" w:rsidRPr="00D315FD">
        <w:t>”</w:t>
      </w:r>
      <w:r w:rsidR="00650EF6" w:rsidRPr="00DC2887">
        <w:t>)</w:t>
      </w:r>
      <w:r w:rsidRPr="00F06646">
        <w:t>, then</w:t>
      </w:r>
      <w:r w:rsidR="00A524BB" w:rsidRPr="00F06646">
        <w:t>:</w:t>
      </w:r>
      <w:bookmarkEnd w:id="2782"/>
      <w:r w:rsidRPr="00F06646">
        <w:t xml:space="preserve"> </w:t>
      </w:r>
    </w:p>
    <w:p w14:paraId="2FD79B40" w14:textId="4647BE1B" w:rsidR="00A524BB" w:rsidRPr="00792B2E" w:rsidRDefault="00AC3112" w:rsidP="0058045D">
      <w:pPr>
        <w:pStyle w:val="Heading4"/>
      </w:pPr>
      <w:r w:rsidRPr="00F06646">
        <w:t>Project Operator must</w:t>
      </w:r>
      <w:bookmarkEnd w:id="2783"/>
      <w:bookmarkEnd w:id="2784"/>
      <w:r w:rsidRPr="00F06646">
        <w:t xml:space="preserve"> comply with the </w:t>
      </w:r>
      <w:r w:rsidR="00775A28" w:rsidRPr="00F06646">
        <w:t xml:space="preserve">Approved </w:t>
      </w:r>
      <w:r w:rsidRPr="00F06646">
        <w:t>SLC Cure Plan</w:t>
      </w:r>
      <w:r w:rsidR="009D6B76" w:rsidRPr="00F06646">
        <w:t xml:space="preserve">, including using its best endeavours to address the non-compliance with the identified Social Licence Commitments as expeditiously as is reasonable and in any case within the period identified in the </w:t>
      </w:r>
      <w:r w:rsidR="00775A28" w:rsidRPr="00F06646">
        <w:t>A</w:t>
      </w:r>
      <w:r w:rsidR="009D6B76" w:rsidRPr="00F06646">
        <w:t>pproved SLC Cure Plan</w:t>
      </w:r>
      <w:r w:rsidR="00A524BB" w:rsidRPr="00792B2E">
        <w:t>;</w:t>
      </w:r>
    </w:p>
    <w:p w14:paraId="0A1DF11E" w14:textId="2DD9541E" w:rsidR="00070FBF" w:rsidRDefault="00A524BB" w:rsidP="0058045D">
      <w:pPr>
        <w:pStyle w:val="Heading4"/>
      </w:pPr>
      <w:r w:rsidRPr="00792B2E">
        <w:fldChar w:fldCharType="begin"/>
      </w:r>
      <w:r w:rsidRPr="00792B2E">
        <w:instrText xml:space="preserve"> REF _Ref159507374 \w \h </w:instrText>
      </w:r>
      <w:r w:rsidR="00F205EC" w:rsidRPr="00792B2E">
        <w:instrText xml:space="preserve"> \* MERGEFORMAT </w:instrText>
      </w:r>
      <w:r w:rsidRPr="00792B2E">
        <w:fldChar w:fldCharType="separate"/>
      </w:r>
      <w:r w:rsidR="002E5C6A">
        <w:t>Schedule 2</w:t>
      </w:r>
      <w:r w:rsidRPr="00792B2E">
        <w:fldChar w:fldCharType="end"/>
      </w:r>
      <w:r w:rsidRPr="00792B2E">
        <w:t xml:space="preserve"> (“</w:t>
      </w:r>
      <w:r w:rsidRPr="00792B2E">
        <w:fldChar w:fldCharType="begin"/>
      </w:r>
      <w:r w:rsidRPr="00792B2E">
        <w:instrText xml:space="preserve"> REF _Ref159507374 \h </w:instrText>
      </w:r>
      <w:r w:rsidR="00F205EC" w:rsidRPr="00792B2E">
        <w:instrText xml:space="preserve"> \* MERGEFORMAT </w:instrText>
      </w:r>
      <w:r w:rsidRPr="00792B2E">
        <w:fldChar w:fldCharType="separate"/>
      </w:r>
      <w:r w:rsidR="002E5C6A" w:rsidRPr="00792B2E">
        <w:t>Social Licence Commitments</w:t>
      </w:r>
      <w:r w:rsidRPr="00792B2E">
        <w:fldChar w:fldCharType="end"/>
      </w:r>
      <w:r w:rsidRPr="00792B2E">
        <w:t>”) will be taken to be varied as set out in the Approved SLC Cure Plan</w:t>
      </w:r>
      <w:r w:rsidR="00070FBF">
        <w:t>; and</w:t>
      </w:r>
    </w:p>
    <w:p w14:paraId="7D6BA75C" w14:textId="10DAB846" w:rsidR="00A524BB" w:rsidRPr="00792B2E" w:rsidRDefault="00070FBF" w:rsidP="00070FBF">
      <w:pPr>
        <w:pStyle w:val="Heading4"/>
      </w:pPr>
      <w:r w:rsidRPr="00070FBF">
        <w:t xml:space="preserve">within 10 Business Days after the end of each month from the month in which </w:t>
      </w:r>
      <w:r w:rsidR="00DC2887">
        <w:t xml:space="preserve">the </w:t>
      </w:r>
      <w:r w:rsidRPr="00070FBF">
        <w:t xml:space="preserve">Commonwealth approves the Approved SLC Cure Plan to the month in which Project Operator completes the performance of the Approved SLC Cure Plan, Project Operator must provide to the Commonwealth a monthly report that sets out Project Operator’s progress in performing the </w:t>
      </w:r>
      <w:r w:rsidR="00DC2887">
        <w:t xml:space="preserve">Approved </w:t>
      </w:r>
      <w:r w:rsidRPr="00070FBF">
        <w:t>SLC Cure Plan and achieving any outcomes contained in it</w:t>
      </w:r>
      <w:r w:rsidR="00AC3112" w:rsidRPr="00792B2E">
        <w:t>.</w:t>
      </w:r>
    </w:p>
    <w:p w14:paraId="26006EB5" w14:textId="77777777" w:rsidR="00AC3112" w:rsidRPr="00F06646" w:rsidRDefault="2BC382E4" w:rsidP="0058045D">
      <w:pPr>
        <w:pStyle w:val="Heading2"/>
      </w:pPr>
      <w:bookmarkStart w:id="2786" w:name="_Toc167471114"/>
      <w:bookmarkStart w:id="2787" w:name="_Toc167473523"/>
      <w:bookmarkStart w:id="2788" w:name="_Toc167474176"/>
      <w:bookmarkStart w:id="2789" w:name="_Toc167911256"/>
      <w:bookmarkStart w:id="2790" w:name="_Toc167471115"/>
      <w:bookmarkStart w:id="2791" w:name="_Toc167473524"/>
      <w:bookmarkStart w:id="2792" w:name="_Toc167474177"/>
      <w:bookmarkStart w:id="2793" w:name="_Toc167911257"/>
      <w:bookmarkStart w:id="2794" w:name="_Toc167471116"/>
      <w:bookmarkStart w:id="2795" w:name="_Toc167473525"/>
      <w:bookmarkStart w:id="2796" w:name="_Toc167474178"/>
      <w:bookmarkStart w:id="2797" w:name="_Toc167911258"/>
      <w:bookmarkStart w:id="2798" w:name="_Toc167471117"/>
      <w:bookmarkStart w:id="2799" w:name="_Toc167473526"/>
      <w:bookmarkStart w:id="2800" w:name="_Toc167474179"/>
      <w:bookmarkStart w:id="2801" w:name="_Toc167911259"/>
      <w:bookmarkStart w:id="2802" w:name="_Toc167471118"/>
      <w:bookmarkStart w:id="2803" w:name="_Toc167473527"/>
      <w:bookmarkStart w:id="2804" w:name="_Toc167474180"/>
      <w:bookmarkStart w:id="2805" w:name="_Toc167911260"/>
      <w:bookmarkStart w:id="2806" w:name="_Toc167471119"/>
      <w:bookmarkStart w:id="2807" w:name="_Toc167473528"/>
      <w:bookmarkStart w:id="2808" w:name="_Toc167474181"/>
      <w:bookmarkStart w:id="2809" w:name="_Toc167911261"/>
      <w:bookmarkStart w:id="2810" w:name="_Toc167471120"/>
      <w:bookmarkStart w:id="2811" w:name="_Toc167473529"/>
      <w:bookmarkStart w:id="2812" w:name="_Toc167474182"/>
      <w:bookmarkStart w:id="2813" w:name="_Toc167911262"/>
      <w:bookmarkStart w:id="2814" w:name="_Ref103541570"/>
      <w:bookmarkStart w:id="2815" w:name="_Toc156909156"/>
      <w:bookmarkStart w:id="2816" w:name="_Toc207309608"/>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r w:rsidRPr="00F06646">
        <w:t>Termination for failure to comply with Social Licence Commitments</w:t>
      </w:r>
      <w:bookmarkEnd w:id="2814"/>
      <w:bookmarkEnd w:id="2815"/>
      <w:bookmarkEnd w:id="2816"/>
      <w:r w:rsidRPr="00F06646">
        <w:t xml:space="preserve"> </w:t>
      </w:r>
    </w:p>
    <w:p w14:paraId="79A3DA03" w14:textId="21DC93F5" w:rsidR="00AC3112" w:rsidRPr="00F06646" w:rsidRDefault="00AC3112" w:rsidP="00314F33">
      <w:pPr>
        <w:pStyle w:val="Heading3"/>
        <w:keepNext/>
      </w:pPr>
      <w:bookmarkStart w:id="2817" w:name="_Ref114218244"/>
      <w:r w:rsidRPr="00F06646">
        <w:t xml:space="preserve">Subject to paragraph </w:t>
      </w:r>
      <w:r w:rsidRPr="00F06646">
        <w:fldChar w:fldCharType="begin"/>
      </w:r>
      <w:r w:rsidRPr="00F06646">
        <w:instrText xml:space="preserve"> REF _Ref114218220 \n \h </w:instrText>
      </w:r>
      <w:r w:rsidR="00F06646">
        <w:instrText xml:space="preserve"> \* MERGEFORMAT </w:instrText>
      </w:r>
      <w:r w:rsidRPr="00F06646">
        <w:fldChar w:fldCharType="separate"/>
      </w:r>
      <w:r w:rsidR="002E5C6A">
        <w:t>(b)</w:t>
      </w:r>
      <w:r w:rsidRPr="00F06646">
        <w:fldChar w:fldCharType="end"/>
      </w:r>
      <w:r w:rsidRPr="00F06646">
        <w:t xml:space="preserve">, the Commonwealth may terminate this </w:t>
      </w:r>
      <w:r w:rsidRPr="00847C21">
        <w:t xml:space="preserve">agreement by written notice to Project Operator with immediate effect if Project Operator </w:t>
      </w:r>
      <w:r w:rsidR="00AD743A" w:rsidRPr="00847C21">
        <w:t xml:space="preserve">fails to do one or more </w:t>
      </w:r>
      <w:r w:rsidR="00DC2887">
        <w:t>of the following (as applicable)</w:t>
      </w:r>
      <w:r w:rsidRPr="00F06646">
        <w:t>:</w:t>
      </w:r>
      <w:bookmarkEnd w:id="2817"/>
      <w:r w:rsidRPr="00F06646">
        <w:t xml:space="preserve"> </w:t>
      </w:r>
    </w:p>
    <w:p w14:paraId="1DEF9124" w14:textId="315C1BF4" w:rsidR="00AC3112" w:rsidRDefault="00AC3112" w:rsidP="0058045D">
      <w:pPr>
        <w:pStyle w:val="Heading4"/>
      </w:pPr>
      <w:r w:rsidRPr="00F06646">
        <w:t xml:space="preserve">submit or resubmit a Draft SLC Cure Plan </w:t>
      </w:r>
      <w:r w:rsidR="00121D01">
        <w:t xml:space="preserve">in accordance with clause </w:t>
      </w:r>
      <w:r w:rsidRPr="00F06646">
        <w:fldChar w:fldCharType="begin"/>
      </w:r>
      <w:r w:rsidRPr="00F06646">
        <w:instrText xml:space="preserve"> REF _Ref99722672 \w \h </w:instrText>
      </w:r>
      <w:r w:rsidR="00F06646">
        <w:instrText xml:space="preserve"> \* MERGEFORMAT </w:instrText>
      </w:r>
      <w:r w:rsidRPr="00F06646">
        <w:fldChar w:fldCharType="separate"/>
      </w:r>
      <w:r w:rsidR="002E5C6A">
        <w:t>11.4</w:t>
      </w:r>
      <w:r w:rsidRPr="00F06646">
        <w:fldChar w:fldCharType="end"/>
      </w:r>
      <w:r w:rsidRPr="00F06646">
        <w:t xml:space="preserve"> (“</w:t>
      </w:r>
      <w:r w:rsidRPr="00F06646">
        <w:fldChar w:fldCharType="begin"/>
      </w:r>
      <w:r w:rsidRPr="00F06646">
        <w:instrText xml:space="preserve">  REF _Ref99722672 \h </w:instrText>
      </w:r>
      <w:r w:rsidR="00F06646">
        <w:instrText xml:space="preserve"> \* MERGEFORMAT </w:instrText>
      </w:r>
      <w:r w:rsidRPr="00F06646">
        <w:fldChar w:fldCharType="separate"/>
      </w:r>
      <w:r w:rsidR="002E5C6A" w:rsidRPr="00847C21">
        <w:t>Cure</w:t>
      </w:r>
      <w:r w:rsidRPr="00F06646">
        <w:fldChar w:fldCharType="end"/>
      </w:r>
      <w:r w:rsidRPr="00F06646">
        <w:t xml:space="preserve">”); </w:t>
      </w:r>
    </w:p>
    <w:p w14:paraId="69335A76" w14:textId="41CF9133" w:rsidR="00121D01" w:rsidRPr="00F06646" w:rsidRDefault="00121D01" w:rsidP="0058045D">
      <w:pPr>
        <w:pStyle w:val="Heading4"/>
      </w:pPr>
      <w:r>
        <w:t xml:space="preserve">have that Draft SLC Cure Plan approved by the Commonwealth in accordance with clause </w:t>
      </w:r>
      <w:r w:rsidRPr="00F06646">
        <w:fldChar w:fldCharType="begin"/>
      </w:r>
      <w:r w:rsidRPr="00F06646">
        <w:instrText xml:space="preserve"> REF _Ref99722672 \w \h </w:instrText>
      </w:r>
      <w:r>
        <w:instrText xml:space="preserve"> \* MERGEFORMAT </w:instrText>
      </w:r>
      <w:r w:rsidRPr="00F06646">
        <w:fldChar w:fldCharType="separate"/>
      </w:r>
      <w:r w:rsidR="002E5C6A">
        <w:t>11.4</w:t>
      </w:r>
      <w:r w:rsidRPr="00F06646">
        <w:fldChar w:fldCharType="end"/>
      </w:r>
      <w:r w:rsidRPr="00F06646">
        <w:t xml:space="preserve"> (“</w:t>
      </w:r>
      <w:r w:rsidRPr="00F06646">
        <w:fldChar w:fldCharType="begin"/>
      </w:r>
      <w:r w:rsidRPr="00F06646">
        <w:instrText xml:space="preserve">  REF _Ref99722672 \h </w:instrText>
      </w:r>
      <w:r>
        <w:instrText xml:space="preserve"> \* MERGEFORMAT </w:instrText>
      </w:r>
      <w:r w:rsidRPr="00F06646">
        <w:fldChar w:fldCharType="separate"/>
      </w:r>
      <w:r w:rsidR="002E5C6A" w:rsidRPr="00847C21">
        <w:t>Cure</w:t>
      </w:r>
      <w:r w:rsidRPr="00F06646">
        <w:fldChar w:fldCharType="end"/>
      </w:r>
      <w:r w:rsidRPr="00F06646">
        <w:t>”);</w:t>
      </w:r>
    </w:p>
    <w:p w14:paraId="00E835F9" w14:textId="77777777" w:rsidR="00121D01" w:rsidRDefault="00AC3112" w:rsidP="0058045D">
      <w:pPr>
        <w:pStyle w:val="Heading4"/>
      </w:pPr>
      <w:r w:rsidRPr="00F06646">
        <w:t xml:space="preserve">commence </w:t>
      </w:r>
      <w:r w:rsidR="00DE40B8" w:rsidRPr="00F06646">
        <w:t xml:space="preserve">performing </w:t>
      </w:r>
      <w:r w:rsidR="00121D01">
        <w:t>the Draft SLC Cure Plan in accordance with its terms;</w:t>
      </w:r>
    </w:p>
    <w:p w14:paraId="0A9FC2DC" w14:textId="4E88E817" w:rsidR="00AC3112" w:rsidRPr="00792B2E" w:rsidRDefault="00B314B2" w:rsidP="0058045D">
      <w:pPr>
        <w:pStyle w:val="Heading4"/>
      </w:pPr>
      <w:r>
        <w:t xml:space="preserve">continue to </w:t>
      </w:r>
      <w:r w:rsidR="00AC3112" w:rsidRPr="00F06646">
        <w:t xml:space="preserve">comply with the </w:t>
      </w:r>
      <w:r w:rsidR="00B54A6F" w:rsidRPr="00F06646">
        <w:t xml:space="preserve">Approved </w:t>
      </w:r>
      <w:r w:rsidR="00AC3112" w:rsidRPr="00F06646">
        <w:t>SLC Cure Plan in all material respects and</w:t>
      </w:r>
      <w:r w:rsidR="00121D01">
        <w:t xml:space="preserve">, </w:t>
      </w:r>
      <w:r w:rsidR="00C00FC6">
        <w:t>if it</w:t>
      </w:r>
      <w:r w:rsidR="00121D01">
        <w:t xml:space="preserve"> fail</w:t>
      </w:r>
      <w:r w:rsidR="00C00FC6">
        <w:t>s</w:t>
      </w:r>
      <w:r w:rsidR="00121D01">
        <w:t xml:space="preserve"> to comply with the</w:t>
      </w:r>
      <w:r w:rsidR="00DE40B8" w:rsidRPr="00F06646">
        <w:t xml:space="preserve"> </w:t>
      </w:r>
      <w:r w:rsidR="00B54A6F" w:rsidRPr="00F06646">
        <w:t xml:space="preserve">Approved </w:t>
      </w:r>
      <w:r w:rsidR="009B5353" w:rsidRPr="00F06646">
        <w:t>SLC Cure Plan</w:t>
      </w:r>
      <w:r w:rsidR="00121D01">
        <w:t xml:space="preserve">, remedy any such failure </w:t>
      </w:r>
      <w:r w:rsidR="00AC3112" w:rsidRPr="00F06646">
        <w:t>within 10</w:t>
      </w:r>
      <w:r w:rsidR="00EB0148" w:rsidRPr="00F06646">
        <w:t> </w:t>
      </w:r>
      <w:r w:rsidR="00AC3112" w:rsidRPr="00F06646">
        <w:t xml:space="preserve">Business Days after </w:t>
      </w:r>
      <w:r w:rsidR="00EB0148" w:rsidRPr="00792B2E">
        <w:t>receipt of</w:t>
      </w:r>
      <w:r w:rsidR="00EB0148" w:rsidRPr="00F06646">
        <w:t xml:space="preserve"> </w:t>
      </w:r>
      <w:r w:rsidR="00AC3112" w:rsidRPr="00F06646">
        <w:t xml:space="preserve">notice from the Commonwealth; </w:t>
      </w:r>
      <w:r>
        <w:t>and</w:t>
      </w:r>
    </w:p>
    <w:p w14:paraId="2E032EEA" w14:textId="5968F4FD" w:rsidR="00AC3112" w:rsidRPr="00792B2E" w:rsidRDefault="00EB0148" w:rsidP="0058045D">
      <w:pPr>
        <w:pStyle w:val="Heading4"/>
      </w:pPr>
      <w:r w:rsidRPr="00792B2E">
        <w:t xml:space="preserve">pay </w:t>
      </w:r>
      <w:r w:rsidR="007D7F4B" w:rsidRPr="00792B2E">
        <w:t>an applicable</w:t>
      </w:r>
      <w:r w:rsidRPr="00792B2E">
        <w:t xml:space="preserve"> SLC Abatement Amount in accordance with clause </w:t>
      </w:r>
      <w:r w:rsidR="007D7F4B" w:rsidRPr="00792B2E">
        <w:fldChar w:fldCharType="begin"/>
      </w:r>
      <w:r w:rsidR="007D7F4B" w:rsidRPr="00792B2E">
        <w:instrText xml:space="preserve"> REF _Ref166840648 \w \h </w:instrText>
      </w:r>
      <w:r w:rsidR="00F205EC" w:rsidRPr="00792B2E">
        <w:instrText xml:space="preserve"> \* MERGEFORMAT </w:instrText>
      </w:r>
      <w:r w:rsidR="007D7F4B" w:rsidRPr="00792B2E">
        <w:fldChar w:fldCharType="separate"/>
      </w:r>
      <w:r w:rsidR="002E5C6A">
        <w:t>11.6</w:t>
      </w:r>
      <w:r w:rsidR="007D7F4B" w:rsidRPr="00792B2E">
        <w:fldChar w:fldCharType="end"/>
      </w:r>
      <w:r w:rsidR="001C32A0" w:rsidRPr="00792B2E">
        <w:t xml:space="preserve"> (“</w:t>
      </w:r>
      <w:r w:rsidR="001C32A0" w:rsidRPr="00792B2E">
        <w:fldChar w:fldCharType="begin"/>
      </w:r>
      <w:r w:rsidR="001C32A0" w:rsidRPr="00792B2E">
        <w:instrText xml:space="preserve"> REF _Ref166840648 \h </w:instrText>
      </w:r>
      <w:r w:rsidR="00F205EC" w:rsidRPr="00792B2E">
        <w:instrText xml:space="preserve"> \* MERGEFORMAT </w:instrText>
      </w:r>
      <w:r w:rsidR="001C32A0" w:rsidRPr="00792B2E">
        <w:fldChar w:fldCharType="separate"/>
      </w:r>
      <w:r w:rsidR="002E5C6A" w:rsidRPr="00F06646">
        <w:t>Abatements for non-compliance</w:t>
      </w:r>
      <w:r w:rsidR="001C32A0" w:rsidRPr="00792B2E">
        <w:fldChar w:fldCharType="end"/>
      </w:r>
      <w:r w:rsidR="001C32A0" w:rsidRPr="00792B2E">
        <w:t>")</w:t>
      </w:r>
      <w:r w:rsidR="49D70CC2" w:rsidRPr="00792B2E">
        <w:t>.</w:t>
      </w:r>
    </w:p>
    <w:p w14:paraId="4B2B9B4D" w14:textId="401FD6DF" w:rsidR="00EE32DC" w:rsidRPr="00F06646" w:rsidRDefault="00AC3112" w:rsidP="0058045D">
      <w:pPr>
        <w:pStyle w:val="Heading3"/>
        <w:rPr>
          <w:bCs/>
        </w:rPr>
      </w:pPr>
      <w:bookmarkStart w:id="2818" w:name="_Ref114218220"/>
      <w:r w:rsidRPr="00F06646">
        <w:t xml:space="preserve">The Commonwealth must not terminate this agreement pursuant to paragraph </w:t>
      </w:r>
      <w:r w:rsidRPr="00F06646">
        <w:fldChar w:fldCharType="begin"/>
      </w:r>
      <w:r w:rsidRPr="00F06646">
        <w:instrText xml:space="preserve"> REF _Ref114218244 \n \h </w:instrText>
      </w:r>
      <w:r w:rsidR="00F06646">
        <w:instrText xml:space="preserve"> \* MERGEFORMAT </w:instrText>
      </w:r>
      <w:r w:rsidRPr="00F06646">
        <w:fldChar w:fldCharType="separate"/>
      </w:r>
      <w:r w:rsidR="002E5C6A">
        <w:t>(a)</w:t>
      </w:r>
      <w:r w:rsidRPr="00F06646">
        <w:fldChar w:fldCharType="end"/>
      </w:r>
      <w:r w:rsidRPr="00F06646">
        <w:t xml:space="preserve"> if Project Operator has submitted a Draft SLC Cure Plan to the Commonwealth under clause </w:t>
      </w:r>
      <w:r w:rsidRPr="00F06646">
        <w:fldChar w:fldCharType="begin"/>
      </w:r>
      <w:r w:rsidRPr="00F06646">
        <w:instrText xml:space="preserve"> REF _Ref94878971 \w \h </w:instrText>
      </w:r>
      <w:r w:rsidR="00F06646">
        <w:instrText xml:space="preserve"> \* MERGEFORMAT </w:instrText>
      </w:r>
      <w:r w:rsidRPr="00F06646">
        <w:fldChar w:fldCharType="separate"/>
      </w:r>
      <w:r w:rsidR="002E5C6A">
        <w:t>11.4(a)</w:t>
      </w:r>
      <w:r w:rsidRPr="00F06646">
        <w:fldChar w:fldCharType="end"/>
      </w:r>
      <w:r w:rsidRPr="00F06646">
        <w:t xml:space="preserve"> (“</w:t>
      </w:r>
      <w:r w:rsidRPr="00F06646">
        <w:fldChar w:fldCharType="begin"/>
      </w:r>
      <w:r w:rsidRPr="00F06646">
        <w:instrText xml:space="preserve">  REF _Ref99722672 \h </w:instrText>
      </w:r>
      <w:r w:rsidR="00F06646">
        <w:instrText xml:space="preserve"> \* MERGEFORMAT </w:instrText>
      </w:r>
      <w:r w:rsidRPr="00F06646">
        <w:fldChar w:fldCharType="separate"/>
      </w:r>
      <w:r w:rsidR="002E5C6A" w:rsidRPr="00847C21">
        <w:t>Cure</w:t>
      </w:r>
      <w:r w:rsidRPr="00F06646">
        <w:fldChar w:fldCharType="end"/>
      </w:r>
      <w:r w:rsidRPr="00F06646">
        <w:t xml:space="preserve">”) and the Commonwealth has not yet approved or rejected the Draft SLC Cure Plan under clause </w:t>
      </w:r>
      <w:r w:rsidR="000B3DCB" w:rsidRPr="00F06646">
        <w:fldChar w:fldCharType="begin"/>
      </w:r>
      <w:r w:rsidR="000B3DCB" w:rsidRPr="00F06646">
        <w:instrText xml:space="preserve"> REF _Ref166245206 \w \h </w:instrText>
      </w:r>
      <w:r w:rsidR="00F06646">
        <w:instrText xml:space="preserve"> \* MERGEFORMAT </w:instrText>
      </w:r>
      <w:r w:rsidR="000B3DCB" w:rsidRPr="00F06646">
        <w:fldChar w:fldCharType="separate"/>
      </w:r>
      <w:r w:rsidR="002E5C6A">
        <w:t>11.4(e)</w:t>
      </w:r>
      <w:r w:rsidR="000B3DCB" w:rsidRPr="00F06646">
        <w:fldChar w:fldCharType="end"/>
      </w:r>
      <w:r w:rsidR="000B3DCB" w:rsidRPr="00F06646">
        <w:t xml:space="preserve"> (“</w:t>
      </w:r>
      <w:r w:rsidR="000B3DCB" w:rsidRPr="00F06646">
        <w:fldChar w:fldCharType="begin"/>
      </w:r>
      <w:r w:rsidR="000B3DCB" w:rsidRPr="00F06646">
        <w:instrText xml:space="preserve"> REF _Ref99722672 \h </w:instrText>
      </w:r>
      <w:r w:rsidR="00F06646">
        <w:instrText xml:space="preserve"> \* MERGEFORMAT </w:instrText>
      </w:r>
      <w:r w:rsidR="000B3DCB" w:rsidRPr="00F06646">
        <w:fldChar w:fldCharType="separate"/>
      </w:r>
      <w:r w:rsidR="002E5C6A" w:rsidRPr="00847C21">
        <w:t>Cure</w:t>
      </w:r>
      <w:r w:rsidR="000B3DCB" w:rsidRPr="00F06646">
        <w:fldChar w:fldCharType="end"/>
      </w:r>
      <w:r w:rsidR="000B3DCB" w:rsidRPr="00F06646">
        <w:t>”)</w:t>
      </w:r>
      <w:bookmarkEnd w:id="2818"/>
      <w:r w:rsidR="00070FBF">
        <w:t>.</w:t>
      </w:r>
      <w:bookmarkStart w:id="2819" w:name="_Ref166687296"/>
    </w:p>
    <w:p w14:paraId="62F1C012" w14:textId="77777777" w:rsidR="006579B4" w:rsidRPr="00F06646" w:rsidRDefault="2BC382E4" w:rsidP="0058045D">
      <w:pPr>
        <w:pStyle w:val="Heading2"/>
      </w:pPr>
      <w:bookmarkStart w:id="2820" w:name="_Ref166840648"/>
      <w:bookmarkStart w:id="2821" w:name="_Toc207309609"/>
      <w:r w:rsidRPr="00F06646">
        <w:t>Abatements for non-compliance</w:t>
      </w:r>
      <w:bookmarkEnd w:id="2819"/>
      <w:bookmarkEnd w:id="2820"/>
      <w:bookmarkEnd w:id="2821"/>
    </w:p>
    <w:p w14:paraId="6F627057" w14:textId="77777777" w:rsidR="006579B4" w:rsidRPr="00792B2E" w:rsidRDefault="006579B4" w:rsidP="0058045D">
      <w:pPr>
        <w:pStyle w:val="Heading3"/>
      </w:pPr>
      <w:r w:rsidRPr="00F06646">
        <w:t xml:space="preserve">In the event </w:t>
      </w:r>
      <w:r w:rsidR="008B4607" w:rsidRPr="00792B2E">
        <w:t>that</w:t>
      </w:r>
      <w:r w:rsidRPr="00F06646">
        <w:t xml:space="preserve"> the Commonwealth determin</w:t>
      </w:r>
      <w:r w:rsidR="008B4607" w:rsidRPr="00792B2E">
        <w:t>es</w:t>
      </w:r>
      <w:r w:rsidRPr="00792B2E">
        <w:t xml:space="preserve">: </w:t>
      </w:r>
    </w:p>
    <w:p w14:paraId="2E7CB8D6" w14:textId="1622B6C2" w:rsidR="006579B4" w:rsidRPr="00F06646" w:rsidRDefault="007D7F4B" w:rsidP="0058045D">
      <w:pPr>
        <w:pStyle w:val="Heading4"/>
      </w:pPr>
      <w:r w:rsidRPr="00792B2E">
        <w:t xml:space="preserve">under clause </w:t>
      </w:r>
      <w:r w:rsidR="00F7304C" w:rsidRPr="00792B2E">
        <w:fldChar w:fldCharType="begin"/>
      </w:r>
      <w:r w:rsidR="00F7304C" w:rsidRPr="00792B2E">
        <w:instrText xml:space="preserve"> REF _Ref167308316 \r \h </w:instrText>
      </w:r>
      <w:r w:rsidR="00F06646">
        <w:instrText xml:space="preserve"> \* MERGEFORMAT </w:instrText>
      </w:r>
      <w:r w:rsidR="00F7304C" w:rsidRPr="00792B2E">
        <w:fldChar w:fldCharType="separate"/>
      </w:r>
      <w:r w:rsidR="002E5C6A">
        <w:t>11.3(e)</w:t>
      </w:r>
      <w:r w:rsidR="00F7304C" w:rsidRPr="00792B2E">
        <w:fldChar w:fldCharType="end"/>
      </w:r>
      <w:r w:rsidR="00F7304C" w:rsidRPr="00792B2E">
        <w:t xml:space="preserve"> </w:t>
      </w:r>
      <w:r w:rsidRPr="00792B2E">
        <w:t>(“</w:t>
      </w:r>
      <w:r w:rsidRPr="00792B2E">
        <w:fldChar w:fldCharType="begin"/>
      </w:r>
      <w:r w:rsidRPr="00792B2E">
        <w:instrText xml:space="preserve"> REF _Ref94878268 \h </w:instrText>
      </w:r>
      <w:r w:rsidR="00F205EC" w:rsidRPr="00792B2E">
        <w:instrText xml:space="preserve"> \* MERGEFORMAT </w:instrText>
      </w:r>
      <w:r w:rsidRPr="00792B2E">
        <w:fldChar w:fldCharType="separate"/>
      </w:r>
      <w:r w:rsidR="002E5C6A">
        <w:t>Notice of non-compliance</w:t>
      </w:r>
      <w:r w:rsidRPr="00792B2E">
        <w:fldChar w:fldCharType="end"/>
      </w:r>
      <w:r w:rsidRPr="00792B2E">
        <w:t>") that</w:t>
      </w:r>
      <w:r w:rsidRPr="00F06646">
        <w:t xml:space="preserve"> </w:t>
      </w:r>
      <w:r w:rsidR="006579B4" w:rsidRPr="00F06646">
        <w:t>Project Operator’s non-compliance with the Social Licence Commitments</w:t>
      </w:r>
      <w:r w:rsidR="006579B4" w:rsidRPr="00792B2E">
        <w:t xml:space="preserve"> is non-remediable</w:t>
      </w:r>
      <w:r w:rsidR="006579B4" w:rsidRPr="00F06646">
        <w:t>;</w:t>
      </w:r>
    </w:p>
    <w:p w14:paraId="01CBADB5" w14:textId="498F39D1" w:rsidR="008B4607" w:rsidRPr="00792B2E" w:rsidRDefault="007D7F4B" w:rsidP="0058045D">
      <w:pPr>
        <w:pStyle w:val="Heading4"/>
      </w:pPr>
      <w:r w:rsidRPr="00792B2E">
        <w:t xml:space="preserve">under clause </w:t>
      </w:r>
      <w:r w:rsidRPr="00792B2E">
        <w:fldChar w:fldCharType="begin"/>
      </w:r>
      <w:r w:rsidRPr="00792B2E">
        <w:instrText xml:space="preserve"> REF _Ref166245206 \w \h </w:instrText>
      </w:r>
      <w:r w:rsidR="00F205EC" w:rsidRPr="00792B2E">
        <w:instrText xml:space="preserve"> \* MERGEFORMAT </w:instrText>
      </w:r>
      <w:r w:rsidRPr="00792B2E">
        <w:fldChar w:fldCharType="separate"/>
      </w:r>
      <w:r w:rsidR="002E5C6A">
        <w:t>11.4(e)</w:t>
      </w:r>
      <w:r w:rsidRPr="00792B2E">
        <w:fldChar w:fldCharType="end"/>
      </w:r>
      <w:r w:rsidRPr="00792B2E">
        <w:t xml:space="preserve"> (“</w:t>
      </w:r>
      <w:r w:rsidRPr="00792B2E">
        <w:fldChar w:fldCharType="begin"/>
      </w:r>
      <w:r w:rsidRPr="00792B2E">
        <w:instrText xml:space="preserve"> REF _Ref99722672 \h </w:instrText>
      </w:r>
      <w:r w:rsidR="00F205EC" w:rsidRPr="00792B2E">
        <w:instrText xml:space="preserve"> \* MERGEFORMAT </w:instrText>
      </w:r>
      <w:r w:rsidRPr="00792B2E">
        <w:fldChar w:fldCharType="separate"/>
      </w:r>
      <w:r w:rsidR="002E5C6A" w:rsidRPr="00847C21">
        <w:t>Cure</w:t>
      </w:r>
      <w:r w:rsidRPr="00792B2E">
        <w:fldChar w:fldCharType="end"/>
      </w:r>
      <w:r w:rsidRPr="00792B2E">
        <w:t xml:space="preserve">”) that Project Operator’s </w:t>
      </w:r>
      <w:r w:rsidR="006579B4" w:rsidRPr="00792B2E">
        <w:t xml:space="preserve">non-compliance with Social Licence Commitments </w:t>
      </w:r>
      <w:r w:rsidR="008B4607" w:rsidRPr="00792B2E">
        <w:t xml:space="preserve">will </w:t>
      </w:r>
      <w:r w:rsidR="006579B4" w:rsidRPr="00792B2E">
        <w:t xml:space="preserve">not </w:t>
      </w:r>
      <w:r w:rsidR="008B4607" w:rsidRPr="00792B2E">
        <w:t xml:space="preserve">be </w:t>
      </w:r>
      <w:r w:rsidRPr="00792B2E">
        <w:t xml:space="preserve">adequately </w:t>
      </w:r>
      <w:r w:rsidR="006579B4" w:rsidRPr="00792B2E">
        <w:t xml:space="preserve">remedied </w:t>
      </w:r>
      <w:r w:rsidRPr="00792B2E">
        <w:t xml:space="preserve">by a </w:t>
      </w:r>
      <w:r w:rsidR="008B4607" w:rsidRPr="00792B2E">
        <w:t>Draft</w:t>
      </w:r>
      <w:r w:rsidR="006579B4" w:rsidRPr="00792B2E">
        <w:t xml:space="preserve"> SLC Cure Plan</w:t>
      </w:r>
      <w:r w:rsidR="008B4607" w:rsidRPr="00792B2E">
        <w:t xml:space="preserve"> and either Project Operator:</w:t>
      </w:r>
    </w:p>
    <w:p w14:paraId="7DD3A28F" w14:textId="77777777" w:rsidR="006579B4" w:rsidRPr="00792B2E" w:rsidRDefault="008B4607" w:rsidP="0058045D">
      <w:pPr>
        <w:pStyle w:val="Heading5"/>
      </w:pPr>
      <w:r w:rsidRPr="00792B2E">
        <w:t>does not submit an amended Draft SLC Cure Plan within 20 Business Days after the Draft SLC Cure Plan is rejected by the Commonwealth</w:t>
      </w:r>
      <w:r w:rsidR="006579B4" w:rsidRPr="00792B2E">
        <w:t>; or</w:t>
      </w:r>
    </w:p>
    <w:p w14:paraId="3B1055CB" w14:textId="0D9DC6BA" w:rsidR="008B4607" w:rsidRPr="00792B2E" w:rsidRDefault="008B4607" w:rsidP="0058045D">
      <w:pPr>
        <w:pStyle w:val="Heading5"/>
      </w:pPr>
      <w:r w:rsidRPr="00792B2E">
        <w:t>does submit an amended Draft SLC Cure Plan within 20 Business Days after the Draft SLC Cure Plan is rejected by the Commonwealth, but that amended Draft SLC Cure Plan is rejected by the Commonwealth under clause </w:t>
      </w:r>
      <w:r w:rsidRPr="00792B2E">
        <w:fldChar w:fldCharType="begin"/>
      </w:r>
      <w:r w:rsidRPr="00792B2E">
        <w:instrText xml:space="preserve"> REF _Ref167309284 \w \h </w:instrText>
      </w:r>
      <w:r w:rsidR="00F205EC" w:rsidRPr="00792B2E">
        <w:instrText xml:space="preserve"> \* MERGEFORMAT </w:instrText>
      </w:r>
      <w:r w:rsidRPr="00792B2E">
        <w:fldChar w:fldCharType="separate"/>
      </w:r>
      <w:r w:rsidR="002E5C6A">
        <w:t>11.4(g)</w:t>
      </w:r>
      <w:r w:rsidRPr="00792B2E">
        <w:fldChar w:fldCharType="end"/>
      </w:r>
      <w:r w:rsidRPr="00792B2E">
        <w:t>,</w:t>
      </w:r>
      <w:r w:rsidR="00DC2887">
        <w:t xml:space="preserve"> or</w:t>
      </w:r>
    </w:p>
    <w:p w14:paraId="7CB8114D" w14:textId="503229D9" w:rsidR="006579B4" w:rsidRPr="00792B2E" w:rsidRDefault="008B4607" w:rsidP="0058045D">
      <w:pPr>
        <w:pStyle w:val="Heading4"/>
      </w:pPr>
      <w:r w:rsidRPr="00792B2E">
        <w:t xml:space="preserve">under clause </w:t>
      </w:r>
      <w:r w:rsidRPr="00792B2E">
        <w:fldChar w:fldCharType="begin"/>
      </w:r>
      <w:r w:rsidRPr="00792B2E">
        <w:instrText xml:space="preserve"> REF _Ref166245206 \w \h </w:instrText>
      </w:r>
      <w:r w:rsidR="00F205EC" w:rsidRPr="00792B2E">
        <w:instrText xml:space="preserve"> \* MERGEFORMAT </w:instrText>
      </w:r>
      <w:r w:rsidRPr="00792B2E">
        <w:fldChar w:fldCharType="separate"/>
      </w:r>
      <w:r w:rsidR="002E5C6A">
        <w:t>11.4(e)</w:t>
      </w:r>
      <w:r w:rsidRPr="00792B2E">
        <w:fldChar w:fldCharType="end"/>
      </w:r>
      <w:r w:rsidRPr="00792B2E">
        <w:t xml:space="preserve"> (“</w:t>
      </w:r>
      <w:r w:rsidRPr="00792B2E">
        <w:fldChar w:fldCharType="begin"/>
      </w:r>
      <w:r w:rsidRPr="00792B2E">
        <w:instrText xml:space="preserve"> REF _Ref99722672 \h </w:instrText>
      </w:r>
      <w:r w:rsidR="00F205EC" w:rsidRPr="00792B2E">
        <w:instrText xml:space="preserve"> \* MERGEFORMAT </w:instrText>
      </w:r>
      <w:r w:rsidRPr="00792B2E">
        <w:fldChar w:fldCharType="separate"/>
      </w:r>
      <w:r w:rsidR="002E5C6A" w:rsidRPr="00847C21">
        <w:t>Cure</w:t>
      </w:r>
      <w:r w:rsidRPr="00792B2E">
        <w:fldChar w:fldCharType="end"/>
      </w:r>
      <w:r w:rsidRPr="00792B2E">
        <w:t xml:space="preserve">”) to approve </w:t>
      </w:r>
      <w:r w:rsidR="00C4144C" w:rsidRPr="00792B2E">
        <w:t xml:space="preserve">a </w:t>
      </w:r>
      <w:r w:rsidRPr="00792B2E">
        <w:t>Draft SLC Cure Plan or under clause </w:t>
      </w:r>
      <w:r w:rsidR="00C4144C" w:rsidRPr="00792B2E">
        <w:fldChar w:fldCharType="begin"/>
      </w:r>
      <w:r w:rsidR="00C4144C" w:rsidRPr="00792B2E">
        <w:instrText xml:space="preserve"> REF _Ref167309284 \w \h </w:instrText>
      </w:r>
      <w:r w:rsidR="00F205EC" w:rsidRPr="00792B2E">
        <w:instrText xml:space="preserve"> \* MERGEFORMAT </w:instrText>
      </w:r>
      <w:r w:rsidR="00C4144C" w:rsidRPr="00792B2E">
        <w:fldChar w:fldCharType="separate"/>
      </w:r>
      <w:r w:rsidR="002E5C6A">
        <w:t>11.4(g)</w:t>
      </w:r>
      <w:r w:rsidR="00C4144C" w:rsidRPr="00792B2E">
        <w:fldChar w:fldCharType="end"/>
      </w:r>
      <w:r w:rsidR="00C4144C" w:rsidRPr="00792B2E">
        <w:t xml:space="preserve"> to approve an amended Draft SLC Cure Plan, but Project Operator then fails to comply with the Approved SLC Cure Plan</w:t>
      </w:r>
      <w:r w:rsidR="006579B4" w:rsidRPr="00792B2E">
        <w:t>,</w:t>
      </w:r>
    </w:p>
    <w:p w14:paraId="3C7CBEE5" w14:textId="4D852AD5" w:rsidR="006579B4" w:rsidRPr="00792B2E" w:rsidRDefault="6AEBA144" w:rsidP="003A24AE">
      <w:pPr>
        <w:pStyle w:val="Heading3"/>
        <w:numPr>
          <w:ilvl w:val="0"/>
          <w:numId w:val="0"/>
        </w:numPr>
        <w:ind w:left="1474"/>
      </w:pPr>
      <w:r w:rsidRPr="00792B2E">
        <w:t>then S</w:t>
      </w:r>
      <w:r w:rsidR="2BC382E4" w:rsidRPr="00792B2E">
        <w:t>LC</w:t>
      </w:r>
      <w:r w:rsidRPr="00792B2E">
        <w:t xml:space="preserve"> abatements may be assessed by the Commonwealth. The amount of any </w:t>
      </w:r>
      <w:r w:rsidR="00DC2887">
        <w:t>“</w:t>
      </w:r>
      <w:r w:rsidRPr="00D315FD">
        <w:rPr>
          <w:b/>
          <w:bCs/>
        </w:rPr>
        <w:t>S</w:t>
      </w:r>
      <w:r w:rsidR="2BC382E4" w:rsidRPr="00D315FD">
        <w:rPr>
          <w:b/>
          <w:bCs/>
        </w:rPr>
        <w:t>LC</w:t>
      </w:r>
      <w:r w:rsidRPr="00D315FD">
        <w:rPr>
          <w:b/>
          <w:bCs/>
        </w:rPr>
        <w:t xml:space="preserve"> Abatement</w:t>
      </w:r>
      <w:r w:rsidRPr="00792B2E">
        <w:t xml:space="preserve"> </w:t>
      </w:r>
      <w:r w:rsidRPr="00D315FD">
        <w:rPr>
          <w:b/>
        </w:rPr>
        <w:t>Amount</w:t>
      </w:r>
      <w:r w:rsidR="00DC2887">
        <w:t>”</w:t>
      </w:r>
      <w:r w:rsidRPr="00792B2E">
        <w:t xml:space="preserve"> will be determined based on the value of the Social Licence Commitment</w:t>
      </w:r>
      <w:r w:rsidR="2BC382E4" w:rsidRPr="00792B2E">
        <w:t>(s) with which Project Operator has not complied</w:t>
      </w:r>
      <w:r w:rsidRPr="00792B2E">
        <w:t>,</w:t>
      </w:r>
      <w:r w:rsidR="2BC382E4" w:rsidRPr="00792B2E">
        <w:t xml:space="preserve"> as set out in </w:t>
      </w:r>
      <w:r w:rsidRPr="00792B2E">
        <w:fldChar w:fldCharType="begin"/>
      </w:r>
      <w:r w:rsidRPr="00792B2E">
        <w:instrText xml:space="preserve"> REF _Ref159507374 \r \h </w:instrText>
      </w:r>
      <w:r w:rsidR="00F205EC" w:rsidRPr="00792B2E">
        <w:instrText xml:space="preserve"> \* MERGEFORMAT </w:instrText>
      </w:r>
      <w:r w:rsidRPr="00792B2E">
        <w:fldChar w:fldCharType="separate"/>
      </w:r>
      <w:r w:rsidR="002E5C6A">
        <w:t>Schedule 2</w:t>
      </w:r>
      <w:r w:rsidRPr="00792B2E">
        <w:fldChar w:fldCharType="end"/>
      </w:r>
      <w:r w:rsidR="2BC382E4" w:rsidRPr="00792B2E">
        <w:t xml:space="preserve"> (“</w:t>
      </w:r>
      <w:r w:rsidRPr="00792B2E">
        <w:fldChar w:fldCharType="begin"/>
      </w:r>
      <w:r w:rsidRPr="00792B2E">
        <w:instrText xml:space="preserve"> REF _Ref159507374 \h </w:instrText>
      </w:r>
      <w:r w:rsidR="00F205EC" w:rsidRPr="00792B2E">
        <w:instrText xml:space="preserve"> \* MERGEFORMAT </w:instrText>
      </w:r>
      <w:r w:rsidRPr="00792B2E">
        <w:fldChar w:fldCharType="separate"/>
      </w:r>
      <w:r w:rsidR="002E5C6A" w:rsidRPr="00792B2E">
        <w:t>Social Licence Commitments</w:t>
      </w:r>
      <w:r w:rsidRPr="00792B2E">
        <w:fldChar w:fldCharType="end"/>
      </w:r>
      <w:r w:rsidR="2BC382E4" w:rsidRPr="00792B2E">
        <w:t>”),</w:t>
      </w:r>
      <w:r w:rsidRPr="00792B2E">
        <w:t xml:space="preserve"> </w:t>
      </w:r>
      <w:r w:rsidR="00482EF3">
        <w:t xml:space="preserve">in addition to </w:t>
      </w:r>
      <w:r w:rsidRPr="00792B2E">
        <w:t>a reasonable estimate of the potential or actual harm or loss to the Commonwealth and the community's interest if that Social Licence Commitment is not achieved.</w:t>
      </w:r>
    </w:p>
    <w:p w14:paraId="18B41DDA" w14:textId="77777777" w:rsidR="006579B4" w:rsidRPr="00792B2E" w:rsidRDefault="006579B4" w:rsidP="0058045D">
      <w:pPr>
        <w:pStyle w:val="Heading3"/>
      </w:pPr>
      <w:r w:rsidRPr="00792B2E">
        <w:t>If there is partial non-compliance</w:t>
      </w:r>
      <w:r w:rsidR="00C4144C" w:rsidRPr="00792B2E">
        <w:t>,</w:t>
      </w:r>
      <w:r w:rsidRPr="00792B2E">
        <w:t xml:space="preserve"> </w:t>
      </w:r>
      <w:r w:rsidR="00C4144C" w:rsidRPr="00792B2E">
        <w:t xml:space="preserve">because </w:t>
      </w:r>
      <w:r w:rsidRPr="00792B2E">
        <w:t xml:space="preserve">Project Operator has made substantial but incomplete progress towards fulfilling a Social Licence Commitment, then the Commonwealth may </w:t>
      </w:r>
      <w:r w:rsidR="00C4144C" w:rsidRPr="00792B2E">
        <w:t xml:space="preserve">determine the SLC Abatement Amounts on a </w:t>
      </w:r>
      <w:r w:rsidRPr="00792B2E">
        <w:t xml:space="preserve">pro-rata </w:t>
      </w:r>
      <w:r w:rsidR="00C4144C" w:rsidRPr="00792B2E">
        <w:t>basis</w:t>
      </w:r>
      <w:r w:rsidRPr="00792B2E">
        <w:t>.</w:t>
      </w:r>
    </w:p>
    <w:p w14:paraId="50E9F2AF" w14:textId="441D0A12" w:rsidR="00C4144C" w:rsidRPr="00792B2E" w:rsidRDefault="006579B4" w:rsidP="0058045D">
      <w:pPr>
        <w:pStyle w:val="Heading3"/>
      </w:pPr>
      <w:r w:rsidRPr="00792B2E">
        <w:t xml:space="preserve">The method for calculating </w:t>
      </w:r>
      <w:r w:rsidR="00C4144C" w:rsidRPr="00792B2E">
        <w:t xml:space="preserve">SLC Abatement Amounts on a </w:t>
      </w:r>
      <w:r w:rsidRPr="00792B2E">
        <w:t xml:space="preserve">pro-rata </w:t>
      </w:r>
      <w:r w:rsidR="00C4144C" w:rsidRPr="00792B2E">
        <w:t xml:space="preserve">basis </w:t>
      </w:r>
      <w:r w:rsidRPr="00792B2E">
        <w:t xml:space="preserve">will be </w:t>
      </w:r>
      <w:r w:rsidR="00C4144C" w:rsidRPr="00792B2E">
        <w:t xml:space="preserve">based on the values </w:t>
      </w:r>
      <w:r w:rsidRPr="00792B2E">
        <w:t xml:space="preserve">specified in </w:t>
      </w:r>
      <w:r w:rsidR="001F5BC5" w:rsidRPr="00792B2E">
        <w:fldChar w:fldCharType="begin"/>
      </w:r>
      <w:r w:rsidR="001F5BC5" w:rsidRPr="00792B2E">
        <w:instrText xml:space="preserve"> REF _Ref159507374 \r \h </w:instrText>
      </w:r>
      <w:r w:rsidR="00F205EC" w:rsidRPr="00792B2E">
        <w:instrText xml:space="preserve"> \* MERGEFORMAT </w:instrText>
      </w:r>
      <w:r w:rsidR="001F5BC5" w:rsidRPr="00792B2E">
        <w:fldChar w:fldCharType="separate"/>
      </w:r>
      <w:r w:rsidR="002E5C6A">
        <w:t>Schedule 2</w:t>
      </w:r>
      <w:r w:rsidR="001F5BC5" w:rsidRPr="00792B2E">
        <w:fldChar w:fldCharType="end"/>
      </w:r>
      <w:r w:rsidR="001F5BC5" w:rsidRPr="00792B2E">
        <w:t xml:space="preserve"> (“</w:t>
      </w:r>
      <w:r w:rsidR="001F5BC5" w:rsidRPr="00792B2E">
        <w:fldChar w:fldCharType="begin"/>
      </w:r>
      <w:r w:rsidR="001F5BC5" w:rsidRPr="00792B2E">
        <w:instrText xml:space="preserve"> REF _Ref159507374 \h </w:instrText>
      </w:r>
      <w:r w:rsidR="00F205EC" w:rsidRPr="00792B2E">
        <w:instrText xml:space="preserve"> \* MERGEFORMAT </w:instrText>
      </w:r>
      <w:r w:rsidR="001F5BC5" w:rsidRPr="00792B2E">
        <w:fldChar w:fldCharType="separate"/>
      </w:r>
      <w:r w:rsidR="002E5C6A" w:rsidRPr="00792B2E">
        <w:t>Social Licence Commitments</w:t>
      </w:r>
      <w:r w:rsidR="001F5BC5" w:rsidRPr="00792B2E">
        <w:fldChar w:fldCharType="end"/>
      </w:r>
      <w:r w:rsidR="001F5BC5" w:rsidRPr="00792B2E">
        <w:t>”)</w:t>
      </w:r>
      <w:r w:rsidR="00B314B2">
        <w:t xml:space="preserve"> </w:t>
      </w:r>
      <w:r w:rsidR="00C4144C" w:rsidRPr="00792B2E">
        <w:t xml:space="preserve">and the Commonwealth’s assessment (acting reasonably) of: </w:t>
      </w:r>
    </w:p>
    <w:p w14:paraId="3A101025" w14:textId="77777777" w:rsidR="00C4144C" w:rsidRPr="00792B2E" w:rsidRDefault="006579B4" w:rsidP="0058045D">
      <w:pPr>
        <w:pStyle w:val="Heading4"/>
      </w:pPr>
      <w:r w:rsidRPr="00792B2E">
        <w:t>the degree of achievement</w:t>
      </w:r>
      <w:r w:rsidR="00C4144C" w:rsidRPr="00792B2E">
        <w:t>;</w:t>
      </w:r>
      <w:r w:rsidRPr="00792B2E">
        <w:t xml:space="preserve"> and </w:t>
      </w:r>
    </w:p>
    <w:p w14:paraId="15483CDA" w14:textId="77777777" w:rsidR="006579B4" w:rsidRPr="00792B2E" w:rsidRDefault="00C4144C" w:rsidP="0058045D">
      <w:pPr>
        <w:pStyle w:val="Heading4"/>
      </w:pPr>
      <w:r w:rsidRPr="00792B2E">
        <w:t>the</w:t>
      </w:r>
      <w:r w:rsidR="006579B4" w:rsidRPr="00792B2E">
        <w:t xml:space="preserve"> potential or actual harm or loss to the Commonwealth and the community’s interest associated with partial non-compliance.</w:t>
      </w:r>
    </w:p>
    <w:p w14:paraId="7328649E" w14:textId="28B20178" w:rsidR="00121D01" w:rsidRDefault="00C4144C" w:rsidP="0058045D">
      <w:pPr>
        <w:pStyle w:val="Heading3"/>
      </w:pPr>
      <w:bookmarkStart w:id="2822" w:name="_Ref205751518"/>
      <w:r w:rsidRPr="00792B2E">
        <w:t xml:space="preserve">If </w:t>
      </w:r>
      <w:r w:rsidR="6AEBA144" w:rsidRPr="00792B2E">
        <w:t xml:space="preserve">an </w:t>
      </w:r>
      <w:r w:rsidR="007D7F4B" w:rsidRPr="00792B2E">
        <w:t>SLC A</w:t>
      </w:r>
      <w:r w:rsidR="6AEBA144" w:rsidRPr="00792B2E">
        <w:t xml:space="preserve">batement </w:t>
      </w:r>
      <w:r w:rsidR="007D7F4B" w:rsidRPr="00792B2E">
        <w:t>A</w:t>
      </w:r>
      <w:r w:rsidR="6AEBA144" w:rsidRPr="00792B2E">
        <w:t xml:space="preserve">mount is determined by the Commonwealth </w:t>
      </w:r>
      <w:r w:rsidRPr="00792B2E">
        <w:t>under</w:t>
      </w:r>
      <w:r w:rsidR="6AEBA144" w:rsidRPr="00792B2E">
        <w:t xml:space="preserve"> this clause </w:t>
      </w:r>
      <w:r w:rsidR="000103A0" w:rsidRPr="00792B2E">
        <w:fldChar w:fldCharType="begin"/>
      </w:r>
      <w:r w:rsidR="000103A0" w:rsidRPr="00792B2E">
        <w:instrText xml:space="preserve"> REF _Ref166840648 \w \h </w:instrText>
      </w:r>
      <w:r w:rsidR="00F205EC" w:rsidRPr="00792B2E">
        <w:instrText xml:space="preserve"> \* MERGEFORMAT </w:instrText>
      </w:r>
      <w:r w:rsidR="000103A0" w:rsidRPr="00792B2E">
        <w:fldChar w:fldCharType="separate"/>
      </w:r>
      <w:r w:rsidR="002E5C6A">
        <w:t>11.6</w:t>
      </w:r>
      <w:r w:rsidR="000103A0" w:rsidRPr="00792B2E">
        <w:fldChar w:fldCharType="end"/>
      </w:r>
      <w:r w:rsidR="000103A0" w:rsidRPr="00792B2E">
        <w:t xml:space="preserve"> ("</w:t>
      </w:r>
      <w:r w:rsidR="00070FBF">
        <w:fldChar w:fldCharType="begin"/>
      </w:r>
      <w:r w:rsidR="00070FBF">
        <w:instrText xml:space="preserve"> REF _Ref166840648 \h </w:instrText>
      </w:r>
      <w:r w:rsidR="00070FBF">
        <w:fldChar w:fldCharType="separate"/>
      </w:r>
      <w:r w:rsidR="002E5C6A" w:rsidRPr="00F06646">
        <w:t>Abatements for non-compliance</w:t>
      </w:r>
      <w:r w:rsidR="00070FBF">
        <w:fldChar w:fldCharType="end"/>
      </w:r>
      <w:r w:rsidR="000103A0" w:rsidRPr="00792B2E">
        <w:t>”)</w:t>
      </w:r>
      <w:r w:rsidR="6AEBA144" w:rsidRPr="00792B2E">
        <w:t xml:space="preserve">, the Commonwealth </w:t>
      </w:r>
      <w:r w:rsidR="000103A0" w:rsidRPr="00792B2E">
        <w:t xml:space="preserve">may </w:t>
      </w:r>
      <w:r w:rsidR="6AEBA144" w:rsidRPr="00792B2E">
        <w:t>issue a</w:t>
      </w:r>
      <w:r w:rsidR="00AD743A">
        <w:t xml:space="preserve"> notice</w:t>
      </w:r>
      <w:r w:rsidR="6AEBA144" w:rsidRPr="00792B2E">
        <w:t xml:space="preserve"> </w:t>
      </w:r>
      <w:r w:rsidR="00DC2887">
        <w:t>“</w:t>
      </w:r>
      <w:r w:rsidR="0007156C" w:rsidRPr="00D315FD">
        <w:rPr>
          <w:b/>
          <w:bCs/>
        </w:rPr>
        <w:t>S</w:t>
      </w:r>
      <w:r w:rsidR="00EB0148" w:rsidRPr="00D315FD">
        <w:rPr>
          <w:b/>
          <w:bCs/>
        </w:rPr>
        <w:t xml:space="preserve">LC </w:t>
      </w:r>
      <w:r w:rsidR="0007156C" w:rsidRPr="00D315FD">
        <w:rPr>
          <w:b/>
          <w:bCs/>
        </w:rPr>
        <w:t>Abatement Notice</w:t>
      </w:r>
      <w:r w:rsidR="00DC2887">
        <w:t>”</w:t>
      </w:r>
      <w:r w:rsidR="6AEBA144" w:rsidRPr="00792B2E">
        <w:t xml:space="preserve"> to Project Operator setting out the calculation of the </w:t>
      </w:r>
      <w:bookmarkStart w:id="2823" w:name="_Hlk167310827"/>
      <w:r w:rsidR="6AEBA144" w:rsidRPr="00792B2E">
        <w:t>S</w:t>
      </w:r>
      <w:r w:rsidR="007D7F4B" w:rsidRPr="00792B2E">
        <w:t>LC</w:t>
      </w:r>
      <w:r w:rsidR="6AEBA144" w:rsidRPr="00792B2E">
        <w:t xml:space="preserve"> Abatement Amount</w:t>
      </w:r>
      <w:bookmarkEnd w:id="2823"/>
      <w:r w:rsidR="6AEBA144" w:rsidRPr="00792B2E">
        <w:t>, and</w:t>
      </w:r>
      <w:r w:rsidR="00121D01">
        <w:t>:</w:t>
      </w:r>
    </w:p>
    <w:p w14:paraId="1955A113" w14:textId="52EBE9F1" w:rsidR="00121D01" w:rsidRDefault="6AEBA144" w:rsidP="00121D01">
      <w:pPr>
        <w:pStyle w:val="Heading4"/>
      </w:pPr>
      <w:r w:rsidRPr="00792B2E">
        <w:t xml:space="preserve">that amount will be applied as an adjustment to the </w:t>
      </w:r>
      <w:r w:rsidR="000103A0" w:rsidRPr="00792B2E">
        <w:t>I</w:t>
      </w:r>
      <w:r w:rsidRPr="00792B2E">
        <w:t xml:space="preserve">nvoice(s) in accordance with clause </w:t>
      </w:r>
      <w:r w:rsidR="006579B4" w:rsidRPr="00792B2E">
        <w:fldChar w:fldCharType="begin"/>
      </w:r>
      <w:r w:rsidR="006579B4" w:rsidRPr="00792B2E">
        <w:instrText xml:space="preserve"> REF _Ref467051310 \r \h </w:instrText>
      </w:r>
      <w:r w:rsidR="00F205EC" w:rsidRPr="00792B2E">
        <w:instrText xml:space="preserve"> \* MERGEFORMAT </w:instrText>
      </w:r>
      <w:r w:rsidR="006579B4" w:rsidRPr="00792B2E">
        <w:fldChar w:fldCharType="separate"/>
      </w:r>
      <w:r w:rsidR="002E5C6A">
        <w:t>16.1</w:t>
      </w:r>
      <w:r w:rsidR="006579B4" w:rsidRPr="00792B2E">
        <w:fldChar w:fldCharType="end"/>
      </w:r>
      <w:r w:rsidRPr="00792B2E">
        <w:t xml:space="preserve"> (“</w:t>
      </w:r>
      <w:r w:rsidR="00E75A43" w:rsidRPr="00792B2E">
        <w:fldChar w:fldCharType="begin"/>
      </w:r>
      <w:r w:rsidR="00E75A43" w:rsidRPr="00792B2E">
        <w:instrText xml:space="preserve"> REF _Ref467051310 \h </w:instrText>
      </w:r>
      <w:r w:rsidR="00F205EC" w:rsidRPr="00792B2E">
        <w:instrText xml:space="preserve"> \* MERGEFORMAT </w:instrText>
      </w:r>
      <w:r w:rsidR="00E75A43" w:rsidRPr="00792B2E">
        <w:fldChar w:fldCharType="separate"/>
      </w:r>
      <w:r w:rsidR="002E5C6A">
        <w:t>Billing</w:t>
      </w:r>
      <w:r w:rsidR="00E75A43" w:rsidRPr="00792B2E">
        <w:fldChar w:fldCharType="end"/>
      </w:r>
      <w:r w:rsidRPr="00792B2E">
        <w:t>”)</w:t>
      </w:r>
      <w:r w:rsidR="00121D01">
        <w:t xml:space="preserve">; or </w:t>
      </w:r>
    </w:p>
    <w:p w14:paraId="647DF69D" w14:textId="018B55C1" w:rsidR="00121D01" w:rsidRDefault="00121D01" w:rsidP="00121D01">
      <w:pPr>
        <w:pStyle w:val="Heading4"/>
      </w:pPr>
      <w:r w:rsidRPr="00121D01">
        <w:t>if that amount has not been so applied by 90 days after the date on which the SLC Abatement Notice is issued by the Commonwealth, the relevant SLC Abatement Amount will be a debt due to the Commonwealth.</w:t>
      </w:r>
    </w:p>
    <w:p w14:paraId="055C515E" w14:textId="77777777" w:rsidR="00D879EA" w:rsidRPr="00F06646" w:rsidRDefault="2C388DF0" w:rsidP="0058045D">
      <w:pPr>
        <w:pStyle w:val="Heading1"/>
      </w:pPr>
      <w:bookmarkStart w:id="2824" w:name="_Toc94885413"/>
      <w:bookmarkStart w:id="2825" w:name="_Toc94885848"/>
      <w:bookmarkStart w:id="2826" w:name="_Toc94886289"/>
      <w:bookmarkStart w:id="2827" w:name="_Toc99723415"/>
      <w:bookmarkStart w:id="2828" w:name="_Toc94885414"/>
      <w:bookmarkStart w:id="2829" w:name="_Toc94885849"/>
      <w:bookmarkStart w:id="2830" w:name="_Toc94886290"/>
      <w:bookmarkStart w:id="2831" w:name="_Toc99723416"/>
      <w:bookmarkStart w:id="2832" w:name="_Toc94885415"/>
      <w:bookmarkStart w:id="2833" w:name="_Toc94885850"/>
      <w:bookmarkStart w:id="2834" w:name="_Toc94886291"/>
      <w:bookmarkStart w:id="2835" w:name="_Toc99723417"/>
      <w:bookmarkStart w:id="2836" w:name="_Toc94885416"/>
      <w:bookmarkStart w:id="2837" w:name="_Toc94885851"/>
      <w:bookmarkStart w:id="2838" w:name="_Toc94886292"/>
      <w:bookmarkStart w:id="2839" w:name="_Toc99723418"/>
      <w:bookmarkStart w:id="2840" w:name="_Toc94885417"/>
      <w:bookmarkStart w:id="2841" w:name="_Toc94885852"/>
      <w:bookmarkStart w:id="2842" w:name="_Toc94886293"/>
      <w:bookmarkStart w:id="2843" w:name="_Toc99723419"/>
      <w:bookmarkStart w:id="2844" w:name="_Toc94885418"/>
      <w:bookmarkStart w:id="2845" w:name="_Toc94885853"/>
      <w:bookmarkStart w:id="2846" w:name="_Toc94886294"/>
      <w:bookmarkStart w:id="2847" w:name="_Toc99723420"/>
      <w:bookmarkStart w:id="2848" w:name="_Toc94885419"/>
      <w:bookmarkStart w:id="2849" w:name="_Toc94885854"/>
      <w:bookmarkStart w:id="2850" w:name="_Toc94886295"/>
      <w:bookmarkStart w:id="2851" w:name="_Toc99723421"/>
      <w:bookmarkStart w:id="2852" w:name="_Toc94885420"/>
      <w:bookmarkStart w:id="2853" w:name="_Toc94885855"/>
      <w:bookmarkStart w:id="2854" w:name="_Toc94886296"/>
      <w:bookmarkStart w:id="2855" w:name="_Toc99723422"/>
      <w:bookmarkStart w:id="2856" w:name="_Toc159511749"/>
      <w:bookmarkStart w:id="2857" w:name="_Toc159511750"/>
      <w:bookmarkStart w:id="2858" w:name="_Ref160875595"/>
      <w:bookmarkStart w:id="2859" w:name="_Ref161846678"/>
      <w:bookmarkStart w:id="2860" w:name="_Toc207309610"/>
      <w:bookmarkEnd w:id="2822"/>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r w:rsidRPr="00F06646">
        <w:t>Reporting</w:t>
      </w:r>
      <w:bookmarkEnd w:id="2858"/>
      <w:bookmarkEnd w:id="2859"/>
      <w:bookmarkEnd w:id="2860"/>
    </w:p>
    <w:p w14:paraId="41AA2A7C" w14:textId="77777777" w:rsidR="00DD19CB" w:rsidRPr="00F06646" w:rsidRDefault="49D70CC2" w:rsidP="008F660B">
      <w:pPr>
        <w:pStyle w:val="Heading2"/>
        <w:numPr>
          <w:ilvl w:val="1"/>
          <w:numId w:val="73"/>
        </w:numPr>
      </w:pPr>
      <w:bookmarkStart w:id="2861" w:name="_Ref103591979"/>
      <w:bookmarkStart w:id="2862" w:name="_Toc156909144"/>
      <w:bookmarkStart w:id="2863" w:name="_Ref167303346"/>
      <w:bookmarkStart w:id="2864" w:name="_Ref167304778"/>
      <w:bookmarkStart w:id="2865" w:name="_Ref167304903"/>
      <w:bookmarkStart w:id="2866" w:name="_Toc207309611"/>
      <w:bookmarkStart w:id="2867" w:name="_Ref103345445"/>
      <w:r w:rsidRPr="00F06646">
        <w:t>Development and construction reports</w:t>
      </w:r>
      <w:bookmarkEnd w:id="2861"/>
      <w:bookmarkEnd w:id="2862"/>
      <w:bookmarkEnd w:id="2863"/>
      <w:bookmarkEnd w:id="2864"/>
      <w:bookmarkEnd w:id="2865"/>
      <w:bookmarkEnd w:id="2866"/>
    </w:p>
    <w:p w14:paraId="382CBEC0" w14:textId="3FCB3659" w:rsidR="00D879EA" w:rsidRPr="00F06646" w:rsidRDefault="00DC2887" w:rsidP="0058045D">
      <w:pPr>
        <w:pStyle w:val="Heading3"/>
      </w:pPr>
      <w:bookmarkStart w:id="2868" w:name="_Ref163828739"/>
      <w:r>
        <w:t>After the Signing Date and prior</w:t>
      </w:r>
      <w:r w:rsidRPr="00F06646">
        <w:t xml:space="preserve"> </w:t>
      </w:r>
      <w:r w:rsidR="2C388DF0" w:rsidRPr="00F06646">
        <w:t xml:space="preserve">to the Commercial Operations Date, Project Operator must provide, within 20 Business Days after the end of each </w:t>
      </w:r>
      <w:r w:rsidR="009A40B6">
        <w:t>Qu</w:t>
      </w:r>
      <w:r w:rsidR="2C388DF0" w:rsidRPr="00F06646">
        <w:t>arter, a quarterly report that sets out the following information with reasonable supporting details:</w:t>
      </w:r>
      <w:bookmarkEnd w:id="2867"/>
      <w:bookmarkEnd w:id="2868"/>
    </w:p>
    <w:p w14:paraId="279E8E37" w14:textId="0D18B916" w:rsidR="00D879EA" w:rsidRDefault="2C388DF0" w:rsidP="0058045D">
      <w:pPr>
        <w:pStyle w:val="Heading4"/>
      </w:pPr>
      <w:r w:rsidRPr="00F06646">
        <w:t>the progress of achieving the Milestones as against the relevant Milestone Date</w:t>
      </w:r>
      <w:r w:rsidR="00AD743A">
        <w:t>s</w:t>
      </w:r>
      <w:r w:rsidRPr="00F06646">
        <w:t xml:space="preserve">, including any matter </w:t>
      </w:r>
      <w:r w:rsidR="00433C0F">
        <w:t>that</w:t>
      </w:r>
      <w:r w:rsidR="00433C0F" w:rsidRPr="00F06646">
        <w:t xml:space="preserve"> </w:t>
      </w:r>
      <w:r w:rsidRPr="00F06646">
        <w:t>could cause Project Operator to not achieve a Milestone by the relevant Milestone Date;</w:t>
      </w:r>
    </w:p>
    <w:p w14:paraId="22C79A06" w14:textId="77777777" w:rsidR="00DC2887" w:rsidRPr="008129EB" w:rsidRDefault="00DC2887" w:rsidP="00DC2887">
      <w:pPr>
        <w:pStyle w:val="Heading4"/>
      </w:pPr>
      <w:r w:rsidRPr="008129EB">
        <w:t>the date on which Project Operator expects that it will satisfy all of the COD Conditions;</w:t>
      </w:r>
    </w:p>
    <w:p w14:paraId="37416651" w14:textId="374998D8" w:rsidR="00DC2887" w:rsidRPr="00F06646" w:rsidRDefault="00DC2887" w:rsidP="00DC2887">
      <w:pPr>
        <w:pStyle w:val="Heading4"/>
      </w:pPr>
      <w:r w:rsidRPr="0011424A">
        <w:t xml:space="preserve">[the date on which Project Operator expects that it will achieve </w:t>
      </w:r>
      <w:r>
        <w:t xml:space="preserve">the </w:t>
      </w:r>
      <w:r w:rsidRPr="0011424A">
        <w:t xml:space="preserve">commercial operations </w:t>
      </w:r>
      <w:r>
        <w:t xml:space="preserve">date </w:t>
      </w:r>
      <w:r w:rsidRPr="0011424A">
        <w:t>in respect of the Existing Project;] [</w:t>
      </w:r>
      <w:r w:rsidRPr="005617AB">
        <w:rPr>
          <w:b/>
          <w:bCs/>
          <w:i/>
          <w:iCs/>
          <w:highlight w:val="lightGray"/>
        </w:rPr>
        <w:t>Note: words in square brackets to be included for all Staged Projects where the Existing Project has not yet reached its commercial operations date as at the Signing Date.</w:t>
      </w:r>
      <w:r w:rsidRPr="0011424A">
        <w:t>]</w:t>
      </w:r>
    </w:p>
    <w:p w14:paraId="08C28BE1" w14:textId="3CD93002" w:rsidR="00D879EA" w:rsidRPr="00F06646" w:rsidRDefault="2C388DF0" w:rsidP="0058045D">
      <w:pPr>
        <w:pStyle w:val="Heading4"/>
      </w:pPr>
      <w:r w:rsidRPr="00F06646">
        <w:t xml:space="preserve">the progress of construction and information about </w:t>
      </w:r>
      <w:r w:rsidR="00AD743A">
        <w:t xml:space="preserve">any </w:t>
      </w:r>
      <w:r w:rsidRPr="00F06646">
        <w:t xml:space="preserve">events </w:t>
      </w:r>
      <w:r w:rsidR="00433C0F">
        <w:t xml:space="preserve">that </w:t>
      </w:r>
      <w:r w:rsidRPr="00F06646">
        <w:t xml:space="preserve">Project Operator considers may prevent the satisfaction of the COD Conditions by the COD Sunset Date; </w:t>
      </w:r>
    </w:p>
    <w:p w14:paraId="2A7CFD8C" w14:textId="71F0BA50" w:rsidR="00D879EA" w:rsidRPr="00F06646" w:rsidRDefault="2C388DF0" w:rsidP="0058045D">
      <w:pPr>
        <w:pStyle w:val="Heading4"/>
      </w:pPr>
      <w:r w:rsidRPr="00F06646">
        <w:t>the progress in obtaining Authorisations required for the construction and operation of the Project</w:t>
      </w:r>
      <w:r w:rsidR="0093293D">
        <w:t xml:space="preserve"> [and the </w:t>
      </w:r>
      <w:r w:rsidR="009A40B6">
        <w:t>[</w:t>
      </w:r>
      <w:r w:rsidR="0093293D">
        <w:t>Associated</w:t>
      </w:r>
      <w:r w:rsidR="00DC2887">
        <w:t>/Existing</w:t>
      </w:r>
      <w:r w:rsidR="009A40B6">
        <w:t>]</w:t>
      </w:r>
      <w:r w:rsidR="0093293D">
        <w:t xml:space="preserve"> Project]</w:t>
      </w:r>
      <w:r w:rsidRPr="00F06646">
        <w:t>;</w:t>
      </w:r>
      <w:r w:rsidR="0093293D">
        <w:t xml:space="preserve"> [</w:t>
      </w:r>
      <w:r w:rsidR="0093293D" w:rsidRPr="004D3942">
        <w:rPr>
          <w:b/>
          <w:bCs/>
          <w:i/>
          <w:iCs/>
          <w:highlight w:val="lightGray"/>
        </w:rPr>
        <w:t xml:space="preserve">Note: </w:t>
      </w:r>
      <w:r w:rsidR="0093293D">
        <w:rPr>
          <w:b/>
          <w:bCs/>
          <w:i/>
          <w:iCs/>
          <w:highlight w:val="lightGray"/>
        </w:rPr>
        <w:t xml:space="preserve">words in square brackets to be included </w:t>
      </w:r>
      <w:r w:rsidR="0093293D" w:rsidRPr="004D3942">
        <w:rPr>
          <w:b/>
          <w:bCs/>
          <w:i/>
          <w:iCs/>
          <w:highlight w:val="lightGray"/>
        </w:rPr>
        <w:t xml:space="preserve">for all Hybrid </w:t>
      </w:r>
      <w:r w:rsidR="009A40B6">
        <w:rPr>
          <w:b/>
          <w:bCs/>
          <w:i/>
          <w:iCs/>
          <w:highlight w:val="lightGray"/>
        </w:rPr>
        <w:t>Project</w:t>
      </w:r>
      <w:r w:rsidR="00DC2887">
        <w:rPr>
          <w:b/>
          <w:bCs/>
          <w:i/>
          <w:iCs/>
          <w:highlight w:val="lightGray"/>
        </w:rPr>
        <w:t xml:space="preserve"> and Staged </w:t>
      </w:r>
      <w:r w:rsidR="0093293D" w:rsidRPr="004D3942">
        <w:rPr>
          <w:b/>
          <w:bCs/>
          <w:i/>
          <w:iCs/>
          <w:highlight w:val="lightGray"/>
        </w:rPr>
        <w:t>Projects</w:t>
      </w:r>
      <w:r w:rsidR="009A40B6">
        <w:rPr>
          <w:b/>
          <w:bCs/>
          <w:i/>
          <w:iCs/>
          <w:highlight w:val="lightGray"/>
        </w:rPr>
        <w:t xml:space="preserve"> for which the Associated Project Existing Project</w:t>
      </w:r>
      <w:r w:rsidR="00DC2887">
        <w:rPr>
          <w:b/>
          <w:bCs/>
          <w:i/>
          <w:iCs/>
          <w:highlight w:val="lightGray"/>
        </w:rPr>
        <w:t xml:space="preserve"> (as applicable)</w:t>
      </w:r>
      <w:r w:rsidR="009A40B6">
        <w:rPr>
          <w:b/>
          <w:bCs/>
          <w:i/>
          <w:iCs/>
          <w:highlight w:val="lightGray"/>
        </w:rPr>
        <w:t xml:space="preserve"> is not operational as at the Signing Date.</w:t>
      </w:r>
      <w:r w:rsidR="0093293D">
        <w:t>]</w:t>
      </w:r>
      <w:r w:rsidRPr="00F06646">
        <w:t xml:space="preserve"> </w:t>
      </w:r>
    </w:p>
    <w:p w14:paraId="1817B04A" w14:textId="4B36312A" w:rsidR="00D879EA" w:rsidRPr="00F06646" w:rsidRDefault="2C388DF0" w:rsidP="0058045D">
      <w:pPr>
        <w:pStyle w:val="Heading4"/>
      </w:pPr>
      <w:r w:rsidRPr="00F06646">
        <w:t>any proposed changes to the scope of the Project</w:t>
      </w:r>
      <w:r w:rsidR="00E10917">
        <w:t xml:space="preserve"> [or Associated/Existing Project]</w:t>
      </w:r>
      <w:r w:rsidRPr="00F06646">
        <w:t xml:space="preserve">; </w:t>
      </w:r>
      <w:r w:rsidR="00740396">
        <w:t>[</w:t>
      </w:r>
      <w:r w:rsidR="00740396" w:rsidRPr="004D3942">
        <w:rPr>
          <w:b/>
          <w:bCs/>
          <w:i/>
          <w:iCs/>
          <w:highlight w:val="lightGray"/>
        </w:rPr>
        <w:t xml:space="preserve">Note: </w:t>
      </w:r>
      <w:r w:rsidR="00740396">
        <w:rPr>
          <w:b/>
          <w:bCs/>
          <w:i/>
          <w:iCs/>
          <w:highlight w:val="lightGray"/>
        </w:rPr>
        <w:t xml:space="preserve">words in square brackets to be included </w:t>
      </w:r>
      <w:r w:rsidR="00740396" w:rsidRPr="004D3942">
        <w:rPr>
          <w:b/>
          <w:bCs/>
          <w:i/>
          <w:iCs/>
          <w:highlight w:val="lightGray"/>
        </w:rPr>
        <w:t xml:space="preserve">for all Hybrid </w:t>
      </w:r>
      <w:r w:rsidR="00740396">
        <w:rPr>
          <w:b/>
          <w:bCs/>
          <w:i/>
          <w:iCs/>
          <w:highlight w:val="lightGray"/>
        </w:rPr>
        <w:t xml:space="preserve">Projects and Staged </w:t>
      </w:r>
      <w:r w:rsidR="00740396" w:rsidRPr="004D3942">
        <w:rPr>
          <w:b/>
          <w:bCs/>
          <w:i/>
          <w:iCs/>
          <w:highlight w:val="lightGray"/>
        </w:rPr>
        <w:t>Projects</w:t>
      </w:r>
      <w:r w:rsidR="00740396">
        <w:rPr>
          <w:b/>
          <w:bCs/>
          <w:i/>
          <w:iCs/>
          <w:highlight w:val="lightGray"/>
        </w:rPr>
        <w:t xml:space="preserve"> (as applicable)</w:t>
      </w:r>
      <w:r w:rsidR="00740396" w:rsidRPr="004D3942">
        <w:rPr>
          <w:b/>
          <w:bCs/>
          <w:i/>
          <w:iCs/>
          <w:highlight w:val="lightGray"/>
        </w:rPr>
        <w:t>.</w:t>
      </w:r>
      <w:r w:rsidR="00740396">
        <w:t>]</w:t>
      </w:r>
    </w:p>
    <w:p w14:paraId="5FD2C4D9" w14:textId="77777777" w:rsidR="00EA09BE" w:rsidRPr="00F06646" w:rsidRDefault="2C388DF0" w:rsidP="0058045D">
      <w:pPr>
        <w:pStyle w:val="Heading4"/>
      </w:pPr>
      <w:r w:rsidRPr="00F06646">
        <w:t>any work health and safety incidents, near misses or risks to health and safety involving, or involving the potential for, death, serious injury or illness or a dangerous incident as defined by Part 3 of the WHS Act;</w:t>
      </w:r>
    </w:p>
    <w:p w14:paraId="33D69AFD" w14:textId="79E7AF30" w:rsidR="2C388DF0" w:rsidRPr="00F06646" w:rsidRDefault="00AD743A" w:rsidP="0058045D">
      <w:pPr>
        <w:pStyle w:val="Heading4"/>
      </w:pPr>
      <w:r>
        <w:t xml:space="preserve">any </w:t>
      </w:r>
      <w:r w:rsidR="2C388DF0" w:rsidRPr="00F06646">
        <w:t xml:space="preserve">complaints received by Project Operator or made to any </w:t>
      </w:r>
      <w:r w:rsidR="00DC2887">
        <w:t xml:space="preserve">Government </w:t>
      </w:r>
      <w:r w:rsidR="2C388DF0" w:rsidRPr="00F06646">
        <w:t>Authorities, or legal or regulatory proceedings, in relation to the Project</w:t>
      </w:r>
      <w:r w:rsidR="0093293D">
        <w:t>[</w:t>
      </w:r>
      <w:r w:rsidR="00433C0F">
        <w:t xml:space="preserve"> </w:t>
      </w:r>
      <w:r w:rsidR="0093293D">
        <w:t xml:space="preserve">or the </w:t>
      </w:r>
      <w:r w:rsidR="009A40B6">
        <w:t>[</w:t>
      </w:r>
      <w:r w:rsidR="0093293D">
        <w:t>Associated</w:t>
      </w:r>
      <w:r w:rsidR="00DC2887">
        <w:t>/Existing</w:t>
      </w:r>
      <w:r w:rsidR="009A40B6">
        <w:t>]</w:t>
      </w:r>
      <w:r w:rsidR="0093293D">
        <w:t xml:space="preserve"> Project]</w:t>
      </w:r>
      <w:r w:rsidR="00DC2887">
        <w:t xml:space="preserve"> or Project Operator, or any Significant Event (</w:t>
      </w:r>
      <w:r w:rsidR="00494081">
        <w:t>a</w:t>
      </w:r>
      <w:r w:rsidR="00DC2887">
        <w:t xml:space="preserve">s defined in </w:t>
      </w:r>
      <w:r w:rsidR="003C04DD">
        <w:t>section</w:t>
      </w:r>
      <w:r w:rsidR="00DC2887">
        <w:t xml:space="preserve"> </w:t>
      </w:r>
      <w:r w:rsidR="00494081">
        <w:fldChar w:fldCharType="begin"/>
      </w:r>
      <w:r w:rsidR="00494081">
        <w:instrText xml:space="preserve"> REF _Ref204186693 \n \h </w:instrText>
      </w:r>
      <w:r w:rsidR="00494081">
        <w:fldChar w:fldCharType="separate"/>
      </w:r>
      <w:r w:rsidR="002E5C6A">
        <w:t>5.1</w:t>
      </w:r>
      <w:r w:rsidR="00494081">
        <w:fldChar w:fldCharType="end"/>
      </w:r>
      <w:r w:rsidR="00494081">
        <w:t xml:space="preserve"> </w:t>
      </w:r>
      <w:r w:rsidR="00DC2887">
        <w:t xml:space="preserve">of </w:t>
      </w:r>
      <w:r w:rsidR="00DC2887">
        <w:fldChar w:fldCharType="begin"/>
      </w:r>
      <w:r w:rsidR="00DC2887">
        <w:instrText xml:space="preserve"> REF _Ref159420596 \r \h </w:instrText>
      </w:r>
      <w:r w:rsidR="00DC2887">
        <w:fldChar w:fldCharType="separate"/>
      </w:r>
      <w:r w:rsidR="002E5C6A">
        <w:t>Schedule 6</w:t>
      </w:r>
      <w:r w:rsidR="00DC2887">
        <w:fldChar w:fldCharType="end"/>
      </w:r>
      <w:r w:rsidR="00DC2887">
        <w:t>)</w:t>
      </w:r>
      <w:r w:rsidR="2C388DF0" w:rsidRPr="00F06646">
        <w:t>;</w:t>
      </w:r>
      <w:r w:rsidR="0093293D">
        <w:t xml:space="preserve"> [</w:t>
      </w:r>
      <w:r w:rsidR="0093293D" w:rsidRPr="004D3942">
        <w:rPr>
          <w:b/>
          <w:bCs/>
          <w:i/>
          <w:iCs/>
          <w:highlight w:val="lightGray"/>
        </w:rPr>
        <w:t xml:space="preserve">Note: </w:t>
      </w:r>
      <w:r w:rsidR="0093293D">
        <w:rPr>
          <w:b/>
          <w:bCs/>
          <w:i/>
          <w:iCs/>
          <w:highlight w:val="lightGray"/>
        </w:rPr>
        <w:t xml:space="preserve">words in square brackets to be included </w:t>
      </w:r>
      <w:r w:rsidR="0093293D" w:rsidRPr="004D3942">
        <w:rPr>
          <w:b/>
          <w:bCs/>
          <w:i/>
          <w:iCs/>
          <w:highlight w:val="lightGray"/>
        </w:rPr>
        <w:t xml:space="preserve">for all Hybrid </w:t>
      </w:r>
      <w:r w:rsidR="00DC2887">
        <w:rPr>
          <w:b/>
          <w:bCs/>
          <w:i/>
          <w:iCs/>
          <w:highlight w:val="lightGray"/>
        </w:rPr>
        <w:t xml:space="preserve">Projects and Staged </w:t>
      </w:r>
      <w:r w:rsidR="0093293D" w:rsidRPr="004D3942">
        <w:rPr>
          <w:b/>
          <w:bCs/>
          <w:i/>
          <w:iCs/>
          <w:highlight w:val="lightGray"/>
        </w:rPr>
        <w:t>Projects</w:t>
      </w:r>
      <w:r w:rsidR="00DC2887">
        <w:rPr>
          <w:b/>
          <w:bCs/>
          <w:i/>
          <w:iCs/>
          <w:highlight w:val="lightGray"/>
        </w:rPr>
        <w:t xml:space="preserve"> (as applicable)</w:t>
      </w:r>
      <w:r w:rsidR="0093293D" w:rsidRPr="004D3942">
        <w:rPr>
          <w:b/>
          <w:bCs/>
          <w:i/>
          <w:iCs/>
          <w:highlight w:val="lightGray"/>
        </w:rPr>
        <w:t>.</w:t>
      </w:r>
      <w:r w:rsidR="0093293D">
        <w:t>]</w:t>
      </w:r>
      <w:r w:rsidR="2C388DF0" w:rsidRPr="00F06646">
        <w:t xml:space="preserve"> </w:t>
      </w:r>
    </w:p>
    <w:p w14:paraId="4B04B3CD" w14:textId="78C482AA" w:rsidR="00D879EA" w:rsidRPr="00F06646" w:rsidRDefault="2C388DF0" w:rsidP="0058045D">
      <w:pPr>
        <w:pStyle w:val="Heading4"/>
      </w:pPr>
      <w:r w:rsidRPr="00F06646">
        <w:t xml:space="preserve">any matter </w:t>
      </w:r>
      <w:r w:rsidR="00433C0F">
        <w:t>that</w:t>
      </w:r>
      <w:r w:rsidR="00433C0F" w:rsidRPr="00F06646">
        <w:t xml:space="preserve"> </w:t>
      </w:r>
      <w:r w:rsidRPr="00F06646">
        <w:t xml:space="preserve">constitutes a material breach, or </w:t>
      </w:r>
      <w:r w:rsidR="00433C0F">
        <w:t xml:space="preserve">that </w:t>
      </w:r>
      <w:r w:rsidRPr="00F06646">
        <w:t>could constitute a material breach, of Project Operator’s obligations under this agreement; and</w:t>
      </w:r>
    </w:p>
    <w:p w14:paraId="0E729BCA" w14:textId="7ABA8AA9" w:rsidR="00D879EA" w:rsidRPr="00F06646" w:rsidRDefault="2C388DF0" w:rsidP="0058045D">
      <w:pPr>
        <w:pStyle w:val="Heading4"/>
      </w:pPr>
      <w:bookmarkStart w:id="2869" w:name="_Ref100060976"/>
      <w:r w:rsidRPr="00F06646">
        <w:t>any other matter reasonably requested in writing by the Commonwealth, which may include information that is</w:t>
      </w:r>
      <w:bookmarkEnd w:id="2869"/>
      <w:r w:rsidRPr="00F06646">
        <w:t xml:space="preserve"> reasonably necessary for the Commonwealth to discharge its rights and obligations under this agreement</w:t>
      </w:r>
      <w:r w:rsidR="00AD743A">
        <w:t xml:space="preserve"> or its governmental obligations</w:t>
      </w:r>
      <w:r w:rsidRPr="00F06646">
        <w:t>.</w:t>
      </w:r>
    </w:p>
    <w:p w14:paraId="5DCF3F77" w14:textId="43E28480" w:rsidR="00D879EA" w:rsidRPr="00F06646" w:rsidRDefault="2C388DF0" w:rsidP="0058045D">
      <w:pPr>
        <w:pStyle w:val="Heading3"/>
      </w:pPr>
      <w:bookmarkStart w:id="2870" w:name="_Ref170301751"/>
      <w:r w:rsidRPr="00F06646">
        <w:t xml:space="preserve">A quarterly report provided by Project Operator under paragraph </w:t>
      </w:r>
      <w:r w:rsidR="00D879EA" w:rsidRPr="00F06646">
        <w:fldChar w:fldCharType="begin"/>
      </w:r>
      <w:r w:rsidR="00D879EA" w:rsidRPr="00F06646">
        <w:instrText xml:space="preserve"> REF _Ref163828739 \n \h </w:instrText>
      </w:r>
      <w:r w:rsidR="00F06646">
        <w:instrText xml:space="preserve"> \* MERGEFORMAT </w:instrText>
      </w:r>
      <w:r w:rsidR="00D879EA" w:rsidRPr="00F06646">
        <w:fldChar w:fldCharType="separate"/>
      </w:r>
      <w:r w:rsidR="002E5C6A">
        <w:t>(a)</w:t>
      </w:r>
      <w:r w:rsidR="00D879EA" w:rsidRPr="00F06646">
        <w:fldChar w:fldCharType="end"/>
      </w:r>
      <w:r w:rsidRPr="00F06646">
        <w:t xml:space="preserve"> must be:</w:t>
      </w:r>
      <w:bookmarkEnd w:id="2870"/>
    </w:p>
    <w:p w14:paraId="72C2A313" w14:textId="77777777" w:rsidR="00D879EA" w:rsidRPr="00F06646" w:rsidRDefault="2C388DF0" w:rsidP="0058045D">
      <w:pPr>
        <w:pStyle w:val="Heading4"/>
        <w:rPr>
          <w:szCs w:val="18"/>
        </w:rPr>
      </w:pPr>
      <w:r w:rsidRPr="00F06646">
        <w:t xml:space="preserve">in a reporting format specified by the Commonwealth (acting reasonably) from time to time; and </w:t>
      </w:r>
    </w:p>
    <w:p w14:paraId="2FF710DB" w14:textId="77777777" w:rsidR="00D879EA" w:rsidRPr="00F06646" w:rsidRDefault="2C388DF0" w:rsidP="0058045D">
      <w:pPr>
        <w:pStyle w:val="Heading4"/>
        <w:rPr>
          <w:szCs w:val="18"/>
        </w:rPr>
      </w:pPr>
      <w:r w:rsidRPr="00F06646">
        <w:t xml:space="preserve">certified by a director of Project Operator to be true and correct. </w:t>
      </w:r>
    </w:p>
    <w:p w14:paraId="344E6C43" w14:textId="77777777" w:rsidR="00D879EA" w:rsidRPr="00F06646" w:rsidRDefault="2C388DF0" w:rsidP="0058045D">
      <w:pPr>
        <w:pStyle w:val="Heading3"/>
        <w:rPr>
          <w:szCs w:val="18"/>
        </w:rPr>
      </w:pPr>
      <w:r w:rsidRPr="00F06646">
        <w:t xml:space="preserve">Project Operator must notify the Commonwealth: </w:t>
      </w:r>
    </w:p>
    <w:p w14:paraId="3F9C23DA" w14:textId="1C84949C" w:rsidR="00D879EA" w:rsidRPr="00F06646" w:rsidRDefault="2C388DF0" w:rsidP="0058045D">
      <w:pPr>
        <w:pStyle w:val="Heading4"/>
        <w:rPr>
          <w:szCs w:val="18"/>
        </w:rPr>
      </w:pPr>
      <w:r w:rsidRPr="00F06646">
        <w:t xml:space="preserve">within </w:t>
      </w:r>
      <w:r w:rsidR="00DC2887">
        <w:t>one (</w:t>
      </w:r>
      <w:r w:rsidRPr="00F06646">
        <w:t>1</w:t>
      </w:r>
      <w:r w:rsidR="00DC2887">
        <w:t>)</w:t>
      </w:r>
      <w:r w:rsidRPr="00F06646">
        <w:t xml:space="preserve"> day (if possible) and, in any case within no longer than </w:t>
      </w:r>
      <w:r w:rsidR="00DC2887">
        <w:t>one (</w:t>
      </w:r>
      <w:r w:rsidRPr="00F06646">
        <w:t>1</w:t>
      </w:r>
      <w:r w:rsidR="00DC2887">
        <w:t>)</w:t>
      </w:r>
      <w:r w:rsidR="00433C0F">
        <w:t> </w:t>
      </w:r>
      <w:r w:rsidRPr="00F06646">
        <w:t>Business Day, of Project Operator becoming aware of the occurrence of a death or serious injury related to the Project</w:t>
      </w:r>
      <w:r w:rsidR="00D069CD">
        <w:t xml:space="preserve"> </w:t>
      </w:r>
      <w:r w:rsidR="0093293D">
        <w:t xml:space="preserve">[or the </w:t>
      </w:r>
      <w:r w:rsidR="00121D01">
        <w:t>[</w:t>
      </w:r>
      <w:r w:rsidR="0093293D">
        <w:t>Associated</w:t>
      </w:r>
      <w:r w:rsidR="00DC2887">
        <w:t>/Existing</w:t>
      </w:r>
      <w:r w:rsidR="00121D01">
        <w:t>]</w:t>
      </w:r>
      <w:r w:rsidR="0093293D">
        <w:t xml:space="preserve"> Project]</w:t>
      </w:r>
      <w:r w:rsidRPr="00F06646">
        <w:t>;</w:t>
      </w:r>
      <w:r w:rsidR="0093293D">
        <w:t xml:space="preserve"> [</w:t>
      </w:r>
      <w:r w:rsidR="0093293D" w:rsidRPr="004D3942">
        <w:rPr>
          <w:b/>
          <w:bCs/>
          <w:i/>
          <w:iCs/>
          <w:highlight w:val="lightGray"/>
        </w:rPr>
        <w:t xml:space="preserve">Note: </w:t>
      </w:r>
      <w:r w:rsidR="0093293D">
        <w:rPr>
          <w:b/>
          <w:bCs/>
          <w:i/>
          <w:iCs/>
          <w:highlight w:val="lightGray"/>
        </w:rPr>
        <w:t xml:space="preserve">words in square brackets to be included </w:t>
      </w:r>
      <w:r w:rsidR="0093293D" w:rsidRPr="004D3942">
        <w:rPr>
          <w:b/>
          <w:bCs/>
          <w:i/>
          <w:iCs/>
          <w:highlight w:val="lightGray"/>
        </w:rPr>
        <w:t>for all Hybrid Projects</w:t>
      </w:r>
      <w:r w:rsidR="00DC2887">
        <w:rPr>
          <w:b/>
          <w:bCs/>
          <w:i/>
          <w:iCs/>
          <w:highlight w:val="lightGray"/>
        </w:rPr>
        <w:t xml:space="preserve"> and Staged Projects (as applicable)</w:t>
      </w:r>
      <w:r w:rsidR="0093293D" w:rsidRPr="004D3942">
        <w:rPr>
          <w:b/>
          <w:bCs/>
          <w:i/>
          <w:iCs/>
          <w:highlight w:val="lightGray"/>
        </w:rPr>
        <w:t>.</w:t>
      </w:r>
      <w:r w:rsidR="0093293D">
        <w:t>]</w:t>
      </w:r>
      <w:r w:rsidRPr="00F06646">
        <w:t xml:space="preserve"> </w:t>
      </w:r>
    </w:p>
    <w:p w14:paraId="6418300B" w14:textId="2108D28A" w:rsidR="00D879EA" w:rsidRPr="00F06646" w:rsidRDefault="2C388DF0" w:rsidP="0058045D">
      <w:pPr>
        <w:pStyle w:val="Heading4"/>
        <w:rPr>
          <w:szCs w:val="18"/>
        </w:rPr>
      </w:pPr>
      <w:r w:rsidRPr="00F06646">
        <w:t xml:space="preserve">within </w:t>
      </w:r>
      <w:r w:rsidR="00DC2887">
        <w:t>two (</w:t>
      </w:r>
      <w:r w:rsidRPr="00F06646">
        <w:t>2</w:t>
      </w:r>
      <w:r w:rsidR="00DC2887">
        <w:t>)</w:t>
      </w:r>
      <w:r w:rsidRPr="00F06646">
        <w:t xml:space="preserve"> Business Days, of Project Operator becoming aware of any breach of Project Operator’s material obligations under this agreement; and</w:t>
      </w:r>
    </w:p>
    <w:p w14:paraId="0EF80BA3" w14:textId="441F8398" w:rsidR="00BC48CB" w:rsidRPr="00F06646" w:rsidRDefault="2C388DF0" w:rsidP="0058045D">
      <w:pPr>
        <w:pStyle w:val="Heading4"/>
        <w:rPr>
          <w:szCs w:val="18"/>
        </w:rPr>
      </w:pPr>
      <w:r w:rsidRPr="00F06646">
        <w:t xml:space="preserve">within </w:t>
      </w:r>
      <w:r w:rsidR="00DC2887">
        <w:t>two (</w:t>
      </w:r>
      <w:r w:rsidRPr="00F06646">
        <w:t>2</w:t>
      </w:r>
      <w:r w:rsidR="00DC2887">
        <w:t>)</w:t>
      </w:r>
      <w:r w:rsidRPr="00F06646">
        <w:t xml:space="preserve"> Business Days, of Project Operator becoming aware of the occurrence of: </w:t>
      </w:r>
    </w:p>
    <w:p w14:paraId="5CE3266F" w14:textId="77777777" w:rsidR="00BC48CB" w:rsidRPr="00F06646" w:rsidRDefault="2C388DF0" w:rsidP="0058045D">
      <w:pPr>
        <w:pStyle w:val="Heading5"/>
      </w:pPr>
      <w:r w:rsidRPr="00F06646">
        <w:t xml:space="preserve">a dangerous incident (or any other incident notified or notifiable to an Authority under any applicable WHS Law); or </w:t>
      </w:r>
    </w:p>
    <w:p w14:paraId="11464F56" w14:textId="5B3B8922" w:rsidR="00D879EA" w:rsidRPr="00F06646" w:rsidRDefault="2C388DF0" w:rsidP="0058045D">
      <w:pPr>
        <w:pStyle w:val="Heading5"/>
      </w:pPr>
      <w:r w:rsidRPr="00F06646">
        <w:t xml:space="preserve">a complaint made or incident reported to Project Operator or an Authority in relation to contamination, environmental harm or breach of any applicable environmental Law. </w:t>
      </w:r>
    </w:p>
    <w:p w14:paraId="515E5601" w14:textId="77777777" w:rsidR="00414071" w:rsidRPr="00F06646" w:rsidRDefault="49D70CC2" w:rsidP="0058045D">
      <w:pPr>
        <w:pStyle w:val="Heading2"/>
      </w:pPr>
      <w:bookmarkStart w:id="2871" w:name="_Toc166244860"/>
      <w:bookmarkStart w:id="2872" w:name="_Toc166256478"/>
      <w:bookmarkStart w:id="2873" w:name="_Toc207309612"/>
      <w:bookmarkEnd w:id="2871"/>
      <w:bookmarkEnd w:id="2872"/>
      <w:r w:rsidRPr="00F06646">
        <w:t>Operating reports</w:t>
      </w:r>
      <w:bookmarkEnd w:id="2873"/>
    </w:p>
    <w:p w14:paraId="2B16544F" w14:textId="1C0D4C79" w:rsidR="00474B1D" w:rsidRPr="00AD4C09" w:rsidRDefault="00AD743A" w:rsidP="00A82B79">
      <w:pPr>
        <w:pStyle w:val="Heading3"/>
        <w:keepNext/>
      </w:pPr>
      <w:r>
        <w:t>Following</w:t>
      </w:r>
      <w:r w:rsidR="2C388DF0" w:rsidRPr="00F06646">
        <w:t xml:space="preserve"> the Commercial </w:t>
      </w:r>
      <w:r w:rsidR="2C388DF0" w:rsidRPr="00847C21">
        <w:t xml:space="preserve">Operations Date, within 20 Business Days after the end of each </w:t>
      </w:r>
      <w:r w:rsidR="0003581D" w:rsidRPr="00847C21">
        <w:t>Operations</w:t>
      </w:r>
      <w:r w:rsidR="00B1149F" w:rsidRPr="00847C21">
        <w:t xml:space="preserve"> </w:t>
      </w:r>
      <w:r w:rsidR="2C388DF0" w:rsidRPr="00847C21">
        <w:t>Year</w:t>
      </w:r>
      <w:r w:rsidRPr="00847C21">
        <w:t xml:space="preserve"> </w:t>
      </w:r>
      <w:r w:rsidRPr="008F660B">
        <w:t>(including the Operations Year in which the Commercial Operations Date occurs)</w:t>
      </w:r>
      <w:r w:rsidRPr="00847C21">
        <w:t>,</w:t>
      </w:r>
      <w:r w:rsidR="2C388DF0" w:rsidRPr="00847C21">
        <w:t xml:space="preserve"> Project Operator must provide to the Commonwealth a report, in the form prescribed by the Commonwealth, setting out:</w:t>
      </w:r>
      <w:r w:rsidR="00A62FFF">
        <w:t xml:space="preserve"> </w:t>
      </w:r>
    </w:p>
    <w:p w14:paraId="12AD1C6A" w14:textId="453B7C99" w:rsidR="00880043" w:rsidRPr="00CC117A" w:rsidRDefault="2BC382E4" w:rsidP="0058045D">
      <w:pPr>
        <w:pStyle w:val="Heading4"/>
        <w:rPr>
          <w:szCs w:val="18"/>
        </w:rPr>
      </w:pPr>
      <w:r w:rsidRPr="00792B2E">
        <w:t xml:space="preserve">the number of Green Products and </w:t>
      </w:r>
      <w:r w:rsidR="00C74E7A">
        <w:t>Peak</w:t>
      </w:r>
      <w:r w:rsidR="00C74E7A" w:rsidRPr="00792B2E">
        <w:t xml:space="preserve"> </w:t>
      </w:r>
      <w:r w:rsidRPr="00792B2E">
        <w:t xml:space="preserve">Capacity </w:t>
      </w:r>
      <w:r w:rsidR="00F25727">
        <w:t xml:space="preserve">Credits </w:t>
      </w:r>
      <w:r w:rsidRPr="00792B2E">
        <w:t xml:space="preserve">(if any) </w:t>
      </w:r>
      <w:r w:rsidR="00433C0F">
        <w:t>that</w:t>
      </w:r>
      <w:r w:rsidR="00433C0F" w:rsidRPr="00792B2E">
        <w:t xml:space="preserve"> </w:t>
      </w:r>
      <w:r w:rsidRPr="00792B2E">
        <w:t>were created</w:t>
      </w:r>
      <w:r w:rsidR="00811111">
        <w:t xml:space="preserve"> in respect of</w:t>
      </w:r>
      <w:r w:rsidRPr="00792B2E">
        <w:t xml:space="preserve">, or </w:t>
      </w:r>
      <w:r w:rsidR="00433C0F">
        <w:t xml:space="preserve">were </w:t>
      </w:r>
      <w:r w:rsidRPr="00792B2E">
        <w:t>referable to</w:t>
      </w:r>
      <w:r w:rsidR="00811111">
        <w:t>,</w:t>
      </w:r>
      <w:r w:rsidRPr="00792B2E">
        <w:t xml:space="preserve"> capacity available from the Project</w:t>
      </w:r>
      <w:r w:rsidR="009A40B6">
        <w:t xml:space="preserve"> [and</w:t>
      </w:r>
      <w:r w:rsidR="003D69F7">
        <w:t>/or the</w:t>
      </w:r>
      <w:r w:rsidR="009A40B6">
        <w:t xml:space="preserve"> [Associated/Existing] Project],</w:t>
      </w:r>
      <w:r w:rsidRPr="00792B2E">
        <w:t xml:space="preserve"> during that </w:t>
      </w:r>
      <w:r w:rsidR="00D93B2C">
        <w:t>Support</w:t>
      </w:r>
      <w:r w:rsidR="00D93B2C" w:rsidRPr="00792B2E">
        <w:t xml:space="preserve"> </w:t>
      </w:r>
      <w:r w:rsidRPr="00792B2E">
        <w:t>Year</w:t>
      </w:r>
      <w:r w:rsidR="00880043">
        <w:t>;</w:t>
      </w:r>
      <w:r w:rsidR="009A40B6" w:rsidRPr="009A40B6">
        <w:t xml:space="preserve"> </w:t>
      </w:r>
      <w:r w:rsidR="009A40B6">
        <w:t>[</w:t>
      </w:r>
      <w:r w:rsidR="009A40B6">
        <w:rPr>
          <w:b/>
          <w:i/>
          <w:highlight w:val="lightGray"/>
        </w:rPr>
        <w:t>Note: words in square brackets to be included for all Hybrid Projects and Staged Projects (as applicable).</w:t>
      </w:r>
      <w:r w:rsidR="009A40B6">
        <w:t>]</w:t>
      </w:r>
    </w:p>
    <w:p w14:paraId="0DF6D218" w14:textId="7D887556" w:rsidR="00BA1485" w:rsidRDefault="00BA1485" w:rsidP="00880043">
      <w:pPr>
        <w:pStyle w:val="Heading4"/>
      </w:pPr>
      <w:r>
        <w:t>the loss factors that applied to the Project [and the [Associated/Existing] Project] for that Operations Year; [</w:t>
      </w:r>
      <w:r w:rsidRPr="008F660B">
        <w:rPr>
          <w:b/>
          <w:bCs/>
          <w:i/>
          <w:iCs/>
          <w:highlight w:val="lightGray"/>
        </w:rPr>
        <w:t>Note: words in square brackets to be included for all Hybrid Projects and Staged Projects (as applicable).</w:t>
      </w:r>
      <w:r w:rsidRPr="008F660B">
        <w:rPr>
          <w:highlight w:val="lightGray"/>
        </w:rPr>
        <w:t>]</w:t>
      </w:r>
    </w:p>
    <w:p w14:paraId="10017E6F" w14:textId="50E6ADDF" w:rsidR="00880043" w:rsidRDefault="00880043" w:rsidP="00880043">
      <w:pPr>
        <w:pStyle w:val="Heading4"/>
      </w:pPr>
      <w:r>
        <w:t>a summary of all Deemed Availability Periods that occurred during that Operati</w:t>
      </w:r>
      <w:r w:rsidR="00D93B2C">
        <w:t>ons</w:t>
      </w:r>
      <w:r>
        <w:t xml:space="preserve"> Year; </w:t>
      </w:r>
    </w:p>
    <w:p w14:paraId="245C3102" w14:textId="77777777" w:rsidR="00880043" w:rsidRDefault="00880043" w:rsidP="00880043">
      <w:pPr>
        <w:pStyle w:val="Heading4"/>
      </w:pPr>
      <w:r>
        <w:t xml:space="preserve">the Equivalent Availability Factor for the Project for that </w:t>
      </w:r>
      <w:r w:rsidR="00D93B2C">
        <w:t xml:space="preserve">Operations </w:t>
      </w:r>
      <w:r>
        <w:t xml:space="preserve">Year; </w:t>
      </w:r>
    </w:p>
    <w:p w14:paraId="7FD0D48B" w14:textId="28553BC6" w:rsidR="00880043" w:rsidRDefault="00880043" w:rsidP="00880043">
      <w:pPr>
        <w:pStyle w:val="Heading4"/>
      </w:pPr>
      <w:r>
        <w:t xml:space="preserve">a summary of the timing and duration of any planned </w:t>
      </w:r>
      <w:r w:rsidR="00433C0F">
        <w:t>and</w:t>
      </w:r>
      <w:r>
        <w:t xml:space="preserve"> unplanned maintenance or outages</w:t>
      </w:r>
      <w:r w:rsidR="007E1107">
        <w:t>,</w:t>
      </w:r>
      <w:r>
        <w:t xml:space="preserve"> and any instances of reduced export, import or storage capacity</w:t>
      </w:r>
      <w:r w:rsidR="007E1107">
        <w:t>,</w:t>
      </w:r>
      <w:r>
        <w:t xml:space="preserve"> of the </w:t>
      </w:r>
      <w:r w:rsidR="00D93B2C">
        <w:t xml:space="preserve">Project </w:t>
      </w:r>
      <w:r>
        <w:t xml:space="preserve">(including because of Input Resource availability and maintenance of the </w:t>
      </w:r>
      <w:r w:rsidR="00D93B2C">
        <w:t>Project</w:t>
      </w:r>
      <w:r>
        <w:t xml:space="preserve">) during that </w:t>
      </w:r>
      <w:r w:rsidR="00D93B2C">
        <w:t>Operations</w:t>
      </w:r>
      <w:r>
        <w:t xml:space="preserve"> Year together with reasonable supporting details of those matters; </w:t>
      </w:r>
    </w:p>
    <w:p w14:paraId="79D82D40" w14:textId="77777777" w:rsidR="003D69F7" w:rsidRPr="002C451F" w:rsidRDefault="00880043" w:rsidP="00880043">
      <w:pPr>
        <w:pStyle w:val="Heading4"/>
        <w:rPr>
          <w:szCs w:val="18"/>
        </w:rPr>
      </w:pPr>
      <w:r>
        <w:t>for each unplanned maintenance event and/or outage</w:t>
      </w:r>
      <w:r w:rsidR="007E1107">
        <w:t>,</w:t>
      </w:r>
      <w:r>
        <w:t xml:space="preserve"> and instance of reduced export, import or storage capacity</w:t>
      </w:r>
      <w:r w:rsidR="007E1107">
        <w:t>,</w:t>
      </w:r>
      <w:r>
        <w:t xml:space="preserve"> of the </w:t>
      </w:r>
      <w:r w:rsidR="00D93B2C">
        <w:t>Project</w:t>
      </w:r>
      <w:r>
        <w:t xml:space="preserve"> during that </w:t>
      </w:r>
      <w:r w:rsidR="00D93B2C">
        <w:t>Operations</w:t>
      </w:r>
      <w:r>
        <w:t xml:space="preserve"> Year, a summary of</w:t>
      </w:r>
      <w:r w:rsidR="003D69F7">
        <w:t>:</w:t>
      </w:r>
    </w:p>
    <w:p w14:paraId="47CDB5D0" w14:textId="100C31BD" w:rsidR="003D69F7" w:rsidRPr="002C451F" w:rsidRDefault="00880043" w:rsidP="003D69F7">
      <w:pPr>
        <w:pStyle w:val="Heading5"/>
        <w:rPr>
          <w:szCs w:val="18"/>
        </w:rPr>
      </w:pPr>
      <w:r>
        <w:t xml:space="preserve">the cause and actions </w:t>
      </w:r>
      <w:r w:rsidR="007E1107">
        <w:t>undertaken</w:t>
      </w:r>
      <w:r w:rsidR="003D69F7">
        <w:t>;</w:t>
      </w:r>
      <w:r w:rsidR="007E1107">
        <w:t xml:space="preserve"> </w:t>
      </w:r>
      <w:r>
        <w:t>or</w:t>
      </w:r>
    </w:p>
    <w:p w14:paraId="111CB979" w14:textId="3EDCD8FB" w:rsidR="003D69F7" w:rsidRPr="002C451F" w:rsidRDefault="00880043" w:rsidP="003D69F7">
      <w:pPr>
        <w:pStyle w:val="Heading5"/>
        <w:rPr>
          <w:szCs w:val="18"/>
        </w:rPr>
      </w:pPr>
      <w:r>
        <w:t>proposed actions to be undertaken</w:t>
      </w:r>
      <w:r w:rsidR="007E1107">
        <w:t>,</w:t>
      </w:r>
    </w:p>
    <w:p w14:paraId="0976C8E4" w14:textId="397CED4D" w:rsidR="0002129A" w:rsidRPr="0002129A" w:rsidRDefault="00880043" w:rsidP="008F660B">
      <w:pPr>
        <w:pStyle w:val="Heading4"/>
        <w:numPr>
          <w:ilvl w:val="0"/>
          <w:numId w:val="0"/>
        </w:numPr>
        <w:ind w:left="2211"/>
        <w:rPr>
          <w:szCs w:val="18"/>
        </w:rPr>
      </w:pPr>
      <w:r>
        <w:t xml:space="preserve">by or on behalf of </w:t>
      </w:r>
      <w:r w:rsidR="00D93B2C">
        <w:t>Project</w:t>
      </w:r>
      <w:r>
        <w:t xml:space="preserve"> Operator to remedy and to prevent such unplanned maintenance events and/or outages together with reasonable supporting details of the cause, actions and proposed actions</w:t>
      </w:r>
      <w:r w:rsidR="0002129A">
        <w:t xml:space="preserve">; </w:t>
      </w:r>
    </w:p>
    <w:p w14:paraId="2D0597FD" w14:textId="68E2E3FC" w:rsidR="0002129A" w:rsidRDefault="0002129A" w:rsidP="0002129A">
      <w:pPr>
        <w:pStyle w:val="Heading4"/>
      </w:pPr>
      <w:r>
        <w:t xml:space="preserve">the Availability Rebate Percentage for that </w:t>
      </w:r>
      <w:r w:rsidR="008414EA">
        <w:t>Operations</w:t>
      </w:r>
      <w:r>
        <w:t xml:space="preserve"> Year; and </w:t>
      </w:r>
    </w:p>
    <w:p w14:paraId="4AA4917D" w14:textId="63511835" w:rsidR="00474B1D" w:rsidRPr="00F06646" w:rsidRDefault="0002129A" w:rsidP="0002129A">
      <w:pPr>
        <w:pStyle w:val="Heading4"/>
        <w:rPr>
          <w:szCs w:val="18"/>
        </w:rPr>
      </w:pPr>
      <w:r>
        <w:t xml:space="preserve">the Availability Rebate (if any) payable in respect of that </w:t>
      </w:r>
      <w:r w:rsidR="008414EA">
        <w:t xml:space="preserve">Operations </w:t>
      </w:r>
      <w:r>
        <w:t>Year</w:t>
      </w:r>
      <w:r w:rsidR="2BC382E4" w:rsidRPr="00F06646">
        <w:t xml:space="preserve">. </w:t>
      </w:r>
    </w:p>
    <w:p w14:paraId="266E3450" w14:textId="77777777" w:rsidR="0030155E" w:rsidRDefault="007E0D0D" w:rsidP="0030155E">
      <w:pPr>
        <w:pStyle w:val="Heading3"/>
        <w:keepNext/>
      </w:pPr>
      <w:bookmarkStart w:id="2874" w:name="_Ref170301760"/>
      <w:bookmarkStart w:id="2875" w:name="_Hlk134782066"/>
      <w:r>
        <w:t xml:space="preserve">Project </w:t>
      </w:r>
      <w:r w:rsidR="0030155E">
        <w:t>Operator must provide to the Commonwealth a report, in the form prescribed by the Commonwealth, setting out the following for the relevant periods:</w:t>
      </w:r>
      <w:bookmarkEnd w:id="2874"/>
      <w:r w:rsidR="0030155E">
        <w:t xml:space="preserve"> </w:t>
      </w:r>
    </w:p>
    <w:p w14:paraId="6CD9BAF9" w14:textId="1B09B3FA" w:rsidR="0030155E" w:rsidRPr="00A51BDE" w:rsidRDefault="0030155E" w:rsidP="00467340">
      <w:pPr>
        <w:pStyle w:val="Heading4"/>
        <w:numPr>
          <w:ilvl w:val="3"/>
          <w:numId w:val="44"/>
        </w:numPr>
      </w:pPr>
      <w:r>
        <w:t xml:space="preserve">within </w:t>
      </w:r>
      <w:r w:rsidR="009A40B6">
        <w:t>twenty (</w:t>
      </w:r>
      <w:r>
        <w:t>20</w:t>
      </w:r>
      <w:r w:rsidR="009A40B6">
        <w:t>)</w:t>
      </w:r>
      <w:r>
        <w:t xml:space="preserve"> Business Days after </w:t>
      </w:r>
      <w:r w:rsidRPr="00A51BDE">
        <w:t>the end of each Operations Year, the results of the Storage Capacity</w:t>
      </w:r>
      <w:r w:rsidR="009A40B6">
        <w:t xml:space="preserve"> [and EP Storage Capacity]</w:t>
      </w:r>
      <w:r w:rsidRPr="00A51BDE">
        <w:t xml:space="preserve"> test</w:t>
      </w:r>
      <w:r w:rsidR="009A40B6">
        <w:t xml:space="preserve">[s] </w:t>
      </w:r>
      <w:r w:rsidRPr="00A51BDE">
        <w:t xml:space="preserve">identified in section </w:t>
      </w:r>
      <w:r w:rsidR="00532FFE">
        <w:fldChar w:fldCharType="begin"/>
      </w:r>
      <w:r w:rsidR="00532FFE">
        <w:instrText xml:space="preserve"> REF _Ref206529719 \n \h </w:instrText>
      </w:r>
      <w:r w:rsidR="00532FFE">
        <w:fldChar w:fldCharType="separate"/>
      </w:r>
      <w:r w:rsidR="002E5C6A">
        <w:t>5.4</w:t>
      </w:r>
      <w:r w:rsidR="00532FFE">
        <w:fldChar w:fldCharType="end"/>
      </w:r>
      <w:r w:rsidR="001325C6" w:rsidRPr="00A51BDE">
        <w:t xml:space="preserve"> </w:t>
      </w:r>
      <w:r w:rsidRPr="00A51BDE">
        <w:t xml:space="preserve">of </w:t>
      </w:r>
      <w:r w:rsidR="00BA1BD2" w:rsidRPr="00A51BDE">
        <w:rPr>
          <w:bCs/>
        </w:rPr>
        <w:fldChar w:fldCharType="begin"/>
      </w:r>
      <w:r w:rsidR="00BA1BD2" w:rsidRPr="00A51BDE">
        <w:rPr>
          <w:bCs/>
        </w:rPr>
        <w:instrText xml:space="preserve"> REF _Ref103257737 \w \h </w:instrText>
      </w:r>
      <w:r w:rsidR="00A51BDE">
        <w:rPr>
          <w:bCs/>
        </w:rPr>
        <w:instrText xml:space="preserve"> \* MERGEFORMAT </w:instrText>
      </w:r>
      <w:r w:rsidR="00BA1BD2" w:rsidRPr="00A51BDE">
        <w:rPr>
          <w:bCs/>
        </w:rPr>
      </w:r>
      <w:r w:rsidR="00BA1BD2" w:rsidRPr="00A51BDE">
        <w:rPr>
          <w:bCs/>
        </w:rPr>
        <w:fldChar w:fldCharType="separate"/>
      </w:r>
      <w:r w:rsidR="002E5C6A">
        <w:rPr>
          <w:bCs/>
        </w:rPr>
        <w:t>Schedule 1</w:t>
      </w:r>
      <w:r w:rsidR="00BA1BD2" w:rsidRPr="00A51BDE">
        <w:rPr>
          <w:bCs/>
        </w:rPr>
        <w:fldChar w:fldCharType="end"/>
      </w:r>
      <w:r w:rsidRPr="00A51BDE">
        <w:t xml:space="preserve"> for that Operations Year; </w:t>
      </w:r>
    </w:p>
    <w:p w14:paraId="77E6E175" w14:textId="6BDDCA0C" w:rsidR="0030155E" w:rsidRPr="00A51BDE" w:rsidRDefault="0030155E" w:rsidP="00467340">
      <w:pPr>
        <w:pStyle w:val="Heading4"/>
        <w:numPr>
          <w:ilvl w:val="3"/>
          <w:numId w:val="44"/>
        </w:numPr>
      </w:pPr>
      <w:r w:rsidRPr="00A51BDE">
        <w:t>within</w:t>
      </w:r>
      <w:r w:rsidR="009A40B6">
        <w:t xml:space="preserve"> twenty</w:t>
      </w:r>
      <w:r w:rsidRPr="00A51BDE">
        <w:t xml:space="preserve"> </w:t>
      </w:r>
      <w:r w:rsidR="009A40B6">
        <w:t>(</w:t>
      </w:r>
      <w:r w:rsidRPr="00A51BDE">
        <w:t>20</w:t>
      </w:r>
      <w:r w:rsidR="009A40B6">
        <w:t>)</w:t>
      </w:r>
      <w:r w:rsidRPr="00A51BDE">
        <w:t xml:space="preserve"> Business Days after the end of each Support Year: </w:t>
      </w:r>
    </w:p>
    <w:p w14:paraId="6F644135" w14:textId="0D52EE16" w:rsidR="0030155E" w:rsidRPr="00A51BDE" w:rsidRDefault="0030155E" w:rsidP="00467340">
      <w:pPr>
        <w:pStyle w:val="Heading5"/>
        <w:numPr>
          <w:ilvl w:val="4"/>
          <w:numId w:val="44"/>
        </w:numPr>
      </w:pPr>
      <w:r w:rsidRPr="00A51BDE">
        <w:t xml:space="preserve">the Storage Capacity Rebate Percentage </w:t>
      </w:r>
      <w:r w:rsidR="009A40B6">
        <w:t xml:space="preserve">[in respect of the Project] </w:t>
      </w:r>
      <w:r w:rsidRPr="00A51BDE">
        <w:t>for that Support Year; and</w:t>
      </w:r>
    </w:p>
    <w:p w14:paraId="74268A42" w14:textId="2FA7E364" w:rsidR="0030155E" w:rsidRPr="00A51BDE" w:rsidRDefault="0030155E" w:rsidP="00467340">
      <w:pPr>
        <w:pStyle w:val="Heading5"/>
        <w:numPr>
          <w:ilvl w:val="4"/>
          <w:numId w:val="44"/>
        </w:numPr>
      </w:pPr>
      <w:r w:rsidRPr="00A51BDE">
        <w:t xml:space="preserve">the Storage Capacity Rebate (if any) payable in respect of </w:t>
      </w:r>
      <w:r w:rsidR="009A40B6">
        <w:t xml:space="preserve">[the Project for] </w:t>
      </w:r>
      <w:r w:rsidRPr="00A51BDE">
        <w:t xml:space="preserve">that Support Year, </w:t>
      </w:r>
    </w:p>
    <w:p w14:paraId="51A6C20A" w14:textId="77777777" w:rsidR="00A82B79" w:rsidRDefault="0030155E" w:rsidP="00FE0D3D">
      <w:pPr>
        <w:pStyle w:val="Heading3"/>
        <w:numPr>
          <w:ilvl w:val="0"/>
          <w:numId w:val="0"/>
        </w:numPr>
        <w:ind w:left="1474" w:firstLine="737"/>
      </w:pPr>
      <w:r w:rsidRPr="00A51BDE">
        <w:t xml:space="preserve">(each an </w:t>
      </w:r>
      <w:r w:rsidR="007E1107">
        <w:t>“</w:t>
      </w:r>
      <w:r w:rsidRPr="008E4A1B">
        <w:rPr>
          <w:b/>
          <w:bCs/>
        </w:rPr>
        <w:t>Annual Storage Capacity Report</w:t>
      </w:r>
      <w:r w:rsidR="007E1107" w:rsidRPr="007E1107">
        <w:t>”</w:t>
      </w:r>
      <w:r w:rsidRPr="00A51BDE">
        <w:t>).</w:t>
      </w:r>
    </w:p>
    <w:p w14:paraId="7FAD3E23" w14:textId="3268F9F5" w:rsidR="009A40B6" w:rsidRDefault="009A40B6" w:rsidP="008F660B">
      <w:pPr>
        <w:pStyle w:val="Indent3"/>
      </w:pPr>
      <w:r>
        <w:t>[</w:t>
      </w:r>
      <w:r>
        <w:rPr>
          <w:b/>
          <w:bCs/>
          <w:i/>
          <w:iCs/>
          <w:highlight w:val="lightGray"/>
        </w:rPr>
        <w:t>Note: words in square brackets to be included for all Staged Projects.</w:t>
      </w:r>
      <w:r>
        <w:t xml:space="preserve">] </w:t>
      </w:r>
    </w:p>
    <w:p w14:paraId="0592F77F" w14:textId="643EC945" w:rsidR="0030155E" w:rsidRDefault="00FE0D3D" w:rsidP="00A82B79">
      <w:pPr>
        <w:ind w:left="1474"/>
        <w:rPr>
          <w:b/>
          <w:bCs/>
          <w:i/>
          <w:iCs/>
        </w:rPr>
      </w:pPr>
      <w:r w:rsidRPr="00A82B79">
        <w:rPr>
          <w:b/>
          <w:bCs/>
          <w:i/>
          <w:iCs/>
        </w:rPr>
        <w:t>[</w:t>
      </w:r>
      <w:r w:rsidRPr="00A82B79">
        <w:rPr>
          <w:b/>
          <w:bCs/>
          <w:i/>
          <w:iCs/>
          <w:highlight w:val="lightGray"/>
        </w:rPr>
        <w:t>Note: see agreement cover note regarding Non-Storage Projects.</w:t>
      </w:r>
      <w:r w:rsidRPr="00A82B79">
        <w:rPr>
          <w:b/>
          <w:bCs/>
          <w:i/>
          <w:iCs/>
        </w:rPr>
        <w:t>]</w:t>
      </w:r>
    </w:p>
    <w:p w14:paraId="025B21B2" w14:textId="77777777" w:rsidR="00E85859" w:rsidRDefault="00E85859" w:rsidP="00A82B79">
      <w:pPr>
        <w:ind w:left="1474"/>
        <w:rPr>
          <w:b/>
          <w:bCs/>
          <w:i/>
          <w:iCs/>
        </w:rPr>
      </w:pPr>
    </w:p>
    <w:p w14:paraId="39D853B1" w14:textId="77777777" w:rsidR="00E85859" w:rsidRPr="00F06646" w:rsidRDefault="00E85859" w:rsidP="00E85859">
      <w:pPr>
        <w:pStyle w:val="Heading3"/>
      </w:pPr>
      <w:r w:rsidRPr="00F06646">
        <w:t xml:space="preserve">Project Operator must notify the Commonwealth: </w:t>
      </w:r>
    </w:p>
    <w:p w14:paraId="3B0F79F4" w14:textId="2BBB4E43" w:rsidR="00E85859" w:rsidRPr="00F06646" w:rsidRDefault="00E85859" w:rsidP="00E85859">
      <w:pPr>
        <w:pStyle w:val="Heading4"/>
        <w:rPr>
          <w:szCs w:val="18"/>
        </w:rPr>
      </w:pPr>
      <w:r w:rsidRPr="00F06646">
        <w:t xml:space="preserve">within </w:t>
      </w:r>
      <w:r w:rsidR="00F40707">
        <w:t>one (</w:t>
      </w:r>
      <w:r w:rsidRPr="00F06646">
        <w:t>1</w:t>
      </w:r>
      <w:r w:rsidR="00F40707">
        <w:t>)</w:t>
      </w:r>
      <w:r w:rsidRPr="00F06646">
        <w:t xml:space="preserve"> day (if possible) and, in any case within no longer than </w:t>
      </w:r>
      <w:r>
        <w:t>one (</w:t>
      </w:r>
      <w:r w:rsidRPr="00F06646">
        <w:t>1</w:t>
      </w:r>
      <w:r>
        <w:t>)</w:t>
      </w:r>
      <w:r w:rsidRPr="00F06646">
        <w:t xml:space="preserve"> Business Day, of Project Operator becoming aware of the occurrence of a death or serious injury related to the Project</w:t>
      </w:r>
      <w:r w:rsidR="009A40B6">
        <w:t xml:space="preserve"> </w:t>
      </w:r>
      <w:r>
        <w:t>[or the [Associated/Existing] Project]</w:t>
      </w:r>
      <w:r w:rsidRPr="00F06646">
        <w:t>;</w:t>
      </w:r>
      <w:r>
        <w:t xml:space="preserve"> [</w:t>
      </w:r>
      <w:r w:rsidRPr="005B6A59">
        <w:rPr>
          <w:b/>
          <w:bCs/>
          <w:i/>
          <w:iCs/>
          <w:highlight w:val="lightGray"/>
        </w:rPr>
        <w:t>Note: words in square brackets to be included for all Hybrid Projects and Staged Projects (as applicable).</w:t>
      </w:r>
      <w:r>
        <w:t>]</w:t>
      </w:r>
      <w:r w:rsidRPr="00F06646">
        <w:t xml:space="preserve"> </w:t>
      </w:r>
    </w:p>
    <w:p w14:paraId="5BC65883" w14:textId="77777777" w:rsidR="00E85859" w:rsidRPr="00F06646" w:rsidRDefault="00E85859" w:rsidP="00E85859">
      <w:pPr>
        <w:pStyle w:val="Heading4"/>
        <w:rPr>
          <w:szCs w:val="18"/>
        </w:rPr>
      </w:pPr>
      <w:r w:rsidRPr="00F06646">
        <w:t xml:space="preserve">within </w:t>
      </w:r>
      <w:r>
        <w:t>two (</w:t>
      </w:r>
      <w:r w:rsidRPr="00F06646">
        <w:t>2</w:t>
      </w:r>
      <w:r>
        <w:t>)</w:t>
      </w:r>
      <w:r w:rsidRPr="00F06646">
        <w:t xml:space="preserve"> Business Days, of Project Operator becoming aware of any breach of Project Operator’s material obligations under this agreement; and</w:t>
      </w:r>
    </w:p>
    <w:p w14:paraId="633E6F62" w14:textId="77777777" w:rsidR="00E85859" w:rsidRPr="00F06646" w:rsidRDefault="00E85859" w:rsidP="00E85859">
      <w:pPr>
        <w:pStyle w:val="Heading4"/>
        <w:rPr>
          <w:szCs w:val="18"/>
        </w:rPr>
      </w:pPr>
      <w:r w:rsidRPr="00F06646">
        <w:t xml:space="preserve">within </w:t>
      </w:r>
      <w:r>
        <w:t>two (</w:t>
      </w:r>
      <w:r w:rsidRPr="00F06646">
        <w:t>2</w:t>
      </w:r>
      <w:r>
        <w:t>)</w:t>
      </w:r>
      <w:r w:rsidRPr="00F06646">
        <w:t xml:space="preserve"> Business Days, of Project Operator becoming aware of the occurrence of: </w:t>
      </w:r>
    </w:p>
    <w:p w14:paraId="6D43DB9D" w14:textId="46FBEFC5" w:rsidR="00E85859" w:rsidRPr="00F06646" w:rsidRDefault="00E85859" w:rsidP="00E85859">
      <w:pPr>
        <w:pStyle w:val="Heading5"/>
      </w:pPr>
      <w:r w:rsidRPr="00F06646">
        <w:t xml:space="preserve">a dangerous incident (or any other incident notified or notifiable to an Authority under any applicable </w:t>
      </w:r>
      <w:r w:rsidR="00EB4942">
        <w:t>work health and safety</w:t>
      </w:r>
      <w:r w:rsidR="009A40B6">
        <w:t xml:space="preserve"> </w:t>
      </w:r>
      <w:r w:rsidRPr="00F06646">
        <w:t xml:space="preserve">Law); or </w:t>
      </w:r>
    </w:p>
    <w:p w14:paraId="08BCC355" w14:textId="1B7EE62C" w:rsidR="00E85859" w:rsidRPr="00E85859" w:rsidRDefault="00E85859" w:rsidP="00D315FD">
      <w:pPr>
        <w:pStyle w:val="Heading5"/>
      </w:pPr>
      <w:r w:rsidRPr="00F06646">
        <w:t>a complaint made or incident reported to Project Operator or an Authority in relation to contamination, environmental harm or breach of any applicable environmental Law.</w:t>
      </w:r>
      <w:r>
        <w:t xml:space="preserve"> </w:t>
      </w:r>
    </w:p>
    <w:p w14:paraId="722D7DCE" w14:textId="77777777" w:rsidR="00FC08A4" w:rsidRPr="00F06646" w:rsidRDefault="49D70CC2" w:rsidP="0058045D">
      <w:pPr>
        <w:pStyle w:val="Heading2"/>
      </w:pPr>
      <w:bookmarkStart w:id="2876" w:name="_Toc166244862"/>
      <w:bookmarkStart w:id="2877" w:name="_Toc166256480"/>
      <w:bookmarkStart w:id="2878" w:name="_Ref151053999"/>
      <w:bookmarkStart w:id="2879" w:name="_Toc153945243"/>
      <w:bookmarkStart w:id="2880" w:name="_Ref163828785"/>
      <w:bookmarkStart w:id="2881" w:name="_Toc207309613"/>
      <w:bookmarkEnd w:id="2875"/>
      <w:bookmarkEnd w:id="2876"/>
      <w:bookmarkEnd w:id="2877"/>
      <w:r w:rsidRPr="00F06646">
        <w:t>Revenue report</w:t>
      </w:r>
      <w:bookmarkEnd w:id="2878"/>
      <w:bookmarkEnd w:id="2879"/>
      <w:r w:rsidRPr="00F06646">
        <w:t>ing</w:t>
      </w:r>
      <w:bookmarkEnd w:id="2880"/>
      <w:bookmarkEnd w:id="2881"/>
      <w:r w:rsidRPr="00F06646">
        <w:t xml:space="preserve"> </w:t>
      </w:r>
    </w:p>
    <w:p w14:paraId="56402A4A" w14:textId="5071A2B6" w:rsidR="005B0E85" w:rsidRPr="00F06646" w:rsidRDefault="00AD743A" w:rsidP="00A82B79">
      <w:pPr>
        <w:pStyle w:val="Heading3"/>
        <w:keepNext/>
      </w:pPr>
      <w:bookmarkStart w:id="2882" w:name="_Ref163569842"/>
      <w:r>
        <w:t>Following</w:t>
      </w:r>
      <w:r w:rsidR="2C388DF0" w:rsidRPr="00F06646">
        <w:t xml:space="preserve"> the Support Start Date, within 20 Business Days after the end of each </w:t>
      </w:r>
      <w:r w:rsidR="00B67D3D">
        <w:t>Q</w:t>
      </w:r>
      <w:r w:rsidR="2C388DF0" w:rsidRPr="00F06646">
        <w:t xml:space="preserve">uarter </w:t>
      </w:r>
      <w:r w:rsidR="000F38FD" w:rsidRPr="00F06646">
        <w:t xml:space="preserve">during the Support </w:t>
      </w:r>
      <w:r w:rsidR="009A40B6">
        <w:t xml:space="preserve">Receipt </w:t>
      </w:r>
      <w:r w:rsidR="000F38FD" w:rsidRPr="00F06646">
        <w:t>Period</w:t>
      </w:r>
      <w:r w:rsidR="2C388DF0" w:rsidRPr="00F06646">
        <w:t>, Project Operator must provide to the Commonwealth a report, in the form prescribed by the Commonwealth, setting out:</w:t>
      </w:r>
      <w:bookmarkEnd w:id="2882"/>
    </w:p>
    <w:p w14:paraId="76A34CCB" w14:textId="77777777" w:rsidR="005B0E85" w:rsidRPr="00F06646" w:rsidRDefault="2C388DF0" w:rsidP="0058045D">
      <w:pPr>
        <w:pStyle w:val="Heading4"/>
      </w:pPr>
      <w:r w:rsidRPr="00F06646">
        <w:t xml:space="preserve">the Net Operational Revenue for the </w:t>
      </w:r>
      <w:r w:rsidR="00A066A3">
        <w:t>Q</w:t>
      </w:r>
      <w:r w:rsidRPr="00F06646">
        <w:t xml:space="preserve">uarter; </w:t>
      </w:r>
    </w:p>
    <w:p w14:paraId="71C607DF" w14:textId="7F6612CF" w:rsidR="003C1383" w:rsidRPr="00F06646" w:rsidRDefault="2C388DF0" w:rsidP="0058045D">
      <w:pPr>
        <w:pStyle w:val="Heading4"/>
      </w:pPr>
      <w:r w:rsidRPr="00F06646">
        <w:t xml:space="preserve">if one or more Eligible </w:t>
      </w:r>
      <w:r w:rsidR="00E3405D">
        <w:t>Bilateral</w:t>
      </w:r>
      <w:r w:rsidR="00E3405D" w:rsidRPr="00F06646">
        <w:t xml:space="preserve"> </w:t>
      </w:r>
      <w:r w:rsidRPr="00F06646">
        <w:t xml:space="preserve">Contracts applied to any </w:t>
      </w:r>
      <w:r w:rsidR="009A40B6">
        <w:t>Trading</w:t>
      </w:r>
      <w:r w:rsidR="00BC2BE9">
        <w:t xml:space="preserve"> </w:t>
      </w:r>
      <w:r w:rsidRPr="00F06646">
        <w:t xml:space="preserve">Interval in the </w:t>
      </w:r>
      <w:r w:rsidR="00A066A3">
        <w:t>Q</w:t>
      </w:r>
      <w:r w:rsidRPr="00F06646">
        <w:t xml:space="preserve">uarter pursuant to clause </w:t>
      </w:r>
      <w:r w:rsidR="004F4D62" w:rsidRPr="00F06646">
        <w:fldChar w:fldCharType="begin"/>
      </w:r>
      <w:r w:rsidR="004F4D62" w:rsidRPr="00F06646">
        <w:instrText xml:space="preserve"> REF _Ref163567140 \w \h </w:instrText>
      </w:r>
      <w:r w:rsidR="00F06646">
        <w:instrText xml:space="preserve"> \* MERGEFORMAT </w:instrText>
      </w:r>
      <w:r w:rsidR="004F4D62" w:rsidRPr="00F06646">
        <w:fldChar w:fldCharType="separate"/>
      </w:r>
      <w:r w:rsidR="002E5C6A">
        <w:t>15.5</w:t>
      </w:r>
      <w:r w:rsidR="004F4D62" w:rsidRPr="00F06646">
        <w:fldChar w:fldCharType="end"/>
      </w:r>
      <w:r w:rsidRPr="00F06646">
        <w:t xml:space="preserve"> (“</w:t>
      </w:r>
      <w:r w:rsidR="004F4D62" w:rsidRPr="00F06646">
        <w:fldChar w:fldCharType="begin"/>
      </w:r>
      <w:r w:rsidR="004F4D62" w:rsidRPr="00F06646">
        <w:instrText xml:space="preserve">  REF _Ref163567140 \h </w:instrText>
      </w:r>
      <w:r w:rsidR="00F06646">
        <w:instrText xml:space="preserve"> \* MERGEFORMAT </w:instrText>
      </w:r>
      <w:r w:rsidR="004F4D62" w:rsidRPr="00F06646">
        <w:fldChar w:fldCharType="separate"/>
      </w:r>
      <w:r w:rsidR="002E5C6A" w:rsidRPr="005D705C">
        <w:t xml:space="preserve">Application of Eligible </w:t>
      </w:r>
      <w:r w:rsidR="002E5C6A">
        <w:t>Bilateral</w:t>
      </w:r>
      <w:r w:rsidR="002E5C6A" w:rsidRPr="005D705C">
        <w:t xml:space="preserve"> Contract</w:t>
      </w:r>
      <w:r w:rsidR="004F4D62" w:rsidRPr="00F06646">
        <w:fldChar w:fldCharType="end"/>
      </w:r>
      <w:r w:rsidRPr="00F06646">
        <w:t xml:space="preserve">”): </w:t>
      </w:r>
    </w:p>
    <w:p w14:paraId="5528E73A" w14:textId="77777777" w:rsidR="009218CC" w:rsidRPr="00F06646" w:rsidRDefault="2C388DF0" w:rsidP="0058045D">
      <w:pPr>
        <w:pStyle w:val="Heading5"/>
      </w:pPr>
      <w:r w:rsidRPr="00F06646">
        <w:t xml:space="preserve">reasonable details of the revenue that Project Operator was entitled to receive during that </w:t>
      </w:r>
      <w:r w:rsidR="00B67D3D">
        <w:t>Q</w:t>
      </w:r>
      <w:r w:rsidRPr="00F06646">
        <w:t xml:space="preserve">uarter under the Eligible </w:t>
      </w:r>
      <w:r w:rsidR="00E3405D">
        <w:t>Bilateral</w:t>
      </w:r>
      <w:r w:rsidR="00E3405D" w:rsidRPr="00F06646" w:rsidDel="00E3405D">
        <w:t xml:space="preserve"> </w:t>
      </w:r>
      <w:r w:rsidRPr="00F06646">
        <w:t xml:space="preserve">Contracts; </w:t>
      </w:r>
    </w:p>
    <w:p w14:paraId="1D3B8798" w14:textId="54D1C5F5" w:rsidR="002F099A" w:rsidRDefault="002F099A" w:rsidP="0058045D">
      <w:pPr>
        <w:pStyle w:val="Heading5"/>
      </w:pPr>
      <w:r>
        <w:t>the quantit</w:t>
      </w:r>
      <w:r w:rsidR="000D6B18">
        <w:t xml:space="preserve">ies </w:t>
      </w:r>
      <w:r>
        <w:t xml:space="preserve">of electricity imported and exported </w:t>
      </w:r>
      <w:r w:rsidR="000D6B18">
        <w:t xml:space="preserve">for that Quarter </w:t>
      </w:r>
      <w:r w:rsidR="009A40B6">
        <w:t>(in aggregate and on</w:t>
      </w:r>
      <w:r w:rsidR="00EB4942">
        <w:t xml:space="preserve"> a</w:t>
      </w:r>
      <w:r w:rsidR="009A40B6">
        <w:t xml:space="preserve"> Trading Interval basis) </w:t>
      </w:r>
      <w:r w:rsidR="000D6B18">
        <w:t xml:space="preserve">that </w:t>
      </w:r>
      <w:r w:rsidR="009A40B6">
        <w:t xml:space="preserve">was </w:t>
      </w:r>
      <w:r w:rsidR="000D6B18">
        <w:t>subject to the Eligible Bilateral Contracts;</w:t>
      </w:r>
      <w:r w:rsidR="00715F7C">
        <w:t xml:space="preserve"> </w:t>
      </w:r>
    </w:p>
    <w:p w14:paraId="20F56D72" w14:textId="77777777" w:rsidR="009A40B6" w:rsidRDefault="009A40B6" w:rsidP="008F660B">
      <w:pPr>
        <w:pStyle w:val="Heading5"/>
        <w:numPr>
          <w:ilvl w:val="4"/>
          <w:numId w:val="61"/>
        </w:numPr>
      </w:pPr>
      <w:r>
        <w:t>the quantity of Green Products for that Quarter that were subject to the Eligible Bilateral Contracts;</w:t>
      </w:r>
    </w:p>
    <w:p w14:paraId="0FCD9ECC" w14:textId="77777777" w:rsidR="0002598D" w:rsidRPr="00F06646" w:rsidRDefault="2C388DF0" w:rsidP="0058045D">
      <w:pPr>
        <w:pStyle w:val="Heading5"/>
      </w:pPr>
      <w:r w:rsidRPr="00F06646">
        <w:t>the quantity of</w:t>
      </w:r>
      <w:r w:rsidR="00C74E7A" w:rsidRPr="00C74E7A">
        <w:t xml:space="preserve"> </w:t>
      </w:r>
      <w:r w:rsidR="00C74E7A">
        <w:t>Peak</w:t>
      </w:r>
      <w:r w:rsidRPr="00F06646">
        <w:t xml:space="preserve"> </w:t>
      </w:r>
      <w:r w:rsidR="00E3405D">
        <w:t xml:space="preserve">Capacity Credits </w:t>
      </w:r>
      <w:r w:rsidRPr="00F06646">
        <w:t xml:space="preserve">for that </w:t>
      </w:r>
      <w:r w:rsidR="00B67D3D">
        <w:t>Q</w:t>
      </w:r>
      <w:r w:rsidRPr="00F06646">
        <w:t xml:space="preserve">uarter that </w:t>
      </w:r>
      <w:r w:rsidR="00E3405D">
        <w:t xml:space="preserve">were </w:t>
      </w:r>
      <w:r w:rsidRPr="00F06646">
        <w:t xml:space="preserve">subject to the Eligible </w:t>
      </w:r>
      <w:r w:rsidR="000D6B18">
        <w:t xml:space="preserve">Bilateral </w:t>
      </w:r>
      <w:r w:rsidRPr="00F06646">
        <w:t>Contracts; and</w:t>
      </w:r>
    </w:p>
    <w:p w14:paraId="4A39B88F" w14:textId="0EA43A1F" w:rsidR="009A40B6" w:rsidRDefault="2C388DF0" w:rsidP="009A40B6">
      <w:pPr>
        <w:pStyle w:val="Heading4"/>
      </w:pPr>
      <w:r w:rsidRPr="00F06646">
        <w:t xml:space="preserve">if there is </w:t>
      </w:r>
      <w:r w:rsidR="0036687D" w:rsidRPr="00792B2E">
        <w:t xml:space="preserve">a Permitted </w:t>
      </w:r>
      <w:r w:rsidR="002436C6">
        <w:t>Intermediary Contract</w:t>
      </w:r>
      <w:r w:rsidRPr="00792B2E">
        <w:t>, reasonable details of the</w:t>
      </w:r>
      <w:r w:rsidR="0036687D" w:rsidRPr="00792B2E">
        <w:t xml:space="preserve"> Permitted</w:t>
      </w:r>
      <w:r w:rsidRPr="00792B2E">
        <w:t xml:space="preserve"> Intermedia</w:t>
      </w:r>
      <w:r w:rsidR="002436C6">
        <w:t>ry</w:t>
      </w:r>
      <w:r w:rsidRPr="00792B2E">
        <w:t xml:space="preserve"> Revenue </w:t>
      </w:r>
      <w:r w:rsidRPr="00F06646">
        <w:t xml:space="preserve">for the </w:t>
      </w:r>
      <w:r w:rsidR="00B67D3D">
        <w:t>Q</w:t>
      </w:r>
      <w:r w:rsidRPr="00F06646">
        <w:t>uarter</w:t>
      </w:r>
      <w:r w:rsidR="00EB4942">
        <w:t>[</w:t>
      </w:r>
      <w:r w:rsidR="009A40B6">
        <w:t xml:space="preserve">; and </w:t>
      </w:r>
    </w:p>
    <w:p w14:paraId="438D4493" w14:textId="77777777" w:rsidR="009A40B6" w:rsidRDefault="009A40B6" w:rsidP="008F660B">
      <w:pPr>
        <w:pStyle w:val="Heading4"/>
        <w:keepNext/>
        <w:numPr>
          <w:ilvl w:val="3"/>
          <w:numId w:val="61"/>
        </w:numPr>
      </w:pPr>
      <w:bookmarkStart w:id="2883" w:name="_Ref194649112"/>
      <w:r>
        <w:t>details of:</w:t>
      </w:r>
      <w:bookmarkEnd w:id="2883"/>
    </w:p>
    <w:p w14:paraId="1D8CA2E1" w14:textId="77777777" w:rsidR="009A40B6" w:rsidRDefault="009A40B6" w:rsidP="008F660B">
      <w:pPr>
        <w:pStyle w:val="Heading5"/>
        <w:numPr>
          <w:ilvl w:val="4"/>
          <w:numId w:val="61"/>
        </w:numPr>
      </w:pPr>
      <w:r>
        <w:t>any apportionment of Apportioned Items between the Project and the [Associated/Existing] Project;</w:t>
      </w:r>
    </w:p>
    <w:p w14:paraId="375165A9" w14:textId="77777777" w:rsidR="009A40B6" w:rsidRDefault="009A40B6" w:rsidP="008F660B">
      <w:pPr>
        <w:pStyle w:val="Heading5"/>
        <w:numPr>
          <w:ilvl w:val="4"/>
          <w:numId w:val="61"/>
        </w:numPr>
      </w:pPr>
      <w:r>
        <w:t>the basis on which that apportionment has been made in accordance with the Apportionment Principles; and</w:t>
      </w:r>
    </w:p>
    <w:p w14:paraId="48B5C8A7" w14:textId="77777777" w:rsidR="009A40B6" w:rsidRDefault="009A40B6" w:rsidP="008F660B">
      <w:pPr>
        <w:pStyle w:val="Heading5"/>
        <w:numPr>
          <w:ilvl w:val="4"/>
          <w:numId w:val="61"/>
        </w:numPr>
      </w:pPr>
      <w:r>
        <w:t>any change to a previous apportionment of Apportioned Items and an explanation for the change,</w:t>
      </w:r>
    </w:p>
    <w:p w14:paraId="00DF9AB8" w14:textId="73067398" w:rsidR="009A40B6" w:rsidRDefault="009A40B6" w:rsidP="009A40B6">
      <w:pPr>
        <w:pStyle w:val="Indent4"/>
      </w:pPr>
      <w:r>
        <w:t>for the Quarter.] [</w:t>
      </w:r>
      <w:r>
        <w:rPr>
          <w:b/>
          <w:bCs/>
          <w:i/>
          <w:iCs/>
          <w:highlight w:val="lightGray"/>
        </w:rPr>
        <w:t xml:space="preserve">Note: paragraph </w:t>
      </w:r>
      <w:r>
        <w:rPr>
          <w:b/>
          <w:bCs/>
          <w:i/>
          <w:iCs/>
          <w:highlight w:val="lightGray"/>
        </w:rPr>
        <w:fldChar w:fldCharType="begin"/>
      </w:r>
      <w:r>
        <w:rPr>
          <w:b/>
          <w:bCs/>
          <w:i/>
          <w:iCs/>
          <w:highlight w:val="lightGray"/>
        </w:rPr>
        <w:instrText xml:space="preserve"> REF _Ref194649112 \n \h  \* MERGEFORMAT </w:instrText>
      </w:r>
      <w:r>
        <w:rPr>
          <w:b/>
          <w:bCs/>
          <w:i/>
          <w:iCs/>
          <w:highlight w:val="lightGray"/>
        </w:rPr>
      </w:r>
      <w:r>
        <w:rPr>
          <w:b/>
          <w:bCs/>
          <w:i/>
          <w:iCs/>
          <w:highlight w:val="lightGray"/>
        </w:rPr>
        <w:fldChar w:fldCharType="separate"/>
      </w:r>
      <w:r w:rsidR="002E5C6A">
        <w:rPr>
          <w:b/>
          <w:bCs/>
          <w:i/>
          <w:iCs/>
          <w:highlight w:val="lightGray"/>
        </w:rPr>
        <w:t>(iv)</w:t>
      </w:r>
      <w:r>
        <w:rPr>
          <w:b/>
          <w:bCs/>
          <w:i/>
          <w:iCs/>
          <w:highlight w:val="lightGray"/>
        </w:rPr>
        <w:fldChar w:fldCharType="end"/>
      </w:r>
      <w:r>
        <w:rPr>
          <w:b/>
          <w:bCs/>
          <w:i/>
          <w:iCs/>
          <w:highlight w:val="lightGray"/>
        </w:rPr>
        <w:t xml:space="preserve"> is to be included for all Hybrid Projects and Staged Projects (as applicable) and otherwise the word ‘and’ at the end of clause 12.3(a)(iii) is to be omitted.</w:t>
      </w:r>
      <w:r>
        <w:t>]</w:t>
      </w:r>
    </w:p>
    <w:p w14:paraId="01D98102" w14:textId="5F3E339B" w:rsidR="005B0E85" w:rsidRPr="00F06646" w:rsidRDefault="2C388DF0" w:rsidP="0058045D">
      <w:pPr>
        <w:pStyle w:val="Heading3"/>
      </w:pPr>
      <w:r w:rsidRPr="00F06646">
        <w:t xml:space="preserve">In respect of each </w:t>
      </w:r>
      <w:r w:rsidR="00A30A4F">
        <w:t>Q</w:t>
      </w:r>
      <w:r w:rsidRPr="00F06646">
        <w:t xml:space="preserve">uarter </w:t>
      </w:r>
      <w:r w:rsidR="007E1107">
        <w:t>that</w:t>
      </w:r>
      <w:r w:rsidR="007E1107" w:rsidRPr="00F06646">
        <w:t xml:space="preserve"> </w:t>
      </w:r>
      <w:r w:rsidRPr="00F06646">
        <w:t xml:space="preserve">is the final </w:t>
      </w:r>
      <w:r w:rsidR="00A30A4F">
        <w:t>Q</w:t>
      </w:r>
      <w:r w:rsidRPr="00F06646">
        <w:t xml:space="preserve">uarter in a </w:t>
      </w:r>
      <w:r w:rsidR="009A687B">
        <w:t>Support</w:t>
      </w:r>
      <w:r w:rsidR="009A687B" w:rsidRPr="00F06646" w:rsidDel="009A687B">
        <w:t xml:space="preserve"> </w:t>
      </w:r>
      <w:r w:rsidR="00761E4A" w:rsidRPr="00F06646">
        <w:t xml:space="preserve">Year during the Support </w:t>
      </w:r>
      <w:r w:rsidR="009A40B6">
        <w:t xml:space="preserve">Receipt </w:t>
      </w:r>
      <w:r w:rsidR="00761E4A" w:rsidRPr="00F06646">
        <w:t>Period</w:t>
      </w:r>
      <w:r w:rsidRPr="00F06646">
        <w:t xml:space="preserve">, in addition to the information described in paragraph </w:t>
      </w:r>
      <w:r w:rsidR="00B33800" w:rsidRPr="00F06646">
        <w:fldChar w:fldCharType="begin"/>
      </w:r>
      <w:r w:rsidR="00B33800" w:rsidRPr="00F06646">
        <w:instrText xml:space="preserve"> REF _Ref163569842 \n \h </w:instrText>
      </w:r>
      <w:r w:rsidR="00F06646">
        <w:instrText xml:space="preserve"> \* MERGEFORMAT </w:instrText>
      </w:r>
      <w:r w:rsidR="00B33800" w:rsidRPr="00F06646">
        <w:fldChar w:fldCharType="separate"/>
      </w:r>
      <w:r w:rsidR="002E5C6A">
        <w:t>(a)</w:t>
      </w:r>
      <w:r w:rsidR="00B33800" w:rsidRPr="00F06646">
        <w:fldChar w:fldCharType="end"/>
      </w:r>
      <w:r w:rsidRPr="00F06646">
        <w:t>, Project Operator’s report under paragraph</w:t>
      </w:r>
      <w:r w:rsidR="003A24AE">
        <w:t> </w:t>
      </w:r>
      <w:r w:rsidR="00B33800" w:rsidRPr="00F06646">
        <w:fldChar w:fldCharType="begin"/>
      </w:r>
      <w:r w:rsidR="00B33800" w:rsidRPr="00F06646">
        <w:instrText xml:space="preserve"> REF _Ref163569842 \n \h </w:instrText>
      </w:r>
      <w:r w:rsidR="00F06646">
        <w:instrText xml:space="preserve"> \* MERGEFORMAT </w:instrText>
      </w:r>
      <w:r w:rsidR="00B33800" w:rsidRPr="00F06646">
        <w:fldChar w:fldCharType="separate"/>
      </w:r>
      <w:r w:rsidR="002E5C6A">
        <w:t>(a)</w:t>
      </w:r>
      <w:r w:rsidR="00B33800" w:rsidRPr="00F06646">
        <w:fldChar w:fldCharType="end"/>
      </w:r>
      <w:r w:rsidRPr="00F06646">
        <w:t xml:space="preserve"> must also set out: </w:t>
      </w:r>
    </w:p>
    <w:p w14:paraId="1036DC02" w14:textId="77777777" w:rsidR="00B33800" w:rsidRPr="00F06646" w:rsidRDefault="2C388DF0" w:rsidP="0058045D">
      <w:pPr>
        <w:pStyle w:val="Heading4"/>
      </w:pPr>
      <w:r w:rsidRPr="00F06646">
        <w:t xml:space="preserve">the Net Operational Revenue for the </w:t>
      </w:r>
      <w:r w:rsidR="009A687B">
        <w:t>Support</w:t>
      </w:r>
      <w:r w:rsidR="009A687B" w:rsidRPr="00F06646" w:rsidDel="009A687B">
        <w:t xml:space="preserve"> </w:t>
      </w:r>
      <w:r w:rsidR="000F38FD" w:rsidRPr="00F06646">
        <w:t>Year</w:t>
      </w:r>
      <w:r w:rsidRPr="00F06646">
        <w:t>;</w:t>
      </w:r>
    </w:p>
    <w:p w14:paraId="23A2E7A3" w14:textId="02155E23" w:rsidR="00740E94" w:rsidRPr="00F06646" w:rsidRDefault="2C388DF0" w:rsidP="0058045D">
      <w:pPr>
        <w:pStyle w:val="Heading4"/>
      </w:pPr>
      <w:r w:rsidRPr="00F06646">
        <w:t xml:space="preserve">the Annual Floor and the Annual Ceiling for the </w:t>
      </w:r>
      <w:r w:rsidR="009A687B">
        <w:t>Support</w:t>
      </w:r>
      <w:r w:rsidR="009A687B" w:rsidRPr="00F06646" w:rsidDel="009A687B">
        <w:t xml:space="preserve"> </w:t>
      </w:r>
      <w:r w:rsidR="000F38FD" w:rsidRPr="00F06646">
        <w:t>Year</w:t>
      </w:r>
      <w:r w:rsidR="001A7386">
        <w:t xml:space="preserve"> </w:t>
      </w:r>
      <w:r w:rsidR="001A7386" w:rsidRPr="00AD4C09">
        <w:t>(in each case, as adjusted in accordance with this agreement)</w:t>
      </w:r>
      <w:r w:rsidRPr="00AD4C09">
        <w:t>;</w:t>
      </w:r>
      <w:r w:rsidR="00D36299" w:rsidRPr="00F06646">
        <w:t xml:space="preserve"> </w:t>
      </w:r>
      <w:r w:rsidR="00D36299" w:rsidRPr="00792B2E">
        <w:t>and</w:t>
      </w:r>
      <w:r w:rsidRPr="00F06646">
        <w:t xml:space="preserve"> </w:t>
      </w:r>
    </w:p>
    <w:p w14:paraId="3B9D1774" w14:textId="7178C8BB" w:rsidR="00B33800" w:rsidRPr="00F06646" w:rsidRDefault="2C388DF0" w:rsidP="007E1107">
      <w:pPr>
        <w:pStyle w:val="Heading4"/>
        <w:keepNext/>
      </w:pPr>
      <w:r w:rsidRPr="00F06646">
        <w:t xml:space="preserve">if one or more Eligible </w:t>
      </w:r>
      <w:r w:rsidR="000D6B18">
        <w:t xml:space="preserve">Bilateral </w:t>
      </w:r>
      <w:r w:rsidRPr="00F06646">
        <w:t xml:space="preserve">Contracts applied to any </w:t>
      </w:r>
      <w:r w:rsidR="009A40B6">
        <w:t>Trading</w:t>
      </w:r>
      <w:r w:rsidR="009A40B6" w:rsidRPr="00F06646" w:rsidDel="00A5400A">
        <w:t xml:space="preserve"> </w:t>
      </w:r>
      <w:r w:rsidRPr="00F06646">
        <w:t xml:space="preserve">Interval in the </w:t>
      </w:r>
      <w:r w:rsidR="009A687B">
        <w:t>Support</w:t>
      </w:r>
      <w:r w:rsidR="009A687B" w:rsidRPr="00F06646" w:rsidDel="009A687B">
        <w:t xml:space="preserve"> </w:t>
      </w:r>
      <w:r w:rsidR="000F38FD" w:rsidRPr="00F06646">
        <w:t>Year</w:t>
      </w:r>
      <w:r w:rsidRPr="00F06646">
        <w:t xml:space="preserve"> pursuant to clause </w:t>
      </w:r>
      <w:r w:rsidR="00600CAB" w:rsidRPr="00F06646">
        <w:fldChar w:fldCharType="begin"/>
      </w:r>
      <w:r w:rsidR="00600CAB" w:rsidRPr="00F06646">
        <w:instrText xml:space="preserve"> REF _Ref163567140 \w \h </w:instrText>
      </w:r>
      <w:r w:rsidR="00F06646">
        <w:instrText xml:space="preserve"> \* MERGEFORMAT </w:instrText>
      </w:r>
      <w:r w:rsidR="00600CAB" w:rsidRPr="00F06646">
        <w:fldChar w:fldCharType="separate"/>
      </w:r>
      <w:r w:rsidR="002E5C6A">
        <w:t>15.5</w:t>
      </w:r>
      <w:r w:rsidR="00600CAB" w:rsidRPr="00F06646">
        <w:fldChar w:fldCharType="end"/>
      </w:r>
      <w:r w:rsidRPr="00F06646">
        <w:t xml:space="preserve"> (“</w:t>
      </w:r>
      <w:r w:rsidR="00600CAB" w:rsidRPr="00F06646">
        <w:fldChar w:fldCharType="begin"/>
      </w:r>
      <w:r w:rsidR="00600CAB" w:rsidRPr="00F06646">
        <w:instrText xml:space="preserve">  REF _Ref163567140 \h </w:instrText>
      </w:r>
      <w:r w:rsidR="00F06646">
        <w:instrText xml:space="preserve"> \* MERGEFORMAT </w:instrText>
      </w:r>
      <w:r w:rsidR="00600CAB" w:rsidRPr="00F06646">
        <w:fldChar w:fldCharType="separate"/>
      </w:r>
      <w:r w:rsidR="002E5C6A" w:rsidRPr="005D705C">
        <w:t xml:space="preserve">Application of Eligible </w:t>
      </w:r>
      <w:r w:rsidR="002E5C6A">
        <w:t>Bilateral</w:t>
      </w:r>
      <w:r w:rsidR="002E5C6A" w:rsidRPr="005D705C">
        <w:t xml:space="preserve"> Contract</w:t>
      </w:r>
      <w:r w:rsidR="00600CAB" w:rsidRPr="00F06646">
        <w:fldChar w:fldCharType="end"/>
      </w:r>
      <w:r w:rsidRPr="00F06646">
        <w:t>”):</w:t>
      </w:r>
    </w:p>
    <w:p w14:paraId="1499A2AC" w14:textId="100D9C7A" w:rsidR="00B33800" w:rsidRPr="00F06646" w:rsidRDefault="2C388DF0" w:rsidP="0058045D">
      <w:pPr>
        <w:pStyle w:val="Heading5"/>
      </w:pPr>
      <w:r w:rsidRPr="00F06646">
        <w:t xml:space="preserve">reasonable details of the revenue that Project Operator was entitled to </w:t>
      </w:r>
      <w:r w:rsidR="007E1107">
        <w:t xml:space="preserve">receive </w:t>
      </w:r>
      <w:r w:rsidRPr="00F06646">
        <w:t xml:space="preserve">during that </w:t>
      </w:r>
      <w:r w:rsidR="009A687B">
        <w:t>Support</w:t>
      </w:r>
      <w:r w:rsidR="009A687B" w:rsidRPr="00F06646" w:rsidDel="009A687B">
        <w:t xml:space="preserve"> </w:t>
      </w:r>
      <w:r w:rsidR="000F38FD" w:rsidRPr="00F06646">
        <w:t>Year</w:t>
      </w:r>
      <w:r w:rsidRPr="00F06646">
        <w:t xml:space="preserve"> under the Eligible </w:t>
      </w:r>
      <w:r w:rsidR="000D6B18">
        <w:t xml:space="preserve">Bilateral </w:t>
      </w:r>
      <w:r w:rsidRPr="00F06646">
        <w:t xml:space="preserve">Contracts; </w:t>
      </w:r>
    </w:p>
    <w:p w14:paraId="650258AE" w14:textId="37AF7749" w:rsidR="00715F7C" w:rsidRDefault="00715F7C" w:rsidP="0058045D">
      <w:pPr>
        <w:pStyle w:val="Heading5"/>
      </w:pPr>
      <w:r>
        <w:t xml:space="preserve">the quantities of electricity imported and exported for that Support </w:t>
      </w:r>
      <w:r w:rsidR="009A40B6">
        <w:t xml:space="preserve">Year (in aggregate and on a Trading Interval basis) </w:t>
      </w:r>
      <w:r>
        <w:t>that were subject to the Eligible Bilateral Contracts;</w:t>
      </w:r>
    </w:p>
    <w:p w14:paraId="458A5BCB" w14:textId="77777777" w:rsidR="009A40B6" w:rsidRDefault="009A40B6" w:rsidP="008F660B">
      <w:pPr>
        <w:pStyle w:val="Heading5"/>
        <w:numPr>
          <w:ilvl w:val="4"/>
          <w:numId w:val="61"/>
        </w:numPr>
      </w:pPr>
      <w:r>
        <w:t>the quantity of Green Products for that Support Year that were subject to the Eligible Bilateral Contracts;</w:t>
      </w:r>
    </w:p>
    <w:p w14:paraId="2610EDE5" w14:textId="77777777" w:rsidR="004F0F72" w:rsidRPr="00F06646" w:rsidRDefault="2C388DF0" w:rsidP="0058045D">
      <w:pPr>
        <w:pStyle w:val="Heading5"/>
      </w:pPr>
      <w:r w:rsidRPr="00F06646">
        <w:t>the quantity of</w:t>
      </w:r>
      <w:r w:rsidR="00C74E7A" w:rsidRPr="00C74E7A">
        <w:t xml:space="preserve"> </w:t>
      </w:r>
      <w:r w:rsidR="00C74E7A">
        <w:t>Peak</w:t>
      </w:r>
      <w:r w:rsidRPr="00F06646">
        <w:t xml:space="preserve"> </w:t>
      </w:r>
      <w:r w:rsidR="00715F7C">
        <w:t>Capacity Credits</w:t>
      </w:r>
      <w:r w:rsidRPr="00F06646">
        <w:t xml:space="preserve"> for that </w:t>
      </w:r>
      <w:r w:rsidR="009A687B">
        <w:t>Support</w:t>
      </w:r>
      <w:r w:rsidR="009A687B" w:rsidRPr="00F06646" w:rsidDel="009A687B">
        <w:t xml:space="preserve"> </w:t>
      </w:r>
      <w:r w:rsidR="000F38FD" w:rsidRPr="00F06646">
        <w:t>Year</w:t>
      </w:r>
      <w:r w:rsidRPr="00F06646">
        <w:t xml:space="preserve"> that w</w:t>
      </w:r>
      <w:r w:rsidR="00715F7C">
        <w:t>ere</w:t>
      </w:r>
      <w:r w:rsidRPr="00F06646">
        <w:t xml:space="preserve"> subject to the Eligible </w:t>
      </w:r>
      <w:r w:rsidR="00F71EA0">
        <w:t>Bilateral</w:t>
      </w:r>
      <w:r w:rsidR="00F71EA0" w:rsidRPr="00F06646">
        <w:t xml:space="preserve"> </w:t>
      </w:r>
      <w:r w:rsidRPr="00F06646">
        <w:t xml:space="preserve">Contracts; and </w:t>
      </w:r>
    </w:p>
    <w:p w14:paraId="72832622" w14:textId="618003B5" w:rsidR="00B33800" w:rsidRDefault="2C388DF0" w:rsidP="0058045D">
      <w:pPr>
        <w:pStyle w:val="Heading4"/>
      </w:pPr>
      <w:r w:rsidRPr="00F06646">
        <w:t xml:space="preserve">if there is </w:t>
      </w:r>
      <w:r w:rsidR="00D36299" w:rsidRPr="00792B2E">
        <w:t xml:space="preserve">a Permitted </w:t>
      </w:r>
      <w:r w:rsidR="002436C6">
        <w:t>Intermediary Contract</w:t>
      </w:r>
      <w:r w:rsidRPr="00792B2E">
        <w:t xml:space="preserve">, reasonable details of the </w:t>
      </w:r>
      <w:r w:rsidR="00D36299" w:rsidRPr="00792B2E">
        <w:t xml:space="preserve">Permitted </w:t>
      </w:r>
      <w:r w:rsidRPr="00792B2E">
        <w:t>Intermedia</w:t>
      </w:r>
      <w:r w:rsidR="00C02A3A">
        <w:t>ry</w:t>
      </w:r>
      <w:r w:rsidRPr="00792B2E">
        <w:t xml:space="preserve"> Revenue </w:t>
      </w:r>
      <w:r w:rsidRPr="00F06646">
        <w:t xml:space="preserve">for the </w:t>
      </w:r>
      <w:r w:rsidR="009A687B">
        <w:t>Support</w:t>
      </w:r>
      <w:r w:rsidR="009A687B" w:rsidRPr="00F06646" w:rsidDel="009A687B">
        <w:t xml:space="preserve"> </w:t>
      </w:r>
      <w:r w:rsidR="000F38FD" w:rsidRPr="00F06646">
        <w:t>Year</w:t>
      </w:r>
      <w:r w:rsidR="009A40B6">
        <w:t>; [and</w:t>
      </w:r>
    </w:p>
    <w:p w14:paraId="3F2F50CE" w14:textId="77777777" w:rsidR="009A40B6" w:rsidRDefault="009A40B6" w:rsidP="008F660B">
      <w:pPr>
        <w:pStyle w:val="Heading4"/>
        <w:keepNext/>
        <w:numPr>
          <w:ilvl w:val="3"/>
          <w:numId w:val="61"/>
        </w:numPr>
      </w:pPr>
      <w:bookmarkStart w:id="2884" w:name="_Ref194649842"/>
      <w:r>
        <w:t>details of:</w:t>
      </w:r>
      <w:bookmarkEnd w:id="2884"/>
    </w:p>
    <w:p w14:paraId="153BC4EE" w14:textId="44F51F02" w:rsidR="009A40B6" w:rsidRDefault="009A40B6" w:rsidP="008F660B">
      <w:pPr>
        <w:pStyle w:val="Heading5"/>
        <w:numPr>
          <w:ilvl w:val="4"/>
          <w:numId w:val="61"/>
        </w:numPr>
      </w:pPr>
      <w:r>
        <w:t xml:space="preserve">any apportionment of Apportioned Items between the Project and the </w:t>
      </w:r>
      <w:r w:rsidR="00EB4942">
        <w:t>[</w:t>
      </w:r>
      <w:r>
        <w:t>Associated</w:t>
      </w:r>
      <w:r w:rsidR="00EB4942">
        <w:t xml:space="preserve">/Existing] </w:t>
      </w:r>
      <w:r>
        <w:t>Project;</w:t>
      </w:r>
    </w:p>
    <w:p w14:paraId="30FEACFD" w14:textId="77777777" w:rsidR="009A40B6" w:rsidRDefault="009A40B6" w:rsidP="008F660B">
      <w:pPr>
        <w:pStyle w:val="Heading5"/>
        <w:numPr>
          <w:ilvl w:val="4"/>
          <w:numId w:val="61"/>
        </w:numPr>
      </w:pPr>
      <w:r>
        <w:t xml:space="preserve">the basis on which that apportionment has been made in accordance with the Apportionment Principles; and </w:t>
      </w:r>
    </w:p>
    <w:p w14:paraId="353F272C" w14:textId="77777777" w:rsidR="009A40B6" w:rsidRDefault="009A40B6" w:rsidP="008F660B">
      <w:pPr>
        <w:pStyle w:val="Heading5"/>
        <w:numPr>
          <w:ilvl w:val="4"/>
          <w:numId w:val="61"/>
        </w:numPr>
      </w:pPr>
      <w:r>
        <w:t>any change to a previous apportionment of Apportioned Items and an explanation for the change,</w:t>
      </w:r>
    </w:p>
    <w:p w14:paraId="52CEA4D7" w14:textId="1922843A" w:rsidR="009A40B6" w:rsidRDefault="009A40B6" w:rsidP="009A40B6">
      <w:pPr>
        <w:spacing w:after="240"/>
        <w:ind w:left="2211"/>
      </w:pPr>
      <w:r>
        <w:t>for the Support Year.] [</w:t>
      </w:r>
      <w:r>
        <w:rPr>
          <w:b/>
          <w:i/>
          <w:highlight w:val="lightGray"/>
        </w:rPr>
        <w:t xml:space="preserve">Note: paragraph </w:t>
      </w:r>
      <w:r>
        <w:rPr>
          <w:b/>
          <w:i/>
          <w:highlight w:val="lightGray"/>
        </w:rPr>
        <w:fldChar w:fldCharType="begin"/>
      </w:r>
      <w:r>
        <w:rPr>
          <w:b/>
          <w:i/>
          <w:highlight w:val="lightGray"/>
        </w:rPr>
        <w:instrText xml:space="preserve"> REF _Ref194649842 \n \h </w:instrText>
      </w:r>
      <w:r>
        <w:rPr>
          <w:b/>
          <w:i/>
          <w:highlight w:val="lightGray"/>
        </w:rPr>
      </w:r>
      <w:r>
        <w:rPr>
          <w:b/>
          <w:i/>
          <w:highlight w:val="lightGray"/>
        </w:rPr>
        <w:fldChar w:fldCharType="separate"/>
      </w:r>
      <w:r w:rsidR="002E5C6A">
        <w:rPr>
          <w:b/>
          <w:i/>
          <w:highlight w:val="lightGray"/>
        </w:rPr>
        <w:t>(v)</w:t>
      </w:r>
      <w:r>
        <w:rPr>
          <w:b/>
          <w:i/>
          <w:highlight w:val="lightGray"/>
        </w:rPr>
        <w:fldChar w:fldCharType="end"/>
      </w:r>
      <w:r>
        <w:rPr>
          <w:b/>
          <w:i/>
          <w:highlight w:val="lightGray"/>
        </w:rPr>
        <w:t xml:space="preserve"> is to be included for all Hybrid Projects and Staged Projects and otherwise the word ‘and’ at the end of clause 12.3(a)(iii) is to be omitted.</w:t>
      </w:r>
      <w:r>
        <w:t>]</w:t>
      </w:r>
    </w:p>
    <w:p w14:paraId="2C5ACC2E" w14:textId="54AE291D" w:rsidR="0035377F" w:rsidRPr="00F06646" w:rsidRDefault="2C388DF0" w:rsidP="0058045D">
      <w:pPr>
        <w:pStyle w:val="Heading3"/>
      </w:pPr>
      <w:r w:rsidRPr="00F06646">
        <w:t xml:space="preserve">A quarterly report provided under paragraph </w:t>
      </w:r>
      <w:r w:rsidR="0035377F" w:rsidRPr="00F06646">
        <w:fldChar w:fldCharType="begin"/>
      </w:r>
      <w:r w:rsidR="0035377F" w:rsidRPr="00F06646">
        <w:instrText xml:space="preserve"> REF _Ref163569842 \n \h </w:instrText>
      </w:r>
      <w:r w:rsidR="00F06646">
        <w:instrText xml:space="preserve"> \* MERGEFORMAT </w:instrText>
      </w:r>
      <w:r w:rsidR="0035377F" w:rsidRPr="00F06646">
        <w:fldChar w:fldCharType="separate"/>
      </w:r>
      <w:r w:rsidR="002E5C6A">
        <w:t>(a)</w:t>
      </w:r>
      <w:r w:rsidR="0035377F" w:rsidRPr="00F06646">
        <w:fldChar w:fldCharType="end"/>
      </w:r>
      <w:r w:rsidRPr="00F06646">
        <w:t xml:space="preserve"> must be:</w:t>
      </w:r>
    </w:p>
    <w:p w14:paraId="3257D4DB" w14:textId="77777777" w:rsidR="0035377F" w:rsidRPr="00F06646" w:rsidRDefault="2C388DF0" w:rsidP="0058045D">
      <w:pPr>
        <w:pStyle w:val="Heading4"/>
        <w:rPr>
          <w:szCs w:val="18"/>
        </w:rPr>
      </w:pPr>
      <w:r w:rsidRPr="00F06646">
        <w:t xml:space="preserve">in a reporting format specified by the Commonwealth (acting reasonably) from time to time; and </w:t>
      </w:r>
    </w:p>
    <w:p w14:paraId="6E8DAEB9" w14:textId="77777777" w:rsidR="0035377F" w:rsidRPr="00F06646" w:rsidRDefault="2C388DF0" w:rsidP="0058045D">
      <w:pPr>
        <w:pStyle w:val="Heading4"/>
      </w:pPr>
      <w:r w:rsidRPr="00F06646">
        <w:t xml:space="preserve">certified by a director of Project Operator to be true and correct. </w:t>
      </w:r>
    </w:p>
    <w:p w14:paraId="4C74CEE4" w14:textId="77777777" w:rsidR="00506159" w:rsidRPr="00F06646" w:rsidRDefault="49D70CC2" w:rsidP="0058045D">
      <w:pPr>
        <w:pStyle w:val="Heading2"/>
      </w:pPr>
      <w:bookmarkStart w:id="2885" w:name="_Ref94878032"/>
      <w:bookmarkStart w:id="2886" w:name="_Toc101536775"/>
      <w:bookmarkStart w:id="2887" w:name="_Toc156909151"/>
      <w:bookmarkStart w:id="2888" w:name="_Toc207309614"/>
      <w:r w:rsidRPr="00F06646">
        <w:t>Social Licence Commitments Reporting</w:t>
      </w:r>
      <w:bookmarkEnd w:id="2885"/>
      <w:bookmarkEnd w:id="2886"/>
      <w:bookmarkEnd w:id="2887"/>
      <w:bookmarkEnd w:id="2888"/>
    </w:p>
    <w:p w14:paraId="3831D905" w14:textId="77777777" w:rsidR="00506159" w:rsidRPr="00F06646" w:rsidRDefault="00506159" w:rsidP="00A82B79">
      <w:pPr>
        <w:pStyle w:val="Heading3"/>
        <w:keepNext/>
      </w:pPr>
      <w:bookmarkStart w:id="2889" w:name="_Ref108098349"/>
      <w:bookmarkStart w:id="2890" w:name="_Ref103540627"/>
      <w:r w:rsidRPr="00F06646">
        <w:t>Within:</w:t>
      </w:r>
      <w:bookmarkEnd w:id="2889"/>
      <w:r w:rsidRPr="00F06646">
        <w:t xml:space="preserve"> </w:t>
      </w:r>
    </w:p>
    <w:p w14:paraId="6B5F66A3" w14:textId="071B2EF1" w:rsidR="00506159" w:rsidRPr="00F06646" w:rsidRDefault="00DF3A43" w:rsidP="0058045D">
      <w:pPr>
        <w:pStyle w:val="Heading4"/>
      </w:pPr>
      <w:bookmarkStart w:id="2891" w:name="_Ref106209044"/>
      <w:r w:rsidRPr="00F06646">
        <w:t>20</w:t>
      </w:r>
      <w:r w:rsidR="00506159" w:rsidRPr="00F06646">
        <w:t xml:space="preserve"> Business Days after Project Operator satisfies </w:t>
      </w:r>
      <w:r w:rsidR="00957ABE">
        <w:t>any</w:t>
      </w:r>
      <w:r w:rsidR="00E85859" w:rsidRPr="00F06646">
        <w:t xml:space="preserve"> </w:t>
      </w:r>
      <w:r w:rsidR="00506159" w:rsidRPr="00F06646">
        <w:t>Social Licence Commitments that are to be satisfied prior to the Commercial Operations Date, Project Operator must give the Commonwealth a report demonstrating Project Operator’s compliance with those Social Licence Commitments; and</w:t>
      </w:r>
      <w:bookmarkEnd w:id="2891"/>
    </w:p>
    <w:p w14:paraId="45F1628A" w14:textId="2705C153" w:rsidR="00506159" w:rsidRDefault="00070FBF" w:rsidP="0058045D">
      <w:pPr>
        <w:pStyle w:val="Heading4"/>
      </w:pPr>
      <w:r>
        <w:t>20</w:t>
      </w:r>
      <w:r w:rsidRPr="00F06646">
        <w:t xml:space="preserve"> </w:t>
      </w:r>
      <w:r w:rsidR="00506159" w:rsidRPr="00F06646">
        <w:t>Business Days after the</w:t>
      </w:r>
      <w:r w:rsidR="00E85859">
        <w:t xml:space="preserve"> relevant</w:t>
      </w:r>
      <w:r w:rsidR="00506159" w:rsidRPr="00F06646">
        <w:t xml:space="preserve"> </w:t>
      </w:r>
      <w:r>
        <w:t xml:space="preserve">SLC Reporting Date set out </w:t>
      </w:r>
      <w:r w:rsidRPr="00EB4942">
        <w:t xml:space="preserve">in item </w:t>
      </w:r>
      <w:r w:rsidRPr="00EB4942">
        <w:fldChar w:fldCharType="begin"/>
      </w:r>
      <w:r w:rsidRPr="00EB4942">
        <w:instrText xml:space="preserve"> REF _Ref176510407 \r \h </w:instrText>
      </w:r>
      <w:r w:rsidR="00EB4942">
        <w:instrText xml:space="preserve"> \* MERGEFORMAT </w:instrText>
      </w:r>
      <w:r w:rsidRPr="00EB4942">
        <w:fldChar w:fldCharType="separate"/>
      </w:r>
      <w:r w:rsidR="002E5C6A">
        <w:t>30</w:t>
      </w:r>
      <w:r w:rsidRPr="00EB4942">
        <w:fldChar w:fldCharType="end"/>
      </w:r>
      <w:r w:rsidR="00506159" w:rsidRPr="00EB4942">
        <w:t xml:space="preserve"> of </w:t>
      </w:r>
      <w:r w:rsidR="00641040" w:rsidRPr="00EB4942">
        <w:t>the Reference Details</w:t>
      </w:r>
      <w:r w:rsidR="00506159" w:rsidRPr="00EB4942">
        <w:t>, Project Operator must give the Commonwealth a report demonstrating Project Operator’s compliance with its Social Licence Commitments</w:t>
      </w:r>
      <w:r w:rsidR="007E1107" w:rsidRPr="00EB4942">
        <w:t xml:space="preserve"> </w:t>
      </w:r>
      <w:r w:rsidR="00641040" w:rsidRPr="00EB4942">
        <w:t xml:space="preserve">during the </w:t>
      </w:r>
      <w:r w:rsidR="00EB4942" w:rsidRPr="00EB4942">
        <w:t xml:space="preserve">three (3) or </w:t>
      </w:r>
      <w:r w:rsidR="005A721A" w:rsidRPr="00EB4942">
        <w:t xml:space="preserve">twelve (12) month </w:t>
      </w:r>
      <w:r w:rsidR="00641040" w:rsidRPr="00EB4942">
        <w:t xml:space="preserve">period </w:t>
      </w:r>
      <w:r w:rsidR="00E85859" w:rsidRPr="00EB4942">
        <w:t xml:space="preserve">since </w:t>
      </w:r>
      <w:r w:rsidR="00641040" w:rsidRPr="00EB4942">
        <w:t xml:space="preserve">the </w:t>
      </w:r>
      <w:r w:rsidR="00E85859" w:rsidRPr="00EB4942">
        <w:t xml:space="preserve">previous </w:t>
      </w:r>
      <w:r w:rsidR="00641040" w:rsidRPr="00EB4942">
        <w:t>SLC Reporting Date.</w:t>
      </w:r>
      <w:r w:rsidR="00506159" w:rsidRPr="00EB4942">
        <w:t xml:space="preserve"> </w:t>
      </w:r>
      <w:r w:rsidR="00EB4942" w:rsidRPr="008F660B">
        <w:t>For the first SLC Reporting Date arising during the Term, the period of compliance to be demonstrated in the report is the period commencing on the Signing Date and ending on the first SLC Reporting Date</w:t>
      </w:r>
      <w:r w:rsidR="00EB4942">
        <w:t>,</w:t>
      </w:r>
    </w:p>
    <w:p w14:paraId="585E348E" w14:textId="77777777" w:rsidR="00506159" w:rsidRPr="00B17C05" w:rsidRDefault="2BC382E4" w:rsidP="003A24AE">
      <w:pPr>
        <w:pStyle w:val="Heading4"/>
        <w:numPr>
          <w:ilvl w:val="0"/>
          <w:numId w:val="0"/>
        </w:numPr>
        <w:ind w:left="1474"/>
      </w:pPr>
      <w:r>
        <w:t>together with reasonable supporting information.</w:t>
      </w:r>
      <w:bookmarkEnd w:id="2890"/>
      <w:r>
        <w:t xml:space="preserve"> </w:t>
      </w:r>
    </w:p>
    <w:p w14:paraId="3112FF0F" w14:textId="117726C8" w:rsidR="00506159" w:rsidRPr="00C92A58" w:rsidRDefault="00506159" w:rsidP="0058045D">
      <w:pPr>
        <w:pStyle w:val="Heading3"/>
      </w:pPr>
      <w:bookmarkStart w:id="2892" w:name="_Ref105613529"/>
      <w:r w:rsidRPr="29D99465">
        <w:t xml:space="preserve">A report provided under </w:t>
      </w:r>
      <w:r>
        <w:t xml:space="preserve">paragraph </w:t>
      </w:r>
      <w:r>
        <w:fldChar w:fldCharType="begin"/>
      </w:r>
      <w:r>
        <w:instrText xml:space="preserve"> REF _Ref108098349 \n \h </w:instrText>
      </w:r>
      <w:r>
        <w:fldChar w:fldCharType="separate"/>
      </w:r>
      <w:r w:rsidR="002E5C6A">
        <w:t>(a)</w:t>
      </w:r>
      <w:r>
        <w:fldChar w:fldCharType="end"/>
      </w:r>
      <w:r w:rsidRPr="29D99465">
        <w:t xml:space="preserve"> must be</w:t>
      </w:r>
      <w:r>
        <w:rPr>
          <w:szCs w:val="18"/>
        </w:rPr>
        <w:t>:</w:t>
      </w:r>
      <w:bookmarkEnd w:id="2892"/>
      <w:r w:rsidRPr="001331AC">
        <w:rPr>
          <w:szCs w:val="18"/>
        </w:rPr>
        <w:t xml:space="preserve"> </w:t>
      </w:r>
    </w:p>
    <w:p w14:paraId="40CFA343" w14:textId="77777777" w:rsidR="00506159" w:rsidRDefault="00506159" w:rsidP="0058045D">
      <w:pPr>
        <w:pStyle w:val="Heading4"/>
      </w:pPr>
      <w:r w:rsidRPr="00EE2882">
        <w:t xml:space="preserve">in a reporting format specified by </w:t>
      </w:r>
      <w:r>
        <w:t xml:space="preserve">the Commonwealth </w:t>
      </w:r>
      <w:r w:rsidR="00D344F3">
        <w:t xml:space="preserve">(acting reasonably) </w:t>
      </w:r>
      <w:r>
        <w:t>from time to time;</w:t>
      </w:r>
      <w:r w:rsidRPr="00EE2882">
        <w:t xml:space="preserve"> and </w:t>
      </w:r>
    </w:p>
    <w:p w14:paraId="78B71FBF" w14:textId="77777777" w:rsidR="00506159" w:rsidRPr="004869BE" w:rsidRDefault="00506159" w:rsidP="0058045D">
      <w:pPr>
        <w:pStyle w:val="Heading4"/>
      </w:pPr>
      <w:r>
        <w:t>certified</w:t>
      </w:r>
      <w:r w:rsidRPr="00C92A58">
        <w:t xml:space="preserve"> by a director of </w:t>
      </w:r>
      <w:r>
        <w:t>Project Operator</w:t>
      </w:r>
      <w:r w:rsidRPr="00C92A58">
        <w:t xml:space="preserve"> to be true</w:t>
      </w:r>
      <w:r>
        <w:t xml:space="preserve"> and</w:t>
      </w:r>
      <w:r w:rsidRPr="00C92A58">
        <w:t xml:space="preserve"> correct. </w:t>
      </w:r>
    </w:p>
    <w:p w14:paraId="2449DD7F" w14:textId="26C105D3" w:rsidR="00506159" w:rsidRDefault="00506159" w:rsidP="0058045D">
      <w:pPr>
        <w:pStyle w:val="Heading3"/>
      </w:pPr>
      <w:bookmarkStart w:id="2893" w:name="_Ref106210613"/>
      <w:bookmarkStart w:id="2894" w:name="_Ref105613711"/>
      <w:r>
        <w:t xml:space="preserve">Within </w:t>
      </w:r>
      <w:r w:rsidR="007743A8">
        <w:t>20</w:t>
      </w:r>
      <w:r>
        <w:t xml:space="preserve"> Business Days after receiving Project Operator’s report under subparagraph </w:t>
      </w:r>
      <w:r>
        <w:fldChar w:fldCharType="begin"/>
      </w:r>
      <w:r>
        <w:instrText xml:space="preserve"> REF _Ref108098349 \n \h </w:instrText>
      </w:r>
      <w:r>
        <w:fldChar w:fldCharType="separate"/>
      </w:r>
      <w:r w:rsidR="002E5C6A">
        <w:t>(a)</w:t>
      </w:r>
      <w:r>
        <w:fldChar w:fldCharType="end"/>
      </w:r>
      <w:r>
        <w:fldChar w:fldCharType="begin"/>
      </w:r>
      <w:r>
        <w:instrText xml:space="preserve"> REF _Ref106209044 \n \h </w:instrText>
      </w:r>
      <w:r>
        <w:fldChar w:fldCharType="separate"/>
      </w:r>
      <w:r w:rsidR="002E5C6A">
        <w:t>(i)</w:t>
      </w:r>
      <w:r>
        <w:fldChar w:fldCharType="end"/>
      </w:r>
      <w:r>
        <w:t>, the Commonwealth must:</w:t>
      </w:r>
      <w:bookmarkEnd w:id="2893"/>
      <w:r>
        <w:t xml:space="preserve"> </w:t>
      </w:r>
    </w:p>
    <w:p w14:paraId="40C31566" w14:textId="77777777" w:rsidR="00506159" w:rsidRDefault="00506159" w:rsidP="0058045D">
      <w:pPr>
        <w:pStyle w:val="Heading4"/>
      </w:pPr>
      <w:bookmarkStart w:id="2895" w:name="_Ref177061119"/>
      <w:r>
        <w:t>confirm that Project Operator has satisfied all Social Licence Commitments</w:t>
      </w:r>
      <w:r w:rsidRPr="00390BA2">
        <w:t xml:space="preserve"> </w:t>
      </w:r>
      <w:r>
        <w:t>that are to be satisfied prior to the Commercial Operations Date;</w:t>
      </w:r>
      <w:bookmarkEnd w:id="2895"/>
    </w:p>
    <w:p w14:paraId="1718AFBE" w14:textId="77777777" w:rsidR="00506159" w:rsidRDefault="00506159" w:rsidP="0058045D">
      <w:pPr>
        <w:pStyle w:val="Heading4"/>
      </w:pPr>
      <w:bookmarkStart w:id="2896" w:name="_Ref106209727"/>
      <w:r>
        <w:t>request any further information from Project Operator that the Commonwealth reasonably requires in order to assess whether Project Operator has complied with those Social Licence Commitments; or</w:t>
      </w:r>
      <w:bookmarkEnd w:id="2896"/>
      <w:r>
        <w:t xml:space="preserve"> </w:t>
      </w:r>
    </w:p>
    <w:p w14:paraId="291ABCA7" w14:textId="5E95BC00" w:rsidR="00506159" w:rsidRDefault="00506159" w:rsidP="0058045D">
      <w:pPr>
        <w:pStyle w:val="Heading4"/>
      </w:pPr>
      <w:bookmarkStart w:id="2897" w:name="_Ref177061121"/>
      <w:r>
        <w:t>reject that report</w:t>
      </w:r>
      <w:r w:rsidR="00641040">
        <w:t>,</w:t>
      </w:r>
      <w:bookmarkEnd w:id="2894"/>
      <w:bookmarkEnd w:id="2897"/>
    </w:p>
    <w:p w14:paraId="676E9DFB" w14:textId="09183D60" w:rsidR="00641040" w:rsidRDefault="00641040" w:rsidP="00641040">
      <w:pPr>
        <w:pStyle w:val="Heading4"/>
        <w:numPr>
          <w:ilvl w:val="0"/>
          <w:numId w:val="0"/>
        </w:numPr>
        <w:ind w:left="1474"/>
      </w:pPr>
      <w:r>
        <w:t>and</w:t>
      </w:r>
      <w:r w:rsidR="00A82B79">
        <w:t>,</w:t>
      </w:r>
      <w:r>
        <w:t xml:space="preserve"> if:</w:t>
      </w:r>
    </w:p>
    <w:p w14:paraId="50C58BD8" w14:textId="00FDCDD5" w:rsidR="00641040" w:rsidRDefault="00641040" w:rsidP="0076796C">
      <w:pPr>
        <w:pStyle w:val="Heading4"/>
        <w:numPr>
          <w:ilvl w:val="3"/>
          <w:numId w:val="45"/>
        </w:numPr>
        <w:tabs>
          <w:tab w:val="clear" w:pos="2211"/>
          <w:tab w:val="num" w:pos="2571"/>
        </w:tabs>
        <w:ind w:left="1800" w:hanging="360"/>
      </w:pPr>
      <w:r>
        <w:t xml:space="preserve">the Commonwealth does not, within 20 Business Days after receiving Project Operator’s report under subparagraph </w:t>
      </w:r>
      <w:r>
        <w:fldChar w:fldCharType="begin"/>
      </w:r>
      <w:r>
        <w:instrText xml:space="preserve"> REF _Ref108098349 \n \h </w:instrText>
      </w:r>
      <w:r>
        <w:fldChar w:fldCharType="separate"/>
      </w:r>
      <w:r w:rsidR="002E5C6A">
        <w:t>(a)</w:t>
      </w:r>
      <w:r>
        <w:fldChar w:fldCharType="end"/>
      </w:r>
      <w:r>
        <w:fldChar w:fldCharType="begin"/>
      </w:r>
      <w:r>
        <w:instrText xml:space="preserve"> REF _Ref106209044 \n \h </w:instrText>
      </w:r>
      <w:r>
        <w:fldChar w:fldCharType="separate"/>
      </w:r>
      <w:r w:rsidR="002E5C6A">
        <w:t>(i)</w:t>
      </w:r>
      <w:r>
        <w:fldChar w:fldCharType="end"/>
      </w:r>
      <w:r>
        <w:t xml:space="preserve"> do one of the things referred to in subparagraphs</w:t>
      </w:r>
      <w:r w:rsidR="002A276F">
        <w:t xml:space="preserve"> </w:t>
      </w:r>
      <w:r w:rsidR="002A276F">
        <w:fldChar w:fldCharType="begin"/>
      </w:r>
      <w:r w:rsidR="002A276F">
        <w:instrText xml:space="preserve"> REF _Ref106210613 \n \h </w:instrText>
      </w:r>
      <w:r w:rsidR="002A276F">
        <w:fldChar w:fldCharType="separate"/>
      </w:r>
      <w:r w:rsidR="002E5C6A">
        <w:t>(c)</w:t>
      </w:r>
      <w:r w:rsidR="002A276F">
        <w:fldChar w:fldCharType="end"/>
      </w:r>
      <w:r w:rsidR="002A276F">
        <w:fldChar w:fldCharType="begin"/>
      </w:r>
      <w:r w:rsidR="002A276F">
        <w:instrText xml:space="preserve"> REF _Ref177061119 \r \h </w:instrText>
      </w:r>
      <w:r w:rsidR="002A276F">
        <w:fldChar w:fldCharType="separate"/>
      </w:r>
      <w:r w:rsidR="002E5C6A">
        <w:t>(i)</w:t>
      </w:r>
      <w:r w:rsidR="002A276F">
        <w:fldChar w:fldCharType="end"/>
      </w:r>
      <w:r w:rsidR="002A276F">
        <w:t xml:space="preserve"> </w:t>
      </w:r>
      <w:r w:rsidR="00E85859">
        <w:t>to</w:t>
      </w:r>
      <w:r w:rsidR="002A276F">
        <w:t xml:space="preserve"> </w:t>
      </w:r>
      <w:r w:rsidR="002A276F">
        <w:fldChar w:fldCharType="begin"/>
      </w:r>
      <w:r w:rsidR="002A276F">
        <w:instrText xml:space="preserve"> REF _Ref106210613 \n \h </w:instrText>
      </w:r>
      <w:r w:rsidR="002A276F">
        <w:fldChar w:fldCharType="separate"/>
      </w:r>
      <w:r w:rsidR="002E5C6A">
        <w:t>(c)</w:t>
      </w:r>
      <w:r w:rsidR="002A276F">
        <w:fldChar w:fldCharType="end"/>
      </w:r>
      <w:r w:rsidR="00DF29D8">
        <w:fldChar w:fldCharType="begin"/>
      </w:r>
      <w:r w:rsidR="00DF29D8">
        <w:instrText xml:space="preserve"> REF _Ref106209727 \n \h </w:instrText>
      </w:r>
      <w:r w:rsidR="00DF29D8">
        <w:fldChar w:fldCharType="separate"/>
      </w:r>
      <w:r w:rsidR="002E5C6A">
        <w:t>(ii)</w:t>
      </w:r>
      <w:r w:rsidR="00DF29D8">
        <w:fldChar w:fldCharType="end"/>
      </w:r>
      <w:r>
        <w:t>; and</w:t>
      </w:r>
    </w:p>
    <w:p w14:paraId="4592C83E" w14:textId="51BF25B8" w:rsidR="00641040" w:rsidRDefault="00641040" w:rsidP="0076796C">
      <w:pPr>
        <w:pStyle w:val="Heading4"/>
        <w:keepNext/>
        <w:numPr>
          <w:ilvl w:val="3"/>
          <w:numId w:val="45"/>
        </w:numPr>
        <w:tabs>
          <w:tab w:val="clear" w:pos="2211"/>
          <w:tab w:val="num" w:pos="2571"/>
        </w:tabs>
        <w:ind w:left="1800" w:hanging="360"/>
      </w:pPr>
      <w:r>
        <w:t>that will prevent Project Operator from achieving</w:t>
      </w:r>
      <w:r w:rsidR="00E85859">
        <w:t xml:space="preserve"> </w:t>
      </w:r>
      <w:r w:rsidR="00EB4942">
        <w:t xml:space="preserve">the </w:t>
      </w:r>
      <w:r>
        <w:t>COD by the COD Sunset Date,</w:t>
      </w:r>
    </w:p>
    <w:p w14:paraId="2B18C625" w14:textId="510FEDB7" w:rsidR="00641040" w:rsidRDefault="00641040" w:rsidP="0076796C">
      <w:pPr>
        <w:spacing w:after="240"/>
        <w:ind w:left="1440" w:firstLine="34"/>
      </w:pPr>
      <w:r>
        <w:t>then, to the extent there is no Concurrent Delay, the COD Sunset Date will be extended by one day for each day of that delay.</w:t>
      </w:r>
      <w:r w:rsidR="00566DAC">
        <w:t xml:space="preserve"> </w:t>
      </w:r>
      <w:r w:rsidR="005A721A">
        <w:t xml:space="preserve">For the avoidance of doubt, no extension to the COD Sunset Date will apply if the report provided by Project Operator under subparagraph </w:t>
      </w:r>
      <w:r w:rsidR="005A721A">
        <w:fldChar w:fldCharType="begin"/>
      </w:r>
      <w:r w:rsidR="005A721A">
        <w:instrText xml:space="preserve"> REF _Ref108098349 \n \h </w:instrText>
      </w:r>
      <w:r w:rsidR="005A721A">
        <w:fldChar w:fldCharType="separate"/>
      </w:r>
      <w:r w:rsidR="002E5C6A">
        <w:t>(a)</w:t>
      </w:r>
      <w:r w:rsidR="005A721A">
        <w:fldChar w:fldCharType="end"/>
      </w:r>
      <w:r w:rsidR="005A721A">
        <w:fldChar w:fldCharType="begin"/>
      </w:r>
      <w:r w:rsidR="005A721A">
        <w:instrText xml:space="preserve"> REF _Ref106209044 \n \h </w:instrText>
      </w:r>
      <w:r w:rsidR="005A721A">
        <w:fldChar w:fldCharType="separate"/>
      </w:r>
      <w:r w:rsidR="002E5C6A">
        <w:t>(i)</w:t>
      </w:r>
      <w:r w:rsidR="005A721A">
        <w:fldChar w:fldCharType="end"/>
      </w:r>
      <w:r w:rsidR="005A721A">
        <w:t xml:space="preserve"> is rejected by the Commonwealth under subparagraph </w:t>
      </w:r>
      <w:r w:rsidR="005A721A">
        <w:fldChar w:fldCharType="begin"/>
      </w:r>
      <w:r w:rsidR="005A721A">
        <w:instrText xml:space="preserve"> REF _Ref106210613 \n \h </w:instrText>
      </w:r>
      <w:r w:rsidR="005A721A">
        <w:fldChar w:fldCharType="separate"/>
      </w:r>
      <w:r w:rsidR="002E5C6A">
        <w:t>(c)</w:t>
      </w:r>
      <w:r w:rsidR="005A721A">
        <w:fldChar w:fldCharType="end"/>
      </w:r>
      <w:r w:rsidR="005A721A">
        <w:fldChar w:fldCharType="begin"/>
      </w:r>
      <w:r w:rsidR="005A721A">
        <w:instrText xml:space="preserve"> REF _Ref177061121 \r \h </w:instrText>
      </w:r>
      <w:r w:rsidR="005A721A">
        <w:fldChar w:fldCharType="separate"/>
      </w:r>
      <w:r w:rsidR="002E5C6A">
        <w:t>(iii)</w:t>
      </w:r>
      <w:r w:rsidR="005A721A">
        <w:fldChar w:fldCharType="end"/>
      </w:r>
      <w:r w:rsidR="005A721A">
        <w:t xml:space="preserve"> and Project Operator is required to resubmit the report under paragraph </w:t>
      </w:r>
      <w:r w:rsidR="005A721A">
        <w:fldChar w:fldCharType="begin"/>
      </w:r>
      <w:r w:rsidR="005A721A">
        <w:instrText xml:space="preserve"> REF _Ref108098408 \n \h </w:instrText>
      </w:r>
      <w:r w:rsidR="005A721A">
        <w:fldChar w:fldCharType="separate"/>
      </w:r>
      <w:r w:rsidR="002E5C6A">
        <w:t>(f)</w:t>
      </w:r>
      <w:r w:rsidR="005A721A">
        <w:fldChar w:fldCharType="end"/>
      </w:r>
      <w:r w:rsidR="005A721A">
        <w:fldChar w:fldCharType="begin"/>
      </w:r>
      <w:r w:rsidR="005A721A">
        <w:instrText xml:space="preserve"> REF _Ref180417031 \n \h </w:instrText>
      </w:r>
      <w:r w:rsidR="005A721A">
        <w:fldChar w:fldCharType="separate"/>
      </w:r>
      <w:r w:rsidR="002E5C6A">
        <w:t>(ii)</w:t>
      </w:r>
      <w:r w:rsidR="005A721A">
        <w:fldChar w:fldCharType="end"/>
      </w:r>
      <w:r w:rsidR="005A721A">
        <w:t>.</w:t>
      </w:r>
      <w:r w:rsidR="00BC2BE9">
        <w:t xml:space="preserve"> </w:t>
      </w:r>
    </w:p>
    <w:p w14:paraId="01C42817" w14:textId="4B10E084" w:rsidR="00506159" w:rsidRDefault="00506159" w:rsidP="00D9202B">
      <w:pPr>
        <w:pStyle w:val="Heading3"/>
        <w:keepNext/>
      </w:pPr>
      <w:bookmarkStart w:id="2898" w:name="_Ref106210731"/>
      <w:r>
        <w:t xml:space="preserve">If the Commonwealth requests any further information from Project Operator under subparagraph </w:t>
      </w:r>
      <w:r>
        <w:fldChar w:fldCharType="begin"/>
      </w:r>
      <w:r>
        <w:instrText xml:space="preserve"> REF _Ref106210613 \n \h </w:instrText>
      </w:r>
      <w:r>
        <w:fldChar w:fldCharType="separate"/>
      </w:r>
      <w:r w:rsidR="002E5C6A">
        <w:t>(c)</w:t>
      </w:r>
      <w:r>
        <w:fldChar w:fldCharType="end"/>
      </w:r>
      <w:r>
        <w:fldChar w:fldCharType="begin"/>
      </w:r>
      <w:r>
        <w:instrText xml:space="preserve"> REF _Ref106209727 \n \h </w:instrText>
      </w:r>
      <w:r>
        <w:fldChar w:fldCharType="separate"/>
      </w:r>
      <w:r w:rsidR="002E5C6A">
        <w:t>(ii)</w:t>
      </w:r>
      <w:r>
        <w:fldChar w:fldCharType="end"/>
      </w:r>
      <w:r>
        <w:t>, then:</w:t>
      </w:r>
      <w:bookmarkEnd w:id="2898"/>
      <w:r>
        <w:t xml:space="preserve"> </w:t>
      </w:r>
    </w:p>
    <w:p w14:paraId="5D42B087" w14:textId="77777777" w:rsidR="00506159" w:rsidRDefault="00506159" w:rsidP="0058045D">
      <w:pPr>
        <w:pStyle w:val="Heading4"/>
      </w:pPr>
      <w:r>
        <w:t xml:space="preserve">within 10 Business Days after the Commonwealth’s request, Project Operator must provide the requested information; and </w:t>
      </w:r>
    </w:p>
    <w:p w14:paraId="627B1165" w14:textId="5090A561" w:rsidR="00506159" w:rsidRDefault="00506159" w:rsidP="0058045D">
      <w:pPr>
        <w:pStyle w:val="Heading4"/>
      </w:pPr>
      <w:r>
        <w:t xml:space="preserve">within 40 Business Days after receiving the requested information from Project Operator, the Commonwealth must use reasonable endeavours to either confirm or reject Project Operator’s report under subparagraph </w:t>
      </w:r>
      <w:r>
        <w:fldChar w:fldCharType="begin"/>
      </w:r>
      <w:r>
        <w:instrText xml:space="preserve"> REF _Ref108098349 \n \h </w:instrText>
      </w:r>
      <w:r>
        <w:fldChar w:fldCharType="separate"/>
      </w:r>
      <w:r w:rsidR="002E5C6A">
        <w:t>(a)</w:t>
      </w:r>
      <w:r>
        <w:fldChar w:fldCharType="end"/>
      </w:r>
      <w:r>
        <w:fldChar w:fldCharType="begin"/>
      </w:r>
      <w:r>
        <w:instrText xml:space="preserve"> REF _Ref106209044 \n \h </w:instrText>
      </w:r>
      <w:r>
        <w:fldChar w:fldCharType="separate"/>
      </w:r>
      <w:r w:rsidR="002E5C6A">
        <w:t>(i)</w:t>
      </w:r>
      <w:r>
        <w:fldChar w:fldCharType="end"/>
      </w:r>
      <w:r>
        <w:t>.</w:t>
      </w:r>
    </w:p>
    <w:p w14:paraId="2657452E" w14:textId="29FDA19D" w:rsidR="00506159" w:rsidRDefault="00506159" w:rsidP="0058045D">
      <w:pPr>
        <w:pStyle w:val="Heading3"/>
      </w:pPr>
      <w:bookmarkStart w:id="2899" w:name="_Ref113973021"/>
      <w:bookmarkStart w:id="2900" w:name="_Hlk114559117"/>
      <w:r>
        <w:t xml:space="preserve">If Project Operator does not provide the requested information under paragraph </w:t>
      </w:r>
      <w:r>
        <w:fldChar w:fldCharType="begin"/>
      </w:r>
      <w:r>
        <w:instrText xml:space="preserve"> REF _Ref106210731 \n \h </w:instrText>
      </w:r>
      <w:r>
        <w:fldChar w:fldCharType="separate"/>
      </w:r>
      <w:r w:rsidR="002E5C6A">
        <w:t>(d)</w:t>
      </w:r>
      <w:r>
        <w:fldChar w:fldCharType="end"/>
      </w:r>
      <w:r>
        <w:t xml:space="preserve"> within the applicable period, then the Commonwealth is deemed to have rejected Project Operator’s report.</w:t>
      </w:r>
      <w:bookmarkEnd w:id="2899"/>
      <w:r>
        <w:t xml:space="preserve"> </w:t>
      </w:r>
    </w:p>
    <w:p w14:paraId="7D05C85A" w14:textId="77777777" w:rsidR="00506159" w:rsidRDefault="00506159" w:rsidP="0058045D">
      <w:pPr>
        <w:pStyle w:val="Heading3"/>
      </w:pPr>
      <w:bookmarkStart w:id="2901" w:name="_Ref108098408"/>
      <w:bookmarkStart w:id="2902" w:name="_Ref106210997"/>
      <w:bookmarkEnd w:id="2900"/>
      <w:r w:rsidRPr="00AD5A39">
        <w:t xml:space="preserve">If </w:t>
      </w:r>
      <w:r>
        <w:t>the Commonwealth</w:t>
      </w:r>
      <w:r w:rsidRPr="00AD5A39">
        <w:t xml:space="preserve"> rejects</w:t>
      </w:r>
      <w:r>
        <w:t>, or is deemed to reject, Project Operator’s report, then:</w:t>
      </w:r>
      <w:bookmarkEnd w:id="2901"/>
      <w:r w:rsidRPr="00AD5A39">
        <w:t xml:space="preserve"> </w:t>
      </w:r>
    </w:p>
    <w:p w14:paraId="61E4324F" w14:textId="31DCCC1F" w:rsidR="00506159" w:rsidRDefault="00506159" w:rsidP="0058045D">
      <w:pPr>
        <w:pStyle w:val="Heading4"/>
      </w:pPr>
      <w:r>
        <w:t xml:space="preserve">unless the Commonwealth is deemed to reject Project Operator’s report under paragraph </w:t>
      </w:r>
      <w:r>
        <w:fldChar w:fldCharType="begin"/>
      </w:r>
      <w:r>
        <w:instrText xml:space="preserve"> REF _Ref113973021 \n \h </w:instrText>
      </w:r>
      <w:r>
        <w:fldChar w:fldCharType="separate"/>
      </w:r>
      <w:r w:rsidR="002E5C6A">
        <w:t>(e)</w:t>
      </w:r>
      <w:r>
        <w:fldChar w:fldCharType="end"/>
      </w:r>
      <w:r>
        <w:t xml:space="preserve">, the Commonwealth </w:t>
      </w:r>
      <w:r w:rsidRPr="00AD5A39">
        <w:t xml:space="preserve">will provide </w:t>
      </w:r>
      <w:r>
        <w:t>reasonable details of its reasons; and</w:t>
      </w:r>
      <w:r w:rsidRPr="00AD5A39">
        <w:t xml:space="preserve"> </w:t>
      </w:r>
    </w:p>
    <w:p w14:paraId="0A6AE63B" w14:textId="564BF1BC" w:rsidR="00506159" w:rsidRDefault="00506159" w:rsidP="0058045D">
      <w:pPr>
        <w:pStyle w:val="Heading4"/>
      </w:pPr>
      <w:bookmarkStart w:id="2903" w:name="_Ref180417031"/>
      <w:r>
        <w:t>within 20 Business Days after Project Operator’s report is rejected, Project Operator must amend and resubmit an updated report to the Commonwealth</w:t>
      </w:r>
      <w:r w:rsidR="007E1107">
        <w:t xml:space="preserve">, together with any information requested under paragraph </w:t>
      </w:r>
      <w:r w:rsidR="007E1107">
        <w:fldChar w:fldCharType="begin"/>
      </w:r>
      <w:r w:rsidR="007E1107">
        <w:instrText xml:space="preserve"> REF _Ref106210731 \n \h </w:instrText>
      </w:r>
      <w:r w:rsidR="007E1107">
        <w:fldChar w:fldCharType="separate"/>
      </w:r>
      <w:r w:rsidR="002E5C6A">
        <w:t>(d)</w:t>
      </w:r>
      <w:r w:rsidR="007E1107">
        <w:fldChar w:fldCharType="end"/>
      </w:r>
      <w:r w:rsidR="007E1107">
        <w:t xml:space="preserve"> that has not previously been provided</w:t>
      </w:r>
      <w:r>
        <w:t>.</w:t>
      </w:r>
      <w:bookmarkEnd w:id="2903"/>
      <w:r>
        <w:t xml:space="preserve"> </w:t>
      </w:r>
    </w:p>
    <w:p w14:paraId="420F1DA1" w14:textId="6B4815E6" w:rsidR="00506159" w:rsidRDefault="00506159" w:rsidP="0058045D">
      <w:pPr>
        <w:pStyle w:val="Heading3"/>
      </w:pPr>
      <w:r>
        <w:t xml:space="preserve">Paragraphs </w:t>
      </w:r>
      <w:r>
        <w:fldChar w:fldCharType="begin"/>
      </w:r>
      <w:r>
        <w:instrText xml:space="preserve"> REF _Ref106210613 \n \h </w:instrText>
      </w:r>
      <w:r>
        <w:fldChar w:fldCharType="separate"/>
      </w:r>
      <w:r w:rsidR="002E5C6A">
        <w:t>(c)</w:t>
      </w:r>
      <w:r>
        <w:fldChar w:fldCharType="end"/>
      </w:r>
      <w:r>
        <w:t xml:space="preserve">, </w:t>
      </w:r>
      <w:r>
        <w:fldChar w:fldCharType="begin"/>
      </w:r>
      <w:r>
        <w:instrText xml:space="preserve"> REF _Ref106210731 \n \h </w:instrText>
      </w:r>
      <w:r>
        <w:fldChar w:fldCharType="separate"/>
      </w:r>
      <w:r w:rsidR="002E5C6A">
        <w:t>(d)</w:t>
      </w:r>
      <w:r>
        <w:fldChar w:fldCharType="end"/>
      </w:r>
      <w:bookmarkEnd w:id="2902"/>
      <w:r>
        <w:t xml:space="preserve">, </w:t>
      </w:r>
      <w:r>
        <w:fldChar w:fldCharType="begin"/>
      </w:r>
      <w:r>
        <w:instrText xml:space="preserve"> REF _Ref113973021 \n \h </w:instrText>
      </w:r>
      <w:r>
        <w:fldChar w:fldCharType="separate"/>
      </w:r>
      <w:r w:rsidR="002E5C6A">
        <w:t>(e)</w:t>
      </w:r>
      <w:r>
        <w:fldChar w:fldCharType="end"/>
      </w:r>
      <w:r>
        <w:t xml:space="preserve"> and </w:t>
      </w:r>
      <w:r>
        <w:fldChar w:fldCharType="begin"/>
      </w:r>
      <w:r>
        <w:instrText xml:space="preserve"> REF _Ref108098408 \n \h </w:instrText>
      </w:r>
      <w:r>
        <w:fldChar w:fldCharType="separate"/>
      </w:r>
      <w:r w:rsidR="002E5C6A">
        <w:t>(f)</w:t>
      </w:r>
      <w:r>
        <w:fldChar w:fldCharType="end"/>
      </w:r>
      <w:r>
        <w:t xml:space="preserve">, will </w:t>
      </w:r>
      <w:r w:rsidR="00AB2BDC">
        <w:t xml:space="preserve">apply to the updated report submitted </w:t>
      </w:r>
      <w:r>
        <w:t xml:space="preserve">by Project Operator pursuant to paragraph </w:t>
      </w:r>
      <w:r>
        <w:fldChar w:fldCharType="begin"/>
      </w:r>
      <w:r>
        <w:instrText xml:space="preserve"> REF _Ref108098408 \n \h </w:instrText>
      </w:r>
      <w:r>
        <w:fldChar w:fldCharType="separate"/>
      </w:r>
      <w:r w:rsidR="002E5C6A">
        <w:t>(f)</w:t>
      </w:r>
      <w:r>
        <w:fldChar w:fldCharType="end"/>
      </w:r>
      <w:r>
        <w:t>.</w:t>
      </w:r>
    </w:p>
    <w:p w14:paraId="58F08C2B" w14:textId="77777777" w:rsidR="00414071" w:rsidRDefault="2BC382E4" w:rsidP="0058045D">
      <w:pPr>
        <w:pStyle w:val="Heading2"/>
      </w:pPr>
      <w:bookmarkStart w:id="2904" w:name="_Ref134740208"/>
      <w:bookmarkStart w:id="2905" w:name="_Toc134784711"/>
      <w:bookmarkStart w:id="2906" w:name="_Toc207309615"/>
      <w:bookmarkStart w:id="2907" w:name="_Hlk135306289"/>
      <w:r>
        <w:t>Foreign Acquisitions and Takeovers Act</w:t>
      </w:r>
      <w:bookmarkEnd w:id="2904"/>
      <w:r>
        <w:t xml:space="preserve"> reporting</w:t>
      </w:r>
      <w:bookmarkEnd w:id="2905"/>
      <w:bookmarkEnd w:id="2906"/>
    </w:p>
    <w:p w14:paraId="1F3E2FEE" w14:textId="77777777" w:rsidR="00414071" w:rsidRDefault="2C388DF0" w:rsidP="0058045D">
      <w:pPr>
        <w:pStyle w:val="Heading3"/>
      </w:pPr>
      <w:bookmarkStart w:id="2908" w:name="_Ref159336543"/>
      <w:bookmarkStart w:id="2909" w:name="_Hlk134781807"/>
      <w:r>
        <w:t>If:</w:t>
      </w:r>
      <w:bookmarkEnd w:id="2908"/>
    </w:p>
    <w:p w14:paraId="2FC17CED" w14:textId="3B9A34DB" w:rsidR="00414071" w:rsidRDefault="2C388DF0" w:rsidP="0058045D">
      <w:pPr>
        <w:pStyle w:val="Heading4"/>
      </w:pPr>
      <w:bookmarkStart w:id="2910" w:name="_Ref159336545"/>
      <w:r>
        <w:t xml:space="preserve">Project Operator receives a notice from or on behalf of the Treasurer of the Commonwealth of Australia under the </w:t>
      </w:r>
      <w:r w:rsidRPr="2C388DF0">
        <w:rPr>
          <w:i/>
          <w:iCs/>
        </w:rPr>
        <w:t>Foreign Acquisitions and Takeovers Act 1975</w:t>
      </w:r>
      <w:r>
        <w:t xml:space="preserve"> (Cth) stating that an application made by Project Operator in respect of the Project </w:t>
      </w:r>
      <w:bookmarkStart w:id="2911" w:name="_Hlk134782268"/>
      <w:r w:rsidR="007E1107">
        <w:t xml:space="preserve">has been approved, </w:t>
      </w:r>
      <w:r>
        <w:t xml:space="preserve">and that approval is </w:t>
      </w:r>
      <w:r w:rsidR="007E1107">
        <w:t xml:space="preserve">given </w:t>
      </w:r>
      <w:r>
        <w:t>subject to</w:t>
      </w:r>
      <w:bookmarkEnd w:id="2911"/>
      <w:r>
        <w:t xml:space="preserve"> certain conditions that may apply to either Project Operator or the Project; or</w:t>
      </w:r>
      <w:bookmarkEnd w:id="2910"/>
    </w:p>
    <w:p w14:paraId="2CE2642B" w14:textId="46D81244" w:rsidR="00414071" w:rsidRDefault="2C388DF0" w:rsidP="0058045D">
      <w:pPr>
        <w:pStyle w:val="Heading4"/>
      </w:pPr>
      <w:bookmarkStart w:id="2912" w:name="_Ref159336546"/>
      <w:r>
        <w:t xml:space="preserve">there is a change to, or satisfaction of, the conditions referred to in subparagraph </w:t>
      </w:r>
      <w:r w:rsidR="00414071">
        <w:fldChar w:fldCharType="begin"/>
      </w:r>
      <w:r w:rsidR="00414071">
        <w:instrText xml:space="preserve"> REF _Ref159336543 \n \h </w:instrText>
      </w:r>
      <w:r w:rsidR="00414071">
        <w:fldChar w:fldCharType="separate"/>
      </w:r>
      <w:r w:rsidR="002E5C6A">
        <w:t>(a)</w:t>
      </w:r>
      <w:r w:rsidR="00414071">
        <w:fldChar w:fldCharType="end"/>
      </w:r>
      <w:r w:rsidR="00414071">
        <w:fldChar w:fldCharType="begin"/>
      </w:r>
      <w:r w:rsidR="00414071">
        <w:instrText xml:space="preserve"> REF _Ref159336545 \n \h </w:instrText>
      </w:r>
      <w:r w:rsidR="00414071">
        <w:fldChar w:fldCharType="separate"/>
      </w:r>
      <w:r w:rsidR="002E5C6A">
        <w:t>(i)</w:t>
      </w:r>
      <w:r w:rsidR="00414071">
        <w:fldChar w:fldCharType="end"/>
      </w:r>
      <w:r>
        <w:t>,</w:t>
      </w:r>
      <w:bookmarkEnd w:id="2912"/>
      <w:r>
        <w:t xml:space="preserve"> </w:t>
      </w:r>
    </w:p>
    <w:p w14:paraId="042997D2" w14:textId="39409FE6" w:rsidR="00414071" w:rsidRDefault="00414071" w:rsidP="003A24AE">
      <w:pPr>
        <w:pStyle w:val="Heading4"/>
        <w:numPr>
          <w:ilvl w:val="0"/>
          <w:numId w:val="0"/>
        </w:numPr>
        <w:ind w:left="1474"/>
      </w:pPr>
      <w:r>
        <w:t xml:space="preserve">then </w:t>
      </w:r>
      <w:r w:rsidR="00411B14">
        <w:t>Project Operator</w:t>
      </w:r>
      <w:r>
        <w:t xml:space="preserve"> must notify </w:t>
      </w:r>
      <w:r w:rsidR="00DD19CB">
        <w:t>the Commonwealth</w:t>
      </w:r>
      <w:r>
        <w:t xml:space="preserve"> within </w:t>
      </w:r>
      <w:r w:rsidR="002B24BD">
        <w:t>five (</w:t>
      </w:r>
      <w:r>
        <w:t>5</w:t>
      </w:r>
      <w:r w:rsidR="002B24BD">
        <w:t>)</w:t>
      </w:r>
      <w:r>
        <w:t xml:space="preserve"> Business Days of receiving such notice under </w:t>
      </w:r>
      <w:r w:rsidR="008D44AD">
        <w:t>sub</w:t>
      </w:r>
      <w:r>
        <w:t xml:space="preserve">paragraph </w:t>
      </w:r>
      <w:r w:rsidR="00DD19CB">
        <w:fldChar w:fldCharType="begin"/>
      </w:r>
      <w:r w:rsidR="00DD19CB">
        <w:instrText xml:space="preserve"> REF _Ref159336543 \n \h </w:instrText>
      </w:r>
      <w:r w:rsidR="00DD19CB">
        <w:fldChar w:fldCharType="separate"/>
      </w:r>
      <w:r w:rsidR="002E5C6A">
        <w:t>(a)</w:t>
      </w:r>
      <w:r w:rsidR="00DD19CB">
        <w:fldChar w:fldCharType="end"/>
      </w:r>
      <w:r w:rsidR="00DD19CB">
        <w:fldChar w:fldCharType="begin"/>
      </w:r>
      <w:r w:rsidR="00DD19CB">
        <w:instrText xml:space="preserve"> REF _Ref159336545 \n \h </w:instrText>
      </w:r>
      <w:r w:rsidR="00DD19CB">
        <w:fldChar w:fldCharType="separate"/>
      </w:r>
      <w:r w:rsidR="002E5C6A">
        <w:t>(i)</w:t>
      </w:r>
      <w:r w:rsidR="00DD19CB">
        <w:fldChar w:fldCharType="end"/>
      </w:r>
      <w:r>
        <w:t xml:space="preserve"> or of such occurrence under </w:t>
      </w:r>
      <w:r w:rsidR="008D44AD">
        <w:t>sub</w:t>
      </w:r>
      <w:r>
        <w:t xml:space="preserve">paragraph </w:t>
      </w:r>
      <w:r w:rsidR="00DD19CB">
        <w:fldChar w:fldCharType="begin"/>
      </w:r>
      <w:r w:rsidR="00DD19CB">
        <w:instrText xml:space="preserve"> REF _Ref159336543 \n \h </w:instrText>
      </w:r>
      <w:r w:rsidR="00DD19CB">
        <w:fldChar w:fldCharType="separate"/>
      </w:r>
      <w:r w:rsidR="002E5C6A">
        <w:t>(a)</w:t>
      </w:r>
      <w:r w:rsidR="00DD19CB">
        <w:fldChar w:fldCharType="end"/>
      </w:r>
      <w:r w:rsidR="00DD19CB">
        <w:fldChar w:fldCharType="begin"/>
      </w:r>
      <w:r w:rsidR="00DD19CB">
        <w:instrText xml:space="preserve"> REF _Ref159336546 \n \h </w:instrText>
      </w:r>
      <w:r w:rsidR="00DD19CB">
        <w:fldChar w:fldCharType="separate"/>
      </w:r>
      <w:r w:rsidR="002E5C6A">
        <w:t>(ii)</w:t>
      </w:r>
      <w:r w:rsidR="00DD19CB">
        <w:fldChar w:fldCharType="end"/>
      </w:r>
      <w:r>
        <w:t xml:space="preserve">. </w:t>
      </w:r>
    </w:p>
    <w:p w14:paraId="4AB210BB" w14:textId="487B5A81" w:rsidR="00414071" w:rsidRDefault="2C388DF0" w:rsidP="0058045D">
      <w:pPr>
        <w:pStyle w:val="Heading3"/>
      </w:pPr>
      <w:r>
        <w:t xml:space="preserve">Project Operator must notify the Commonwealth within </w:t>
      </w:r>
      <w:r w:rsidR="00E85859">
        <w:t>five (</w:t>
      </w:r>
      <w:r>
        <w:t>5</w:t>
      </w:r>
      <w:r w:rsidR="00E85859">
        <w:t>)</w:t>
      </w:r>
      <w:r>
        <w:t xml:space="preserve"> Business Days of becoming aware of any breach of any conditions or changed conditions notified under paragraph </w:t>
      </w:r>
      <w:r w:rsidR="00411B14">
        <w:fldChar w:fldCharType="begin"/>
      </w:r>
      <w:r w:rsidR="00411B14">
        <w:instrText xml:space="preserve"> REF _Ref159336543 \n \h </w:instrText>
      </w:r>
      <w:r w:rsidR="00411B14">
        <w:fldChar w:fldCharType="separate"/>
      </w:r>
      <w:r w:rsidR="002E5C6A">
        <w:t>(a)</w:t>
      </w:r>
      <w:r w:rsidR="00411B14">
        <w:fldChar w:fldCharType="end"/>
      </w:r>
      <w:r>
        <w:t>.</w:t>
      </w:r>
      <w:bookmarkEnd w:id="2909"/>
    </w:p>
    <w:p w14:paraId="4BA87F39" w14:textId="5D621D01" w:rsidR="00CD0787" w:rsidRDefault="00CD0787" w:rsidP="00CD0787">
      <w:pPr>
        <w:pStyle w:val="Heading2"/>
      </w:pPr>
      <w:bookmarkStart w:id="2913" w:name="_Ref205841331"/>
      <w:bookmarkStart w:id="2914" w:name="_Ref206700239"/>
      <w:bookmarkStart w:id="2915" w:name="_Toc207309616"/>
      <w:r>
        <w:t>Labour standards reporting</w:t>
      </w:r>
      <w:bookmarkEnd w:id="2913"/>
      <w:bookmarkEnd w:id="2914"/>
      <w:bookmarkEnd w:id="2915"/>
    </w:p>
    <w:p w14:paraId="1A2588BF" w14:textId="77777777" w:rsidR="00CD0787" w:rsidRDefault="00CD0787" w:rsidP="00D9202B">
      <w:pPr>
        <w:pStyle w:val="Heading3"/>
        <w:keepNext/>
        <w:numPr>
          <w:ilvl w:val="2"/>
          <w:numId w:val="84"/>
        </w:numPr>
      </w:pPr>
      <w:bookmarkStart w:id="2916" w:name="_Ref204795469"/>
      <w:r w:rsidRPr="00E10304">
        <w:t>Project Operator</w:t>
      </w:r>
      <w:r>
        <w:t xml:space="preserve"> must</w:t>
      </w:r>
      <w:r w:rsidRPr="00E10304">
        <w:t xml:space="preserve"> </w:t>
      </w:r>
      <w:r>
        <w:t>prepare a report (“</w:t>
      </w:r>
      <w:r w:rsidRPr="008F660B">
        <w:t>Labour Standards Report</w:t>
      </w:r>
      <w:r>
        <w:t>”) setting out, with reasonable supporting detail, the following information in relation to the Project [and the Associated Project] with reasonable supporting details</w:t>
      </w:r>
      <w:r w:rsidRPr="00E10304">
        <w:t>:</w:t>
      </w:r>
      <w:bookmarkEnd w:id="2916"/>
    </w:p>
    <w:p w14:paraId="2CFBD577" w14:textId="77777777" w:rsidR="00CD0787" w:rsidRDefault="00CD0787" w:rsidP="008F660B">
      <w:pPr>
        <w:pStyle w:val="Heading4"/>
        <w:numPr>
          <w:ilvl w:val="0"/>
          <w:numId w:val="0"/>
        </w:numPr>
        <w:ind w:left="737"/>
      </w:pPr>
      <w:r>
        <w:rPr>
          <w:b/>
          <w:bCs/>
          <w:i/>
          <w:iCs/>
        </w:rPr>
        <w:t>[</w:t>
      </w:r>
      <w:r>
        <w:rPr>
          <w:b/>
          <w:bCs/>
          <w:i/>
          <w:iCs/>
          <w:highlight w:val="lightGray"/>
        </w:rPr>
        <w:t>Note: the words [and Associated Project] are to be included for all Hybrid Projects (as applicable).</w:t>
      </w:r>
      <w:r>
        <w:t>]</w:t>
      </w:r>
    </w:p>
    <w:p w14:paraId="5438F40C" w14:textId="77777777" w:rsidR="00CD0787" w:rsidRDefault="00CD0787" w:rsidP="008F660B">
      <w:pPr>
        <w:pStyle w:val="Heading4"/>
        <w:numPr>
          <w:ilvl w:val="3"/>
          <w:numId w:val="84"/>
        </w:numPr>
      </w:pPr>
      <w:r>
        <w:t>For each reporting period prior to COD:</w:t>
      </w:r>
    </w:p>
    <w:p w14:paraId="27F74495" w14:textId="64B823B6" w:rsidR="00CD0787" w:rsidRDefault="00CD0787" w:rsidP="008F660B">
      <w:pPr>
        <w:pStyle w:val="Heading5"/>
        <w:numPr>
          <w:ilvl w:val="4"/>
          <w:numId w:val="61"/>
        </w:numPr>
      </w:pPr>
      <w:r>
        <w:t xml:space="preserve">a summary of the legal entitlements of </w:t>
      </w:r>
      <w:r w:rsidRPr="000501C4">
        <w:t xml:space="preserve">all </w:t>
      </w:r>
      <w:r>
        <w:t xml:space="preserve">Australian-based </w:t>
      </w:r>
      <w:r w:rsidRPr="000501C4">
        <w:t>employees, officers and agents of Project Operator and its Key Subcontractors, or of specified classes of such persons identified on an objective and non-discriminatory basis (including by reference to employment type, job function, enterprise agreement coverage, location, or subcontractor), where those entitlements exceed the minimum legal entitlements or requirements of any applicable Workplace Laws, including any such entitlements provided under enterprise agreements, individual employment contracts or other arrangements (as relevant);</w:t>
      </w:r>
    </w:p>
    <w:p w14:paraId="540EC1E6" w14:textId="77777777" w:rsidR="00CD0787" w:rsidRDefault="00CD0787" w:rsidP="008F660B">
      <w:pPr>
        <w:pStyle w:val="Heading5"/>
        <w:numPr>
          <w:ilvl w:val="4"/>
          <w:numId w:val="61"/>
        </w:numPr>
      </w:pPr>
      <w:r>
        <w:t>the number of employees, officers and agents (expressed as a numerical figure and also as a proportion of Total Project Headcount) engaged by Project Operator and its Key Subcontractors on a permanent, fixed term, casual or labour hire basis; and</w:t>
      </w:r>
    </w:p>
    <w:p w14:paraId="5531701E" w14:textId="77777777" w:rsidR="00CD0787" w:rsidRDefault="00CD0787" w:rsidP="008F660B">
      <w:pPr>
        <w:pStyle w:val="Heading4"/>
        <w:numPr>
          <w:ilvl w:val="3"/>
          <w:numId w:val="84"/>
        </w:numPr>
      </w:pPr>
      <w:r>
        <w:t>for each reporting period</w:t>
      </w:r>
      <w:r w:rsidRPr="00DF0694">
        <w:t xml:space="preserve"> </w:t>
      </w:r>
      <w:r>
        <w:t>during the Term:</w:t>
      </w:r>
    </w:p>
    <w:p w14:paraId="64A70763" w14:textId="6196AE6B" w:rsidR="00CD0787" w:rsidRDefault="00CD0787" w:rsidP="008F660B">
      <w:pPr>
        <w:pStyle w:val="Heading5"/>
        <w:numPr>
          <w:ilvl w:val="4"/>
          <w:numId w:val="61"/>
        </w:numPr>
      </w:pPr>
      <w:r>
        <w:t xml:space="preserve">the number of employees, officers and agents </w:t>
      </w:r>
      <w:r w:rsidRPr="00433DE2">
        <w:t xml:space="preserve">(expressed as a numerical figure and as a proportion of Total Project </w:t>
      </w:r>
      <w:r>
        <w:t>Headcount</w:t>
      </w:r>
      <w:r w:rsidRPr="00433DE2">
        <w:t>)</w:t>
      </w:r>
      <w:r>
        <w:t xml:space="preserve"> engaged by Project Operator and its Key Subcontractors on a “fly-in-fly-out” or a “drive-in-drive-out” basis, with reasonable supporting details explaining the basis for engaging these workers as opposed to engaging regional </w:t>
      </w:r>
      <w:r w:rsidR="00EB4942">
        <w:t>w</w:t>
      </w:r>
      <w:r>
        <w:t>orkers;</w:t>
      </w:r>
    </w:p>
    <w:p w14:paraId="76D34EA8" w14:textId="77777777" w:rsidR="00CD0787" w:rsidRDefault="00CD0787" w:rsidP="008F660B">
      <w:pPr>
        <w:pStyle w:val="Heading5"/>
        <w:numPr>
          <w:ilvl w:val="4"/>
          <w:numId w:val="61"/>
        </w:numPr>
      </w:pPr>
      <w:r>
        <w:t xml:space="preserve">any flexible working arrangements available to the employees, officers and agents of Project Operator and its Key Subcontractors and the rate of uptake of those flexible working arrangements; and </w:t>
      </w:r>
      <w:r w:rsidRPr="008F660B">
        <w:rPr>
          <w:highlight w:val="lightGray"/>
        </w:rPr>
        <w:t>[</w:t>
      </w:r>
      <w:r w:rsidRPr="004914DB">
        <w:rPr>
          <w:b/>
          <w:bCs/>
          <w:i/>
          <w:iCs/>
          <w:highlight w:val="lightGray"/>
        </w:rPr>
        <w:t>Note: as the context requires, this may include flexible working arrangements under which Project Operator and/or its Key Subcontractors agree to altered hours of work (e.g. start and finish times) or altered patterns of work (e.g. split shifts</w:t>
      </w:r>
      <w:r w:rsidRPr="008F660B">
        <w:rPr>
          <w:highlight w:val="lightGray"/>
        </w:rPr>
        <w:t>).]</w:t>
      </w:r>
    </w:p>
    <w:p w14:paraId="237D803D" w14:textId="77777777" w:rsidR="00CD0787" w:rsidRDefault="00CD0787" w:rsidP="008F660B">
      <w:pPr>
        <w:pStyle w:val="Heading5"/>
        <w:numPr>
          <w:ilvl w:val="4"/>
          <w:numId w:val="61"/>
        </w:numPr>
      </w:pPr>
      <w:r>
        <w:t>any measures implemented by Project Operator and its Key Subcontractors to promote and maintain workplace health and safety practices, including practices related to worker representation and consultation, which exceed the minimum requirements of the WHS Act and any other applicable WHS Laws. These measures may include, but are not limited to:</w:t>
      </w:r>
    </w:p>
    <w:p w14:paraId="20AD6BB8" w14:textId="77777777" w:rsidR="00CD0787" w:rsidRDefault="00CD0787" w:rsidP="008F660B">
      <w:pPr>
        <w:pStyle w:val="Heading6"/>
        <w:numPr>
          <w:ilvl w:val="5"/>
          <w:numId w:val="61"/>
        </w:numPr>
      </w:pPr>
      <w:r>
        <w:t>any worker consultation processes of Project Operator and its Key Subcontractors; and</w:t>
      </w:r>
    </w:p>
    <w:p w14:paraId="380A373A" w14:textId="77777777" w:rsidR="00CD0787" w:rsidRDefault="00CD0787" w:rsidP="008F660B">
      <w:pPr>
        <w:pStyle w:val="Heading6"/>
        <w:numPr>
          <w:ilvl w:val="5"/>
          <w:numId w:val="61"/>
        </w:numPr>
      </w:pPr>
      <w:r>
        <w:t>the number of health and safety representatives engaged by Project Operator and its Key Subcontractors (expressed as a numerical figure and as a proportion of Total Project Headcount).</w:t>
      </w:r>
    </w:p>
    <w:p w14:paraId="7AF58D8C" w14:textId="3AB36735" w:rsidR="00CD0787" w:rsidRDefault="00CD0787" w:rsidP="008F660B">
      <w:pPr>
        <w:pStyle w:val="Heading3"/>
        <w:numPr>
          <w:ilvl w:val="2"/>
          <w:numId w:val="84"/>
        </w:numPr>
      </w:pPr>
      <w:bookmarkStart w:id="2917" w:name="_Ref206082160"/>
      <w:bookmarkStart w:id="2918" w:name="_Ref205845840"/>
      <w:r>
        <w:t>Project Operator must provide a Labour Standards Report to the Commonwealth:</w:t>
      </w:r>
      <w:bookmarkEnd w:id="2917"/>
    </w:p>
    <w:p w14:paraId="39444020" w14:textId="77777777" w:rsidR="00CD0787" w:rsidRDefault="00CD0787" w:rsidP="008F660B">
      <w:pPr>
        <w:pStyle w:val="Heading4"/>
        <w:numPr>
          <w:ilvl w:val="3"/>
          <w:numId w:val="84"/>
        </w:numPr>
      </w:pPr>
      <w:r>
        <w:t xml:space="preserve">quarterly, for each quarter ending before COD; and </w:t>
      </w:r>
    </w:p>
    <w:p w14:paraId="0A5CE6AB" w14:textId="77777777" w:rsidR="00CD0787" w:rsidRDefault="00CD0787" w:rsidP="008F660B">
      <w:pPr>
        <w:pStyle w:val="Heading4"/>
        <w:numPr>
          <w:ilvl w:val="3"/>
          <w:numId w:val="84"/>
        </w:numPr>
      </w:pPr>
      <w:r>
        <w:t>annually, for each year ending after COD,</w:t>
      </w:r>
    </w:p>
    <w:bookmarkEnd w:id="2918"/>
    <w:p w14:paraId="2909D5D6" w14:textId="5EFD93C8" w:rsidR="00CD0787" w:rsidRDefault="00CD0787" w:rsidP="008F660B">
      <w:pPr>
        <w:pStyle w:val="Heading3"/>
        <w:numPr>
          <w:ilvl w:val="0"/>
          <w:numId w:val="0"/>
        </w:numPr>
        <w:ind w:left="1474"/>
      </w:pPr>
      <w:r>
        <w:t xml:space="preserve">in each case by the date specified in </w:t>
      </w:r>
      <w:r w:rsidR="004914DB">
        <w:t xml:space="preserve">Item </w:t>
      </w:r>
      <w:r w:rsidR="00AF4CD4">
        <w:fldChar w:fldCharType="begin"/>
      </w:r>
      <w:r w:rsidR="00AF4CD4">
        <w:instrText xml:space="preserve"> REF _Ref206183202 \r \h </w:instrText>
      </w:r>
      <w:r w:rsidR="00AF4CD4">
        <w:fldChar w:fldCharType="separate"/>
      </w:r>
      <w:r w:rsidR="002E5C6A">
        <w:t>31</w:t>
      </w:r>
      <w:r w:rsidR="00AF4CD4">
        <w:fldChar w:fldCharType="end"/>
      </w:r>
      <w:r>
        <w:t xml:space="preserve"> of the Reference Details, in the reporting format specified by the Commonwealth (acting reasonably) from time to time, accompanied by supporting information to the Commonwealth’s satisfaction and certified by a director of Project Operator to be true and correct. </w:t>
      </w:r>
    </w:p>
    <w:p w14:paraId="795D308E" w14:textId="77777777" w:rsidR="00CD0787" w:rsidRDefault="00CD0787" w:rsidP="008F660B">
      <w:pPr>
        <w:pStyle w:val="Heading3"/>
        <w:numPr>
          <w:ilvl w:val="2"/>
          <w:numId w:val="84"/>
        </w:numPr>
      </w:pPr>
      <w:bookmarkStart w:id="2919" w:name="_Ref206082118"/>
      <w:bookmarkStart w:id="2920" w:name="_Ref204801905"/>
      <w:bookmarkStart w:id="2921" w:name="_Ref205843379"/>
      <w:r>
        <w:t>After receiving a Labour Standards Report, the Commonwealth may request:</w:t>
      </w:r>
      <w:bookmarkEnd w:id="2919"/>
      <w:r>
        <w:t xml:space="preserve"> </w:t>
      </w:r>
    </w:p>
    <w:p w14:paraId="071CB22C" w14:textId="77777777" w:rsidR="00CD0787" w:rsidRDefault="00CD0787" w:rsidP="008F660B">
      <w:pPr>
        <w:pStyle w:val="Heading4"/>
        <w:numPr>
          <w:ilvl w:val="3"/>
          <w:numId w:val="84"/>
        </w:numPr>
      </w:pPr>
      <w:r>
        <w:t>any further information or document reasonably required to assess the information in the Labour Standards Report, including in relation to Key Subcontractors; and/or</w:t>
      </w:r>
    </w:p>
    <w:p w14:paraId="72EBFBC0" w14:textId="43225EA8" w:rsidR="00CD0787" w:rsidRDefault="00CD0787" w:rsidP="008F660B">
      <w:pPr>
        <w:pStyle w:val="Heading4"/>
        <w:numPr>
          <w:ilvl w:val="3"/>
          <w:numId w:val="84"/>
        </w:numPr>
      </w:pPr>
      <w:r>
        <w:t>a revised Labour Standards Report; then</w:t>
      </w:r>
    </w:p>
    <w:p w14:paraId="6225F6AD" w14:textId="106B94F2" w:rsidR="00CD0787" w:rsidRDefault="00CD0787" w:rsidP="00CD0787">
      <w:pPr>
        <w:pStyle w:val="Heading4"/>
        <w:numPr>
          <w:ilvl w:val="0"/>
          <w:numId w:val="0"/>
        </w:numPr>
        <w:ind w:left="1474"/>
      </w:pPr>
      <w:r>
        <w:t>Project Operator must provide the further information, document or revised report within [10] Business Days of the Commonwealth’s request.</w:t>
      </w:r>
    </w:p>
    <w:p w14:paraId="6575237C" w14:textId="6A86BE54" w:rsidR="00CD0787" w:rsidRDefault="00CD0787" w:rsidP="008F660B">
      <w:pPr>
        <w:pStyle w:val="Heading3"/>
        <w:numPr>
          <w:ilvl w:val="2"/>
          <w:numId w:val="84"/>
        </w:numPr>
      </w:pPr>
      <w:bookmarkStart w:id="2922" w:name="_Ref206082097"/>
      <w:bookmarkEnd w:id="2920"/>
      <w:bookmarkEnd w:id="2921"/>
      <w:r w:rsidRPr="00EB300E">
        <w:t xml:space="preserve">For the purposes of this </w:t>
      </w:r>
      <w:r>
        <w:t>a</w:t>
      </w:r>
      <w:r w:rsidRPr="00EB300E">
        <w:t>greement</w:t>
      </w:r>
      <w:r w:rsidR="004914DB">
        <w:t xml:space="preserve"> (including clause </w:t>
      </w:r>
      <w:r w:rsidR="004914DB">
        <w:fldChar w:fldCharType="begin"/>
      </w:r>
      <w:r w:rsidR="004914DB">
        <w:instrText xml:space="preserve"> REF _Ref159420790 \r \h </w:instrText>
      </w:r>
      <w:r w:rsidR="004914DB">
        <w:fldChar w:fldCharType="separate"/>
      </w:r>
      <w:r w:rsidR="002E5C6A">
        <w:t>22.3</w:t>
      </w:r>
      <w:r w:rsidR="004914DB">
        <w:fldChar w:fldCharType="end"/>
      </w:r>
      <w:r w:rsidR="00D97A4E">
        <w:t xml:space="preserve"> </w:t>
      </w:r>
      <w:r w:rsidR="004914DB">
        <w:t>(“</w:t>
      </w:r>
      <w:r w:rsidR="004914DB">
        <w:fldChar w:fldCharType="begin"/>
      </w:r>
      <w:r w:rsidR="004914DB">
        <w:instrText xml:space="preserve"> REF _Ref159420790 \h </w:instrText>
      </w:r>
      <w:r w:rsidR="004914DB">
        <w:fldChar w:fldCharType="separate"/>
      </w:r>
      <w:r w:rsidR="002E5C6A" w:rsidRPr="00847C21">
        <w:t>Termination by the Commonwealth for default</w:t>
      </w:r>
      <w:r w:rsidR="004914DB">
        <w:fldChar w:fldCharType="end"/>
      </w:r>
      <w:r w:rsidR="004914DB">
        <w:t>”)</w:t>
      </w:r>
      <w:r w:rsidRPr="00EB300E">
        <w:t xml:space="preserve">, </w:t>
      </w:r>
      <w:r>
        <w:t>it is a material breach if Project Operator fails to:</w:t>
      </w:r>
      <w:bookmarkEnd w:id="2922"/>
      <w:r>
        <w:t xml:space="preserve"> </w:t>
      </w:r>
    </w:p>
    <w:p w14:paraId="59DF47AD" w14:textId="1CDDB225" w:rsidR="00CD0787" w:rsidRDefault="00AA3A0E" w:rsidP="008F660B">
      <w:pPr>
        <w:pStyle w:val="Heading4"/>
        <w:numPr>
          <w:ilvl w:val="3"/>
          <w:numId w:val="84"/>
        </w:numPr>
      </w:pPr>
      <w:r>
        <w:t>p</w:t>
      </w:r>
      <w:r w:rsidR="00CD0787">
        <w:t xml:space="preserve">rovide a Labour Standards Report in accordance with paragraph </w:t>
      </w:r>
      <w:r w:rsidR="006932AE">
        <w:fldChar w:fldCharType="begin"/>
      </w:r>
      <w:r w:rsidR="006932AE">
        <w:instrText xml:space="preserve"> REF _Ref206082160 \r \h </w:instrText>
      </w:r>
      <w:r w:rsidR="006932AE">
        <w:fldChar w:fldCharType="separate"/>
      </w:r>
      <w:r w:rsidR="002E5C6A">
        <w:t>(b)</w:t>
      </w:r>
      <w:r w:rsidR="006932AE">
        <w:fldChar w:fldCharType="end"/>
      </w:r>
      <w:r w:rsidR="006932AE">
        <w:t xml:space="preserve"> </w:t>
      </w:r>
      <w:r w:rsidR="00CD0787">
        <w:t xml:space="preserve">by the relevant due date; or </w:t>
      </w:r>
    </w:p>
    <w:p w14:paraId="65CDACCF" w14:textId="4A069679" w:rsidR="00CD0787" w:rsidRDefault="00AA3A0E" w:rsidP="004914DB">
      <w:pPr>
        <w:pStyle w:val="Heading4"/>
      </w:pPr>
      <w:r>
        <w:t>c</w:t>
      </w:r>
      <w:r w:rsidR="00CD0787">
        <w:t>omply with paragraph</w:t>
      </w:r>
      <w:r w:rsidR="004914DB">
        <w:t xml:space="preserve"> </w:t>
      </w:r>
      <w:r w:rsidR="004914DB">
        <w:fldChar w:fldCharType="begin"/>
      </w:r>
      <w:r w:rsidR="004914DB">
        <w:instrText xml:space="preserve"> REF _Ref206082118 \r \h </w:instrText>
      </w:r>
      <w:r w:rsidR="004914DB">
        <w:fldChar w:fldCharType="separate"/>
      </w:r>
      <w:r w:rsidR="002E5C6A">
        <w:t>(c)</w:t>
      </w:r>
      <w:r w:rsidR="004914DB">
        <w:fldChar w:fldCharType="end"/>
      </w:r>
      <w:r w:rsidR="00CD0787" w:rsidRPr="00EB300E">
        <w:t xml:space="preserve"> </w:t>
      </w:r>
      <w:r w:rsidR="00CD0787">
        <w:t>within the timeframe specified</w:t>
      </w:r>
      <w:r w:rsidR="00CD0787" w:rsidRPr="00EB300E">
        <w:t>.</w:t>
      </w:r>
    </w:p>
    <w:p w14:paraId="39FF1CA1" w14:textId="3803F5F6" w:rsidR="00A41936" w:rsidRDefault="00A41936" w:rsidP="00A41936">
      <w:pPr>
        <w:pStyle w:val="Heading4"/>
        <w:numPr>
          <w:ilvl w:val="0"/>
          <w:numId w:val="0"/>
        </w:numPr>
        <w:ind w:left="1474"/>
      </w:pPr>
      <w:r>
        <w:t xml:space="preserve">Any notice issued by the Commonwealth advising Project Operator that </w:t>
      </w:r>
      <w:r w:rsidR="00AA3A0E">
        <w:t xml:space="preserve">one or both of </w:t>
      </w:r>
      <w:r>
        <w:t xml:space="preserve">paragraphs </w:t>
      </w:r>
      <w:r>
        <w:fldChar w:fldCharType="begin"/>
      </w:r>
      <w:r>
        <w:instrText xml:space="preserve"> REF _Ref206082160 \r \h </w:instrText>
      </w:r>
      <w:r>
        <w:fldChar w:fldCharType="separate"/>
      </w:r>
      <w:r w:rsidR="002E5C6A">
        <w:t>(b)</w:t>
      </w:r>
      <w:r>
        <w:fldChar w:fldCharType="end"/>
      </w:r>
      <w:r>
        <w:t xml:space="preserve"> or </w:t>
      </w:r>
      <w:r>
        <w:fldChar w:fldCharType="begin"/>
      </w:r>
      <w:r>
        <w:instrText xml:space="preserve"> REF _Ref206082118 \r \h </w:instrText>
      </w:r>
      <w:r>
        <w:fldChar w:fldCharType="separate"/>
      </w:r>
      <w:r w:rsidR="002E5C6A">
        <w:t>(c)</w:t>
      </w:r>
      <w:r>
        <w:fldChar w:fldCharType="end"/>
      </w:r>
      <w:r>
        <w:t xml:space="preserve"> </w:t>
      </w:r>
      <w:r w:rsidR="00205DD0">
        <w:t>has</w:t>
      </w:r>
      <w:r>
        <w:t xml:space="preserve"> not been complied with constitutes a Breach Notice for the purpose</w:t>
      </w:r>
      <w:r w:rsidR="00205DD0">
        <w:t>s</w:t>
      </w:r>
      <w:r>
        <w:t xml:space="preserve"> of clause </w:t>
      </w:r>
      <w:r>
        <w:fldChar w:fldCharType="begin"/>
      </w:r>
      <w:r>
        <w:instrText xml:space="preserve"> REF _Ref166078687 \r \h </w:instrText>
      </w:r>
      <w:r>
        <w:fldChar w:fldCharType="separate"/>
      </w:r>
      <w:r w:rsidR="002E5C6A">
        <w:t>22.3(b)</w:t>
      </w:r>
      <w:r>
        <w:fldChar w:fldCharType="end"/>
      </w:r>
      <w:r w:rsidRPr="00EB300E">
        <w:t>.</w:t>
      </w:r>
    </w:p>
    <w:p w14:paraId="1E6B6FCC" w14:textId="67C300B7" w:rsidR="00CD0787" w:rsidRPr="00072FDE" w:rsidRDefault="00CD0787" w:rsidP="008F660B">
      <w:pPr>
        <w:pStyle w:val="Heading3"/>
        <w:numPr>
          <w:ilvl w:val="2"/>
          <w:numId w:val="84"/>
        </w:numPr>
      </w:pPr>
      <w:r>
        <w:t xml:space="preserve">Within [10] Business Days after the Commonwealth notifies Project Operator that it is satisfied with a Labour Standards Report, Project Operator must publish that report in a readily publicly accessible location and keep it publicly available for the Term. </w:t>
      </w:r>
    </w:p>
    <w:p w14:paraId="1D4ABE8E" w14:textId="77777777" w:rsidR="003120B2" w:rsidRDefault="003120B2" w:rsidP="003120B2">
      <w:pPr>
        <w:pStyle w:val="Heading2"/>
      </w:pPr>
      <w:bookmarkStart w:id="2923" w:name="_Toc207309617"/>
      <w:r>
        <w:t>Correction of incorrect or misleading information</w:t>
      </w:r>
      <w:bookmarkEnd w:id="2923"/>
    </w:p>
    <w:p w14:paraId="577D08DA" w14:textId="77777777" w:rsidR="003120B2" w:rsidRDefault="003120B2" w:rsidP="003120B2">
      <w:pPr>
        <w:pStyle w:val="Indent2"/>
      </w:pPr>
      <w:r>
        <w:t>If Project Operator becomes aware that any:</w:t>
      </w:r>
    </w:p>
    <w:p w14:paraId="72C98708" w14:textId="0EF17EF0" w:rsidR="003120B2" w:rsidRDefault="003120B2" w:rsidP="003120B2">
      <w:pPr>
        <w:pStyle w:val="Heading3"/>
      </w:pPr>
      <w:r>
        <w:t xml:space="preserve">information provided (including any reporting information provided under this clause </w:t>
      </w:r>
      <w:r>
        <w:fldChar w:fldCharType="begin"/>
      </w:r>
      <w:r>
        <w:instrText xml:space="preserve"> REF _Ref160875595 \r \h </w:instrText>
      </w:r>
      <w:r>
        <w:fldChar w:fldCharType="separate"/>
      </w:r>
      <w:r w:rsidR="002E5C6A">
        <w:t>12</w:t>
      </w:r>
      <w:r>
        <w:fldChar w:fldCharType="end"/>
      </w:r>
      <w:r>
        <w:t>; or</w:t>
      </w:r>
    </w:p>
    <w:p w14:paraId="384E3711" w14:textId="77777777" w:rsidR="003120B2" w:rsidRDefault="003120B2" w:rsidP="003120B2">
      <w:pPr>
        <w:pStyle w:val="Heading3"/>
      </w:pPr>
      <w:r>
        <w:t>express representation made,</w:t>
      </w:r>
    </w:p>
    <w:p w14:paraId="2BA35614" w14:textId="2B5CB424" w:rsidR="003120B2" w:rsidRDefault="003120B2" w:rsidP="00D9202B">
      <w:pPr>
        <w:pStyle w:val="Heading3"/>
        <w:keepNext/>
        <w:numPr>
          <w:ilvl w:val="0"/>
          <w:numId w:val="0"/>
        </w:numPr>
        <w:ind w:left="737"/>
      </w:pPr>
      <w:r>
        <w:t xml:space="preserve">by or on its behalf under or in relation to the performance of this agreement before or during the Term, or after the end of the Term pursuant to clause </w:t>
      </w:r>
      <w:r>
        <w:fldChar w:fldCharType="begin"/>
      </w:r>
      <w:r>
        <w:instrText xml:space="preserve"> REF _Ref151264050 \r \h </w:instrText>
      </w:r>
      <w:r>
        <w:fldChar w:fldCharType="separate"/>
      </w:r>
      <w:r w:rsidR="002E5C6A">
        <w:t>32</w:t>
      </w:r>
      <w:r>
        <w:fldChar w:fldCharType="end"/>
      </w:r>
      <w:r>
        <w:t xml:space="preserve"> (“</w:t>
      </w:r>
      <w:r>
        <w:fldChar w:fldCharType="begin"/>
      </w:r>
      <w:r>
        <w:instrText xml:space="preserve"> REF _Ref151264050 \h </w:instrText>
      </w:r>
      <w:r>
        <w:fldChar w:fldCharType="separate"/>
      </w:r>
      <w:r w:rsidR="002E5C6A">
        <w:t>Access, records and reporting</w:t>
      </w:r>
      <w:r>
        <w:fldChar w:fldCharType="end"/>
      </w:r>
      <w:r>
        <w:t>”), is incorrect or misleading in any material, it must promptly:</w:t>
      </w:r>
    </w:p>
    <w:p w14:paraId="3429FB02" w14:textId="5F8CD634" w:rsidR="003120B2" w:rsidRDefault="003120B2" w:rsidP="003120B2">
      <w:pPr>
        <w:pStyle w:val="Heading3"/>
      </w:pPr>
      <w:r>
        <w:t>inform the Commonwealth of that incorrect or misleading information or representation; and</w:t>
      </w:r>
    </w:p>
    <w:p w14:paraId="3AB25BC1" w14:textId="57EC83F8" w:rsidR="00AD743A" w:rsidRDefault="003120B2" w:rsidP="003120B2">
      <w:pPr>
        <w:pStyle w:val="Heading3"/>
      </w:pPr>
      <w:r>
        <w:t>Provide to the Commonwealth a correction of that information and/or representation (as relevant) and any further information that the Commonwealth may require.</w:t>
      </w:r>
    </w:p>
    <w:p w14:paraId="1E8E6F99" w14:textId="77777777" w:rsidR="00E85859" w:rsidRPr="004E15F6" w:rsidRDefault="00E85859" w:rsidP="00E85859">
      <w:pPr>
        <w:pStyle w:val="Heading2"/>
      </w:pPr>
      <w:bookmarkStart w:id="2924" w:name="_Ref195105789"/>
      <w:bookmarkStart w:id="2925" w:name="_Toc196834440"/>
      <w:bookmarkStart w:id="2926" w:name="_Toc207309618"/>
      <w:r>
        <w:t>[Provision of further information for [Hybrid/Staged] Project</w:t>
      </w:r>
      <w:bookmarkEnd w:id="2924"/>
      <w:bookmarkEnd w:id="2925"/>
      <w:bookmarkEnd w:id="2926"/>
    </w:p>
    <w:p w14:paraId="595BF2EF" w14:textId="2D1FA0A3" w:rsidR="00E85859" w:rsidRPr="0011424A" w:rsidRDefault="00E85859" w:rsidP="00E85859">
      <w:pPr>
        <w:pStyle w:val="Indent2"/>
      </w:pPr>
      <w:r w:rsidRPr="0011424A">
        <w:t>If Project Operator provides information under clause</w:t>
      </w:r>
      <w:r>
        <w:t xml:space="preserve"> </w:t>
      </w:r>
      <w:r>
        <w:fldChar w:fldCharType="begin"/>
      </w:r>
      <w:r>
        <w:instrText xml:space="preserve"> REF _Ref160875595 \r \h </w:instrText>
      </w:r>
      <w:r>
        <w:fldChar w:fldCharType="separate"/>
      </w:r>
      <w:r w:rsidR="002E5C6A">
        <w:t>12</w:t>
      </w:r>
      <w:r>
        <w:fldChar w:fldCharType="end"/>
      </w:r>
      <w:r>
        <w:t xml:space="preserve"> (“</w:t>
      </w:r>
      <w:r>
        <w:fldChar w:fldCharType="begin"/>
      </w:r>
      <w:r>
        <w:instrText xml:space="preserve"> REF _Ref160875595 \h </w:instrText>
      </w:r>
      <w:r>
        <w:fldChar w:fldCharType="separate"/>
      </w:r>
      <w:r w:rsidR="002E5C6A" w:rsidRPr="00F06646">
        <w:t>Reporting</w:t>
      </w:r>
      <w:r>
        <w:fldChar w:fldCharType="end"/>
      </w:r>
      <w:r>
        <w:t>”)</w:t>
      </w:r>
      <w:r w:rsidRPr="0011424A">
        <w:t xml:space="preserve"> which relates generally to the Project or the [Hybrid/Staged] Project, then:</w:t>
      </w:r>
    </w:p>
    <w:p w14:paraId="37839710" w14:textId="77777777" w:rsidR="00E85859" w:rsidRPr="0011424A" w:rsidRDefault="00E85859" w:rsidP="00E85859">
      <w:pPr>
        <w:pStyle w:val="Heading3"/>
      </w:pPr>
      <w:r w:rsidRPr="0011424A">
        <w:t>the Commonwealth may request that Project Operator provide reasonable details and evidence specific to each of the Project or the [Associated/Existing] Project; and</w:t>
      </w:r>
    </w:p>
    <w:p w14:paraId="4E470B4A" w14:textId="77777777" w:rsidR="00E85859" w:rsidRPr="0011424A" w:rsidRDefault="00E85859" w:rsidP="00E85859">
      <w:pPr>
        <w:pStyle w:val="Heading3"/>
      </w:pPr>
      <w:r w:rsidRPr="0011424A">
        <w:t>Project Operator must promptly provide the additional details requested by the Commonwealth.]</w:t>
      </w:r>
    </w:p>
    <w:p w14:paraId="747D9148" w14:textId="25A58671" w:rsidR="00E85859" w:rsidRPr="00414071" w:rsidRDefault="00E85859" w:rsidP="00D315FD">
      <w:pPr>
        <w:ind w:left="737"/>
      </w:pPr>
      <w:r w:rsidRPr="0011424A">
        <w:t>[</w:t>
      </w:r>
      <w:r w:rsidRPr="0011424A">
        <w:rPr>
          <w:b/>
          <w:bCs/>
          <w:i/>
          <w:iCs/>
          <w:highlight w:val="lightGray"/>
        </w:rPr>
        <w:t xml:space="preserve">Note: clause </w:t>
      </w:r>
      <w:r>
        <w:rPr>
          <w:b/>
          <w:bCs/>
          <w:i/>
          <w:iCs/>
          <w:highlight w:val="lightGray"/>
        </w:rPr>
        <w:fldChar w:fldCharType="begin"/>
      </w:r>
      <w:r>
        <w:rPr>
          <w:b/>
          <w:bCs/>
          <w:i/>
          <w:iCs/>
          <w:highlight w:val="lightGray"/>
        </w:rPr>
        <w:instrText xml:space="preserve"> REF _Ref195105789 \n \h </w:instrText>
      </w:r>
      <w:r>
        <w:rPr>
          <w:b/>
          <w:bCs/>
          <w:i/>
          <w:iCs/>
          <w:highlight w:val="lightGray"/>
        </w:rPr>
      </w:r>
      <w:r>
        <w:rPr>
          <w:b/>
          <w:bCs/>
          <w:i/>
          <w:iCs/>
          <w:highlight w:val="lightGray"/>
        </w:rPr>
        <w:fldChar w:fldCharType="separate"/>
      </w:r>
      <w:r w:rsidR="002E5C6A">
        <w:rPr>
          <w:b/>
          <w:bCs/>
          <w:i/>
          <w:iCs/>
          <w:highlight w:val="lightGray"/>
        </w:rPr>
        <w:t>12.8</w:t>
      </w:r>
      <w:r>
        <w:rPr>
          <w:b/>
          <w:bCs/>
          <w:i/>
          <w:iCs/>
          <w:highlight w:val="lightGray"/>
        </w:rPr>
        <w:fldChar w:fldCharType="end"/>
      </w:r>
      <w:r w:rsidRPr="0011424A">
        <w:rPr>
          <w:b/>
          <w:bCs/>
          <w:i/>
          <w:iCs/>
          <w:highlight w:val="lightGray"/>
        </w:rPr>
        <w:t xml:space="preserve"> is to be included for all Hybrid Projects and Staged Projects (as applicable).</w:t>
      </w:r>
      <w:r w:rsidRPr="0011424A">
        <w:t>]</w:t>
      </w:r>
    </w:p>
    <w:p w14:paraId="2C38ADAD" w14:textId="77777777" w:rsidR="0097438F" w:rsidRDefault="2C388DF0" w:rsidP="0058045D">
      <w:pPr>
        <w:pStyle w:val="Heading1"/>
      </w:pPr>
      <w:bookmarkStart w:id="2927" w:name="_Toc107865853"/>
      <w:bookmarkStart w:id="2928" w:name="_Ref107925619"/>
      <w:bookmarkStart w:id="2929" w:name="_Ref107939566"/>
      <w:bookmarkStart w:id="2930" w:name="_Ref107939571"/>
      <w:bookmarkStart w:id="2931" w:name="_Ref107939602"/>
      <w:bookmarkStart w:id="2932" w:name="_Ref107939608"/>
      <w:bookmarkStart w:id="2933" w:name="_Ref108020780"/>
      <w:bookmarkStart w:id="2934" w:name="_Ref166078583"/>
      <w:bookmarkStart w:id="2935" w:name="_Toc207309619"/>
      <w:bookmarkStart w:id="2936" w:name="_Hlk108090944"/>
      <w:bookmarkEnd w:id="2907"/>
      <w:r>
        <w:t>Knowledge sharing</w:t>
      </w:r>
      <w:bookmarkEnd w:id="2927"/>
      <w:bookmarkEnd w:id="2928"/>
      <w:bookmarkEnd w:id="2929"/>
      <w:bookmarkEnd w:id="2930"/>
      <w:bookmarkEnd w:id="2931"/>
      <w:bookmarkEnd w:id="2932"/>
      <w:bookmarkEnd w:id="2933"/>
      <w:bookmarkEnd w:id="2934"/>
      <w:bookmarkEnd w:id="2935"/>
    </w:p>
    <w:p w14:paraId="156B943A" w14:textId="36ECB06C" w:rsidR="009669A8" w:rsidRDefault="00411B14" w:rsidP="0058045D">
      <w:pPr>
        <w:pStyle w:val="Heading3"/>
      </w:pPr>
      <w:bookmarkStart w:id="2937" w:name="_Ref107927872"/>
      <w:r w:rsidRPr="2C388DF0">
        <w:t>Project Operator</w:t>
      </w:r>
      <w:r w:rsidR="009669A8" w:rsidRPr="2C388DF0">
        <w:t xml:space="preserve"> must </w:t>
      </w:r>
      <w:r w:rsidR="005D13E4" w:rsidRPr="2C388DF0">
        <w:t>provide</w:t>
      </w:r>
      <w:r w:rsidR="009669A8" w:rsidRPr="2C388DF0">
        <w:t xml:space="preserve"> the Knowledge Sharing Deliverables to </w:t>
      </w:r>
      <w:r w:rsidR="00BE77D6" w:rsidRPr="2C388DF0">
        <w:t>the Commonwealth</w:t>
      </w:r>
      <w:r w:rsidR="009669A8" w:rsidRPr="2C388DF0">
        <w:t xml:space="preserve"> in accordance with </w:t>
      </w:r>
      <w:bookmarkEnd w:id="2937"/>
      <w:r w:rsidR="009669A8">
        <w:rPr>
          <w:szCs w:val="18"/>
        </w:rPr>
        <w:fldChar w:fldCharType="begin"/>
      </w:r>
      <w:r w:rsidR="009669A8">
        <w:rPr>
          <w:szCs w:val="18"/>
        </w:rPr>
        <w:instrText xml:space="preserve"> REF _Ref108020757 \r \h </w:instrText>
      </w:r>
      <w:r w:rsidR="009669A8">
        <w:rPr>
          <w:szCs w:val="18"/>
        </w:rPr>
      </w:r>
      <w:r w:rsidR="009669A8">
        <w:rPr>
          <w:szCs w:val="18"/>
        </w:rPr>
        <w:fldChar w:fldCharType="separate"/>
      </w:r>
      <w:r w:rsidR="002E5C6A">
        <w:rPr>
          <w:szCs w:val="18"/>
        </w:rPr>
        <w:t>Schedule 4</w:t>
      </w:r>
      <w:r w:rsidR="009669A8">
        <w:rPr>
          <w:szCs w:val="18"/>
        </w:rPr>
        <w:fldChar w:fldCharType="end"/>
      </w:r>
      <w:r w:rsidR="009669A8">
        <w:rPr>
          <w:szCs w:val="18"/>
        </w:rPr>
        <w:t xml:space="preserve"> </w:t>
      </w:r>
      <w:r w:rsidR="009669A8">
        <w:t>(“</w:t>
      </w:r>
      <w:r w:rsidR="009669A8">
        <w:fldChar w:fldCharType="begin"/>
      </w:r>
      <w:r w:rsidR="009669A8">
        <w:instrText xml:space="preserve"> REF _Ref108020757 \h </w:instrText>
      </w:r>
      <w:r w:rsidR="009669A8">
        <w:fldChar w:fldCharType="separate"/>
      </w:r>
      <w:r w:rsidR="002E5C6A">
        <w:t>Knowledge Sharing Plan</w:t>
      </w:r>
      <w:r w:rsidR="009669A8">
        <w:fldChar w:fldCharType="end"/>
      </w:r>
      <w:r w:rsidR="009669A8">
        <w:t>”).</w:t>
      </w:r>
    </w:p>
    <w:p w14:paraId="5B222865" w14:textId="77777777" w:rsidR="009669A8" w:rsidRDefault="2C388DF0" w:rsidP="0058045D">
      <w:pPr>
        <w:pStyle w:val="Heading3"/>
      </w:pPr>
      <w:r>
        <w:t xml:space="preserve">If Project Operator receives funding for the Project from the Australian Renewable Energy Agency or another Commonwealth Entity, then the Commonwealth will act reasonably in agreeing any amendments to the Knowledge Sharing Deliverables to align with any equivalent obligation on Project Operator to provide knowledge sharing deliverables to those Government Authorities. </w:t>
      </w:r>
    </w:p>
    <w:p w14:paraId="487494CA" w14:textId="6E45A746" w:rsidR="0097438F" w:rsidRPr="00C26CD7" w:rsidRDefault="2C388DF0" w:rsidP="0058045D">
      <w:pPr>
        <w:pStyle w:val="Heading3"/>
      </w:pPr>
      <w:bookmarkStart w:id="2938" w:name="_Ref107925607"/>
      <w:r>
        <w:t xml:space="preserve">Project Operator must, acting reasonably and in good faith, categorise the Knowledge Sharing Deliverables </w:t>
      </w:r>
      <w:r w:rsidR="00905625">
        <w:t xml:space="preserve">that </w:t>
      </w:r>
      <w:r>
        <w:t xml:space="preserve">it provides to the Commonwealth pursuant to this clause </w:t>
      </w:r>
      <w:r w:rsidR="00411B14">
        <w:fldChar w:fldCharType="begin"/>
      </w:r>
      <w:r w:rsidR="00411B14">
        <w:instrText xml:space="preserve"> REF _Ref108020780 \r \h  \* MERGEFORMAT </w:instrText>
      </w:r>
      <w:r w:rsidR="00411B14">
        <w:fldChar w:fldCharType="separate"/>
      </w:r>
      <w:r w:rsidR="002E5C6A">
        <w:t>13</w:t>
      </w:r>
      <w:r w:rsidR="00411B14">
        <w:fldChar w:fldCharType="end"/>
      </w:r>
      <w:r>
        <w:t xml:space="preserve"> as follows:</w:t>
      </w:r>
      <w:bookmarkEnd w:id="2938"/>
    </w:p>
    <w:p w14:paraId="3B7CEB04" w14:textId="4E6D7218" w:rsidR="0097438F" w:rsidRPr="00C26CD7" w:rsidRDefault="2C388DF0" w:rsidP="0058045D">
      <w:pPr>
        <w:pStyle w:val="Heading4"/>
      </w:pPr>
      <w:r w:rsidRPr="2C388DF0">
        <w:rPr>
          <w:b/>
          <w:bCs/>
        </w:rPr>
        <w:t>public information</w:t>
      </w:r>
      <w:r>
        <w:t xml:space="preserve">: </w:t>
      </w:r>
      <w:r w:rsidR="00905625">
        <w:t xml:space="preserve">being </w:t>
      </w:r>
      <w:r>
        <w:t>information that may be shared freely within the Commonwealth, with industry participants and with the public in general; or</w:t>
      </w:r>
    </w:p>
    <w:p w14:paraId="4250C5EE" w14:textId="4D00EC74" w:rsidR="00F65B81" w:rsidRDefault="2C388DF0" w:rsidP="0058045D">
      <w:pPr>
        <w:pStyle w:val="Heading4"/>
      </w:pPr>
      <w:r w:rsidRPr="2C388DF0">
        <w:rPr>
          <w:b/>
          <w:bCs/>
        </w:rPr>
        <w:t>confidential information</w:t>
      </w:r>
      <w:r>
        <w:t xml:space="preserve">: </w:t>
      </w:r>
      <w:r w:rsidR="00905625">
        <w:t xml:space="preserve">being </w:t>
      </w:r>
      <w:r>
        <w:t xml:space="preserve">information that may only be shared in accordance with paragraph </w:t>
      </w:r>
      <w:r w:rsidR="00B22AA9">
        <w:fldChar w:fldCharType="begin"/>
      </w:r>
      <w:r w:rsidR="00B22AA9">
        <w:instrText xml:space="preserve"> REF _Ref107924174 \n \h </w:instrText>
      </w:r>
      <w:r w:rsidR="00B22AA9">
        <w:fldChar w:fldCharType="separate"/>
      </w:r>
      <w:r w:rsidR="002E5C6A">
        <w:t>(d)</w:t>
      </w:r>
      <w:r w:rsidR="00B22AA9">
        <w:fldChar w:fldCharType="end"/>
      </w:r>
      <w:r>
        <w:t xml:space="preserve"> or clause </w:t>
      </w:r>
      <w:r w:rsidR="00B22AA9">
        <w:fldChar w:fldCharType="begin"/>
      </w:r>
      <w:r w:rsidR="00B22AA9">
        <w:instrText xml:space="preserve"> REF _Ref492506863 \r \h </w:instrText>
      </w:r>
      <w:r w:rsidR="00B22AA9">
        <w:fldChar w:fldCharType="separate"/>
      </w:r>
      <w:r w:rsidR="002E5C6A">
        <w:t>31</w:t>
      </w:r>
      <w:r w:rsidR="00B22AA9">
        <w:fldChar w:fldCharType="end"/>
      </w:r>
      <w:r>
        <w:t xml:space="preserve"> (“</w:t>
      </w:r>
      <w:r w:rsidR="00B22AA9">
        <w:fldChar w:fldCharType="begin"/>
      </w:r>
      <w:r w:rsidR="00B22AA9">
        <w:instrText xml:space="preserve"> REF _Ref492506863 \h </w:instrText>
      </w:r>
      <w:r w:rsidR="00B22AA9">
        <w:fldChar w:fldCharType="separate"/>
      </w:r>
      <w:r w:rsidR="002E5C6A">
        <w:t>Confidentiality</w:t>
      </w:r>
      <w:r w:rsidR="00B22AA9">
        <w:fldChar w:fldCharType="end"/>
      </w:r>
      <w:r>
        <w:t>”).</w:t>
      </w:r>
    </w:p>
    <w:p w14:paraId="2FC60E42" w14:textId="0905C2E0" w:rsidR="0097438F" w:rsidRDefault="2C388DF0" w:rsidP="0058045D">
      <w:pPr>
        <w:pStyle w:val="Heading3"/>
      </w:pPr>
      <w:bookmarkStart w:id="2939" w:name="_Ref107924174"/>
      <w:r>
        <w:t xml:space="preserve">The Commonwealth may disclose information received pursuant to this clause </w:t>
      </w:r>
      <w:r w:rsidR="00C26CD7">
        <w:fldChar w:fldCharType="begin"/>
      </w:r>
      <w:r w:rsidR="00C26CD7">
        <w:instrText xml:space="preserve"> REF _Ref107939566 \n \h </w:instrText>
      </w:r>
      <w:r w:rsidR="00C26CD7">
        <w:fldChar w:fldCharType="separate"/>
      </w:r>
      <w:r w:rsidR="002E5C6A">
        <w:t>13</w:t>
      </w:r>
      <w:r w:rsidR="00C26CD7">
        <w:fldChar w:fldCharType="end"/>
      </w:r>
      <w:r>
        <w:t xml:space="preserve"> that is marked by Project Operator as ‘confidential information’ to the public on an aggregated and anonymised basis.</w:t>
      </w:r>
      <w:bookmarkEnd w:id="2939"/>
      <w:r>
        <w:t xml:space="preserve"> </w:t>
      </w:r>
    </w:p>
    <w:p w14:paraId="5C1DC8CD" w14:textId="62A7BE87" w:rsidR="00F65B81" w:rsidRDefault="2C388DF0" w:rsidP="0058045D">
      <w:pPr>
        <w:pStyle w:val="Heading3"/>
      </w:pPr>
      <w:r>
        <w:t>Whe</w:t>
      </w:r>
      <w:r w:rsidR="00905625">
        <w:t>n</w:t>
      </w:r>
      <w:r>
        <w:t xml:space="preserve"> Project Operator submits a Knowledge Sharing Deliverable to the Commonwealth, </w:t>
      </w:r>
      <w:bookmarkStart w:id="2940" w:name="_Ref164687869"/>
      <w:r>
        <w:t xml:space="preserve">the Commonwealth (acting reasonably) will notify Project Operator within a reasonable period of receipt of the Knowledge Sharing Deliverable as to whether or not it approves the Knowledge Sharing Deliverable for the purposes of this agreement. </w:t>
      </w:r>
      <w:bookmarkEnd w:id="2940"/>
    </w:p>
    <w:p w14:paraId="469E4809" w14:textId="2A5544D0" w:rsidR="00905625" w:rsidRDefault="00905625" w:rsidP="0058045D">
      <w:pPr>
        <w:pStyle w:val="Heading3"/>
      </w:pPr>
      <w:bookmarkStart w:id="2941" w:name="_Ref164687912"/>
      <w:r>
        <w:t xml:space="preserve">If </w:t>
      </w:r>
      <w:r w:rsidR="2C388DF0">
        <w:t>the Commonwealth notifies Project Operator under paragraph</w:t>
      </w:r>
      <w:r>
        <w:t> </w:t>
      </w:r>
      <w:r w:rsidR="009C3974">
        <w:fldChar w:fldCharType="begin"/>
      </w:r>
      <w:r w:rsidR="009C3974">
        <w:instrText xml:space="preserve"> REF _Ref164687869 \n \h </w:instrText>
      </w:r>
      <w:r w:rsidR="009C3974">
        <w:fldChar w:fldCharType="separate"/>
      </w:r>
      <w:r w:rsidR="002E5C6A">
        <w:t>(e)</w:t>
      </w:r>
      <w:r w:rsidR="009C3974">
        <w:fldChar w:fldCharType="end"/>
      </w:r>
      <w:r w:rsidR="2C388DF0">
        <w:t xml:space="preserve"> that it does not approve the Knowledge Sharing Deliverable, the Commonwealth must, at the same time, notify Project Operator of</w:t>
      </w:r>
      <w:r>
        <w:t>:</w:t>
      </w:r>
      <w:r w:rsidR="2C388DF0">
        <w:t xml:space="preserve"> </w:t>
      </w:r>
    </w:p>
    <w:p w14:paraId="1A3ECE17" w14:textId="023F9F54" w:rsidR="00905625" w:rsidRDefault="2C388DF0" w:rsidP="00905625">
      <w:pPr>
        <w:pStyle w:val="Heading4"/>
      </w:pPr>
      <w:r>
        <w:t xml:space="preserve">such further information or updates to the deliverable </w:t>
      </w:r>
      <w:r w:rsidR="00905625">
        <w:t xml:space="preserve">as </w:t>
      </w:r>
      <w:r>
        <w:t>the Commonwealth reasonably considers are required in order for the deliverable to meet the requirements of this agreement and/or the Knowledge Sharing Plan</w:t>
      </w:r>
      <w:r w:rsidR="00905625">
        <w:t>;</w:t>
      </w:r>
      <w:r>
        <w:t xml:space="preserve"> and </w:t>
      </w:r>
    </w:p>
    <w:p w14:paraId="6BE4D678" w14:textId="0F6D1686" w:rsidR="00905625" w:rsidRDefault="2C388DF0" w:rsidP="00905625">
      <w:pPr>
        <w:pStyle w:val="Heading4"/>
      </w:pPr>
      <w:r>
        <w:t>a reasonable timeframe within which Project Operator must resubmit that Knowledge Sharing Deliverable</w:t>
      </w:r>
      <w:r w:rsidR="00905625">
        <w:t>,</w:t>
      </w:r>
      <w:r>
        <w:t xml:space="preserve"> </w:t>
      </w:r>
    </w:p>
    <w:p w14:paraId="6D68F349" w14:textId="6BAA4783" w:rsidR="00A12940" w:rsidRDefault="00905625" w:rsidP="00905625">
      <w:pPr>
        <w:pStyle w:val="Heading4"/>
        <w:numPr>
          <w:ilvl w:val="0"/>
          <w:numId w:val="0"/>
        </w:numPr>
        <w:ind w:left="1474"/>
      </w:pPr>
      <w:r>
        <w:t xml:space="preserve">and, if </w:t>
      </w:r>
      <w:r w:rsidR="2C388DF0">
        <w:t>Project Operator fails to resubmit that further information or updated Knowledge Sharing Deliverable within that timeframe</w:t>
      </w:r>
      <w:r w:rsidR="004A6E07">
        <w:t xml:space="preserve"> or the updated Knowledge Sharing Deliverable is not approved for the purposes of this agreement</w:t>
      </w:r>
      <w:r w:rsidR="2C388DF0">
        <w:t xml:space="preserve">, that failure will be deemed to be a failure to comply with </w:t>
      </w:r>
      <w:r w:rsidR="00B32DA3">
        <w:t xml:space="preserve">this </w:t>
      </w:r>
      <w:r w:rsidR="2C388DF0">
        <w:t xml:space="preserve">clause </w:t>
      </w:r>
      <w:r w:rsidR="009C3974">
        <w:fldChar w:fldCharType="begin"/>
      </w:r>
      <w:r w:rsidR="009C3974">
        <w:instrText xml:space="preserve"> REF _Ref166078583 \r \h  \* MERGEFORMAT </w:instrText>
      </w:r>
      <w:r w:rsidR="009C3974">
        <w:fldChar w:fldCharType="separate"/>
      </w:r>
      <w:r w:rsidR="002E5C6A">
        <w:t>13</w:t>
      </w:r>
      <w:r w:rsidR="009C3974">
        <w:fldChar w:fldCharType="end"/>
      </w:r>
      <w:r w:rsidR="2C388DF0">
        <w:t xml:space="preserve"> in a material respect and clause </w:t>
      </w:r>
      <w:r w:rsidR="009C3974">
        <w:fldChar w:fldCharType="begin"/>
      </w:r>
      <w:r w:rsidR="009C3974">
        <w:instrText xml:space="preserve"> REF _Ref166078687 \w \h  \* MERGEFORMAT </w:instrText>
      </w:r>
      <w:r w:rsidR="009C3974">
        <w:fldChar w:fldCharType="separate"/>
      </w:r>
      <w:r w:rsidR="002E5C6A">
        <w:t>22.3(b)</w:t>
      </w:r>
      <w:r w:rsidR="009C3974">
        <w:fldChar w:fldCharType="end"/>
      </w:r>
      <w:r w:rsidR="2C388DF0">
        <w:t xml:space="preserve"> (“</w:t>
      </w:r>
      <w:r w:rsidR="009C3974">
        <w:fldChar w:fldCharType="begin"/>
      </w:r>
      <w:r w:rsidR="009C3974">
        <w:instrText xml:space="preserve"> REF _Ref159420790 \h </w:instrText>
      </w:r>
      <w:r w:rsidR="009C3974">
        <w:fldChar w:fldCharType="separate"/>
      </w:r>
      <w:r w:rsidR="002E5C6A" w:rsidRPr="00847C21">
        <w:t>Termination by the Commonwealth for default</w:t>
      </w:r>
      <w:r w:rsidR="009C3974">
        <w:fldChar w:fldCharType="end"/>
      </w:r>
      <w:r w:rsidR="2C388DF0">
        <w:t>”) will apply to that failure.</w:t>
      </w:r>
    </w:p>
    <w:p w14:paraId="7A215B0A" w14:textId="02BE3F77" w:rsidR="00F65B81" w:rsidRDefault="00AD743A" w:rsidP="0058045D">
      <w:pPr>
        <w:pStyle w:val="Heading3"/>
      </w:pPr>
      <w:r w:rsidRPr="00847C21">
        <w:t>I</w:t>
      </w:r>
      <w:r w:rsidR="2C388DF0" w:rsidRPr="00847C21">
        <w:t xml:space="preserve">t will be unreasonable for the Commonwealth to reject a Knowledge Sharing Deliverable, further information provided by Project Operator to the Commonwealth pursuant to this clause </w:t>
      </w:r>
      <w:r w:rsidR="003D4825" w:rsidRPr="00847C21">
        <w:fldChar w:fldCharType="begin"/>
      </w:r>
      <w:r w:rsidR="003D4825" w:rsidRPr="00847C21">
        <w:instrText xml:space="preserve"> REF _Ref166078583 \r \h  \* MERGEFORMAT </w:instrText>
      </w:r>
      <w:r w:rsidR="003D4825" w:rsidRPr="00847C21">
        <w:fldChar w:fldCharType="separate"/>
      </w:r>
      <w:r w:rsidR="002E5C6A">
        <w:t>13</w:t>
      </w:r>
      <w:r w:rsidR="003D4825" w:rsidRPr="00847C21">
        <w:fldChar w:fldCharType="end"/>
      </w:r>
      <w:r w:rsidR="2C388DF0" w:rsidRPr="00847C21">
        <w:t xml:space="preserve"> or any updated Knowledge Sharing Deliverable </w:t>
      </w:r>
      <w:r w:rsidR="00905625" w:rsidRPr="00847C21">
        <w:t xml:space="preserve">if that item </w:t>
      </w:r>
      <w:r w:rsidRPr="00847C21">
        <w:t xml:space="preserve">fully </w:t>
      </w:r>
      <w:r w:rsidR="2C388DF0" w:rsidRPr="00847C21">
        <w:t>complies with the Knowledge Sharing Plan and this agreement</w:t>
      </w:r>
      <w:r w:rsidR="2C388DF0">
        <w:t>.</w:t>
      </w:r>
      <w:bookmarkEnd w:id="2941"/>
    </w:p>
    <w:p w14:paraId="6CAE9906" w14:textId="529AE97F" w:rsidR="000F38FD" w:rsidRDefault="005A721A" w:rsidP="0058045D">
      <w:pPr>
        <w:pStyle w:val="Heading1"/>
      </w:pPr>
      <w:bookmarkStart w:id="2942" w:name="_Toc108020926"/>
      <w:bookmarkStart w:id="2943" w:name="_Toc108089302"/>
      <w:bookmarkStart w:id="2944" w:name="_Toc108098027"/>
      <w:bookmarkStart w:id="2945" w:name="_Toc108425423"/>
      <w:bookmarkStart w:id="2946" w:name="_Toc108020927"/>
      <w:bookmarkStart w:id="2947" w:name="_Toc108089303"/>
      <w:bookmarkStart w:id="2948" w:name="_Toc108098028"/>
      <w:bookmarkStart w:id="2949" w:name="_Toc108425424"/>
      <w:bookmarkStart w:id="2950" w:name="_Toc108020928"/>
      <w:bookmarkStart w:id="2951" w:name="_Toc108089304"/>
      <w:bookmarkStart w:id="2952" w:name="_Toc108098029"/>
      <w:bookmarkStart w:id="2953" w:name="_Toc108425425"/>
      <w:bookmarkStart w:id="2954" w:name="_Toc108020929"/>
      <w:bookmarkStart w:id="2955" w:name="_Toc108089305"/>
      <w:bookmarkStart w:id="2956" w:name="_Toc108098030"/>
      <w:bookmarkStart w:id="2957" w:name="_Toc108425426"/>
      <w:bookmarkStart w:id="2958" w:name="_Toc108020930"/>
      <w:bookmarkStart w:id="2959" w:name="_Toc108089306"/>
      <w:bookmarkStart w:id="2960" w:name="_Toc108098031"/>
      <w:bookmarkStart w:id="2961" w:name="_Toc108425427"/>
      <w:bookmarkStart w:id="2962" w:name="_Toc108020931"/>
      <w:bookmarkStart w:id="2963" w:name="_Toc108089307"/>
      <w:bookmarkStart w:id="2964" w:name="_Toc108098032"/>
      <w:bookmarkStart w:id="2965" w:name="_Toc108425428"/>
      <w:bookmarkStart w:id="2966" w:name="_Toc108020932"/>
      <w:bookmarkStart w:id="2967" w:name="_Toc108089308"/>
      <w:bookmarkStart w:id="2968" w:name="_Toc108098033"/>
      <w:bookmarkStart w:id="2969" w:name="_Toc108425429"/>
      <w:bookmarkStart w:id="2970" w:name="_Toc108020933"/>
      <w:bookmarkStart w:id="2971" w:name="_Toc108089309"/>
      <w:bookmarkStart w:id="2972" w:name="_Toc108098034"/>
      <w:bookmarkStart w:id="2973" w:name="_Toc108425430"/>
      <w:bookmarkStart w:id="2974" w:name="_Toc159511758"/>
      <w:bookmarkStart w:id="2975" w:name="_Toc163496157"/>
      <w:bookmarkStart w:id="2976" w:name="_Toc163496158"/>
      <w:bookmarkStart w:id="2977" w:name="_Toc163496159"/>
      <w:bookmarkStart w:id="2978" w:name="_Toc163496160"/>
      <w:bookmarkStart w:id="2979" w:name="_Toc163496161"/>
      <w:bookmarkStart w:id="2980" w:name="_Toc163496162"/>
      <w:bookmarkStart w:id="2981" w:name="_Toc163496163"/>
      <w:bookmarkStart w:id="2982" w:name="_Toc163496164"/>
      <w:bookmarkStart w:id="2983" w:name="_Toc163496165"/>
      <w:bookmarkStart w:id="2984" w:name="_Toc163496166"/>
      <w:bookmarkStart w:id="2985" w:name="_Toc163496167"/>
      <w:bookmarkStart w:id="2986" w:name="_Toc163496168"/>
      <w:bookmarkStart w:id="2987" w:name="_Failure_to_satisfy"/>
      <w:bookmarkStart w:id="2988" w:name="_Toc163496169"/>
      <w:bookmarkStart w:id="2989" w:name="_Toc163496170"/>
      <w:bookmarkStart w:id="2990" w:name="_Toc163496171"/>
      <w:bookmarkStart w:id="2991" w:name="_Toc163496172"/>
      <w:bookmarkStart w:id="2992" w:name="_Toc163496173"/>
      <w:bookmarkStart w:id="2993" w:name="_Toc163496174"/>
      <w:bookmarkStart w:id="2994" w:name="_Toc167442277"/>
      <w:bookmarkStart w:id="2995" w:name="_Ref167901570"/>
      <w:bookmarkStart w:id="2996" w:name="_Ref204702888"/>
      <w:bookmarkStart w:id="2997" w:name="_Ref204702935"/>
      <w:bookmarkStart w:id="2998" w:name="_Ref204703001"/>
      <w:bookmarkStart w:id="2999" w:name="_Ref204704207"/>
      <w:bookmarkStart w:id="3000" w:name="_Toc207309620"/>
      <w:bookmarkStart w:id="3001" w:name="_Ref103259342"/>
      <w:bookmarkStart w:id="3002" w:name="_Ref107998060"/>
      <w:bookmarkStart w:id="3003" w:name="_Ref108546265"/>
      <w:bookmarkStart w:id="3004" w:name="_Ref108546282"/>
      <w:bookmarkStart w:id="3005" w:name="_Ref108546374"/>
      <w:bookmarkStart w:id="3006" w:name="_Ref108546437"/>
      <w:bookmarkStart w:id="3007" w:name="_Ref108546774"/>
      <w:bookmarkEnd w:id="2936"/>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r>
        <w:t xml:space="preserve">Options </w:t>
      </w:r>
      <w:r w:rsidR="000F38FD" w:rsidRPr="00AD5990">
        <w:t>Support terms</w:t>
      </w:r>
      <w:bookmarkEnd w:id="2994"/>
      <w:bookmarkEnd w:id="2995"/>
      <w:bookmarkEnd w:id="2996"/>
      <w:bookmarkEnd w:id="2997"/>
      <w:bookmarkEnd w:id="2998"/>
      <w:bookmarkEnd w:id="2999"/>
      <w:bookmarkEnd w:id="3000"/>
    </w:p>
    <w:p w14:paraId="654C1A9B" w14:textId="5EBD5CF3" w:rsidR="007E0362" w:rsidRDefault="007E0362" w:rsidP="007E0362">
      <w:pPr>
        <w:ind w:left="737"/>
      </w:pPr>
      <w:r w:rsidRPr="007E0362">
        <w:t>[</w:t>
      </w:r>
      <w:r w:rsidRPr="007E0362">
        <w:rPr>
          <w:b/>
          <w:bCs/>
          <w:i/>
          <w:iCs/>
          <w:highlight w:val="lightGray"/>
        </w:rPr>
        <w:t xml:space="preserve">Note: the Support Period will automatically commence on the earlier of the Commercial Operations Date and the Final Support Commencement Date, and will end on the earlier of the Final Support End Date and the end of the Term. Under clause </w:t>
      </w:r>
      <w:r>
        <w:rPr>
          <w:b/>
          <w:bCs/>
          <w:i/>
          <w:iCs/>
          <w:highlight w:val="lightGray"/>
        </w:rPr>
        <w:fldChar w:fldCharType="begin"/>
      </w:r>
      <w:r>
        <w:rPr>
          <w:b/>
          <w:bCs/>
          <w:i/>
          <w:iCs/>
          <w:highlight w:val="lightGray"/>
        </w:rPr>
        <w:instrText xml:space="preserve"> REF _Ref204702888 \n \h </w:instrText>
      </w:r>
      <w:r>
        <w:rPr>
          <w:b/>
          <w:bCs/>
          <w:i/>
          <w:iCs/>
          <w:highlight w:val="lightGray"/>
        </w:rPr>
      </w:r>
      <w:r>
        <w:rPr>
          <w:b/>
          <w:bCs/>
          <w:i/>
          <w:iCs/>
          <w:highlight w:val="lightGray"/>
        </w:rPr>
        <w:fldChar w:fldCharType="separate"/>
      </w:r>
      <w:r w:rsidR="002E5C6A">
        <w:rPr>
          <w:b/>
          <w:bCs/>
          <w:i/>
          <w:iCs/>
          <w:highlight w:val="lightGray"/>
        </w:rPr>
        <w:t>14</w:t>
      </w:r>
      <w:r>
        <w:rPr>
          <w:b/>
          <w:bCs/>
          <w:i/>
          <w:iCs/>
          <w:highlight w:val="lightGray"/>
        </w:rPr>
        <w:fldChar w:fldCharType="end"/>
      </w:r>
      <w:r w:rsidRPr="007E0362">
        <w:rPr>
          <w:b/>
          <w:bCs/>
          <w:i/>
          <w:iCs/>
          <w:highlight w:val="lightGray"/>
        </w:rPr>
        <w:t xml:space="preserve"> and </w:t>
      </w:r>
      <w:r>
        <w:rPr>
          <w:b/>
          <w:bCs/>
          <w:i/>
          <w:iCs/>
          <w:highlight w:val="lightGray"/>
        </w:rPr>
        <w:fldChar w:fldCharType="begin"/>
      </w:r>
      <w:r>
        <w:rPr>
          <w:b/>
          <w:bCs/>
          <w:i/>
          <w:iCs/>
          <w:highlight w:val="lightGray"/>
        </w:rPr>
        <w:instrText xml:space="preserve"> REF _Ref103257737 \n \h </w:instrText>
      </w:r>
      <w:r>
        <w:rPr>
          <w:b/>
          <w:bCs/>
          <w:i/>
          <w:iCs/>
          <w:highlight w:val="lightGray"/>
        </w:rPr>
      </w:r>
      <w:r>
        <w:rPr>
          <w:b/>
          <w:bCs/>
          <w:i/>
          <w:iCs/>
          <w:highlight w:val="lightGray"/>
        </w:rPr>
        <w:fldChar w:fldCharType="separate"/>
      </w:r>
      <w:r w:rsidR="002E5C6A">
        <w:rPr>
          <w:b/>
          <w:bCs/>
          <w:i/>
          <w:iCs/>
          <w:highlight w:val="lightGray"/>
        </w:rPr>
        <w:t>Schedule 1</w:t>
      </w:r>
      <w:r>
        <w:rPr>
          <w:b/>
          <w:bCs/>
          <w:i/>
          <w:iCs/>
          <w:highlight w:val="lightGray"/>
        </w:rPr>
        <w:fldChar w:fldCharType="end"/>
      </w:r>
      <w:r w:rsidRPr="007E0362">
        <w:rPr>
          <w:b/>
          <w:bCs/>
          <w:i/>
          <w:iCs/>
          <w:highlight w:val="lightGray"/>
        </w:rPr>
        <w:t xml:space="preserve">, support payments will only be payable for “Support Years” which is defined in clause </w:t>
      </w:r>
      <w:r>
        <w:rPr>
          <w:b/>
          <w:bCs/>
          <w:i/>
          <w:iCs/>
          <w:highlight w:val="lightGray"/>
        </w:rPr>
        <w:fldChar w:fldCharType="begin"/>
      </w:r>
      <w:r>
        <w:rPr>
          <w:b/>
          <w:bCs/>
          <w:i/>
          <w:iCs/>
          <w:highlight w:val="lightGray"/>
        </w:rPr>
        <w:instrText xml:space="preserve"> REF _Ref204702915 \n \h </w:instrText>
      </w:r>
      <w:r>
        <w:rPr>
          <w:b/>
          <w:bCs/>
          <w:i/>
          <w:iCs/>
          <w:highlight w:val="lightGray"/>
        </w:rPr>
      </w:r>
      <w:r>
        <w:rPr>
          <w:b/>
          <w:bCs/>
          <w:i/>
          <w:iCs/>
          <w:highlight w:val="lightGray"/>
        </w:rPr>
        <w:fldChar w:fldCharType="separate"/>
      </w:r>
      <w:r w:rsidR="002E5C6A">
        <w:rPr>
          <w:b/>
          <w:bCs/>
          <w:i/>
          <w:iCs/>
          <w:highlight w:val="lightGray"/>
        </w:rPr>
        <w:t>1.1</w:t>
      </w:r>
      <w:r>
        <w:rPr>
          <w:b/>
          <w:bCs/>
          <w:i/>
          <w:iCs/>
          <w:highlight w:val="lightGray"/>
        </w:rPr>
        <w:fldChar w:fldCharType="end"/>
      </w:r>
      <w:r w:rsidRPr="007E0362">
        <w:rPr>
          <w:b/>
          <w:bCs/>
          <w:i/>
          <w:iCs/>
          <w:highlight w:val="lightGray"/>
        </w:rPr>
        <w:t xml:space="preserve"> to cover Operations Years, except for “Opt-</w:t>
      </w:r>
      <w:r>
        <w:rPr>
          <w:b/>
          <w:bCs/>
          <w:i/>
          <w:iCs/>
          <w:highlight w:val="lightGray"/>
        </w:rPr>
        <w:t>O</w:t>
      </w:r>
      <w:r w:rsidRPr="007E0362">
        <w:rPr>
          <w:b/>
          <w:bCs/>
          <w:i/>
          <w:iCs/>
          <w:highlight w:val="lightGray"/>
        </w:rPr>
        <w:t xml:space="preserve">ut Years” (these being Operations Years for which Project Operator exercises, or is deemed to exercise, an Option to opt-out of receiving Support in accordance with this clause </w:t>
      </w:r>
      <w:r>
        <w:rPr>
          <w:b/>
          <w:bCs/>
          <w:i/>
          <w:iCs/>
          <w:highlight w:val="lightGray"/>
        </w:rPr>
        <w:fldChar w:fldCharType="begin"/>
      </w:r>
      <w:r>
        <w:rPr>
          <w:b/>
          <w:bCs/>
          <w:i/>
          <w:iCs/>
          <w:highlight w:val="lightGray"/>
        </w:rPr>
        <w:instrText xml:space="preserve"> REF _Ref204702935 \n \h </w:instrText>
      </w:r>
      <w:r>
        <w:rPr>
          <w:b/>
          <w:bCs/>
          <w:i/>
          <w:iCs/>
          <w:highlight w:val="lightGray"/>
        </w:rPr>
      </w:r>
      <w:r>
        <w:rPr>
          <w:b/>
          <w:bCs/>
          <w:i/>
          <w:iCs/>
          <w:highlight w:val="lightGray"/>
        </w:rPr>
        <w:fldChar w:fldCharType="separate"/>
      </w:r>
      <w:r w:rsidR="002E5C6A">
        <w:rPr>
          <w:b/>
          <w:bCs/>
          <w:i/>
          <w:iCs/>
          <w:highlight w:val="lightGray"/>
        </w:rPr>
        <w:t>14</w:t>
      </w:r>
      <w:r>
        <w:rPr>
          <w:b/>
          <w:bCs/>
          <w:i/>
          <w:iCs/>
          <w:highlight w:val="lightGray"/>
        </w:rPr>
        <w:fldChar w:fldCharType="end"/>
      </w:r>
      <w:r w:rsidRPr="007E0362">
        <w:rPr>
          <w:b/>
          <w:bCs/>
          <w:i/>
          <w:iCs/>
          <w:highlight w:val="lightGray"/>
        </w:rPr>
        <w:t>.</w:t>
      </w:r>
      <w:r w:rsidRPr="007E0362">
        <w:t>]</w:t>
      </w:r>
    </w:p>
    <w:p w14:paraId="12A555A8" w14:textId="77777777" w:rsidR="006706A5" w:rsidRDefault="006706A5" w:rsidP="007E0362">
      <w:pPr>
        <w:ind w:left="737"/>
      </w:pPr>
    </w:p>
    <w:p w14:paraId="7BC095DF" w14:textId="7335C1A9" w:rsidR="006706A5" w:rsidRDefault="006706A5" w:rsidP="006706A5">
      <w:pPr>
        <w:pStyle w:val="Heading2"/>
      </w:pPr>
      <w:bookmarkStart w:id="3008" w:name="_Ref205808543"/>
      <w:bookmarkStart w:id="3009" w:name="_Ref205808577"/>
      <w:bookmarkStart w:id="3010" w:name="_Ref205808725"/>
      <w:bookmarkStart w:id="3011" w:name="_Ref205808740"/>
      <w:bookmarkStart w:id="3012" w:name="_Toc207309621"/>
      <w:r>
        <w:t>Definitions</w:t>
      </w:r>
      <w:bookmarkEnd w:id="3008"/>
      <w:bookmarkEnd w:id="3009"/>
      <w:bookmarkEnd w:id="3010"/>
      <w:bookmarkEnd w:id="3011"/>
      <w:bookmarkEnd w:id="3012"/>
    </w:p>
    <w:p w14:paraId="02659CAE" w14:textId="2060384C" w:rsidR="006706A5" w:rsidRDefault="006706A5" w:rsidP="006706A5">
      <w:pPr>
        <w:pStyle w:val="Indent2"/>
      </w:pPr>
      <w:r>
        <w:t xml:space="preserve">For the purpose of this clause </w:t>
      </w:r>
      <w:r>
        <w:fldChar w:fldCharType="begin"/>
      </w:r>
      <w:r>
        <w:instrText xml:space="preserve"> REF _Ref204703001 \n \h </w:instrText>
      </w:r>
      <w:r>
        <w:fldChar w:fldCharType="separate"/>
      </w:r>
      <w:r w:rsidR="002E5C6A">
        <w:t>14</w:t>
      </w:r>
      <w:r>
        <w:fldChar w:fldCharType="end"/>
      </w:r>
      <w:r>
        <w:t>:</w:t>
      </w:r>
    </w:p>
    <w:p w14:paraId="0ABC43C0" w14:textId="39BC47EB" w:rsidR="008F16DA" w:rsidRPr="008129EB" w:rsidRDefault="008F16DA" w:rsidP="008F660B">
      <w:pPr>
        <w:pStyle w:val="Heading3"/>
        <w:numPr>
          <w:ilvl w:val="2"/>
          <w:numId w:val="62"/>
        </w:numPr>
      </w:pPr>
      <w:r w:rsidRPr="008129EB">
        <w:rPr>
          <w:b/>
          <w:bCs/>
        </w:rPr>
        <w:t xml:space="preserve">Commonwealth Deficit </w:t>
      </w:r>
      <w:r w:rsidRPr="008129EB">
        <w:t xml:space="preserve">means </w:t>
      </w:r>
      <w:r w:rsidR="00397A74">
        <w:t>when</w:t>
      </w:r>
      <w:r w:rsidRPr="008129EB">
        <w:t>, as at the relevant date:</w:t>
      </w:r>
    </w:p>
    <w:p w14:paraId="0A34AD70" w14:textId="77777777" w:rsidR="00710B03" w:rsidRDefault="008F16DA" w:rsidP="008F660B">
      <w:pPr>
        <w:pStyle w:val="Heading4"/>
        <w:numPr>
          <w:ilvl w:val="3"/>
          <w:numId w:val="62"/>
        </w:numPr>
      </w:pPr>
      <w:r w:rsidRPr="008129EB">
        <w:t xml:space="preserve">the total of all Quarterly Payment Amounts and Annual Reconciliation Payments paid by the Commonwealth to Project Operator prior to the relevant date; </w:t>
      </w:r>
    </w:p>
    <w:p w14:paraId="737FD698" w14:textId="05DF2F6E" w:rsidR="008F16DA" w:rsidRPr="008129EB" w:rsidRDefault="008F16DA" w:rsidP="008F660B">
      <w:pPr>
        <w:pStyle w:val="Heading4"/>
        <w:numPr>
          <w:ilvl w:val="0"/>
          <w:numId w:val="0"/>
        </w:numPr>
        <w:ind w:left="1474"/>
      </w:pPr>
      <w:r w:rsidRPr="008129EB">
        <w:rPr>
          <w:i/>
          <w:iCs/>
        </w:rPr>
        <w:t>is greater than</w:t>
      </w:r>
      <w:r w:rsidR="00710B03">
        <w:rPr>
          <w:i/>
          <w:iCs/>
        </w:rPr>
        <w:t>:</w:t>
      </w:r>
    </w:p>
    <w:p w14:paraId="0A5867C1" w14:textId="77777777" w:rsidR="008F16DA" w:rsidRPr="008129EB" w:rsidRDefault="008F16DA" w:rsidP="008F660B">
      <w:pPr>
        <w:pStyle w:val="Heading4"/>
        <w:numPr>
          <w:ilvl w:val="3"/>
          <w:numId w:val="62"/>
        </w:numPr>
      </w:pPr>
      <w:r w:rsidRPr="008129EB">
        <w:t>the total of all Quarterly Payment Amounts and Annual Reconciliation Payments paid by Project Operator to the Commonwealth prior to the relevant date;</w:t>
      </w:r>
    </w:p>
    <w:p w14:paraId="7C910531" w14:textId="77777777" w:rsidR="008F16DA" w:rsidRPr="008129EB" w:rsidRDefault="008F16DA" w:rsidP="00D9202B">
      <w:pPr>
        <w:pStyle w:val="Heading3"/>
        <w:keepNext/>
        <w:numPr>
          <w:ilvl w:val="2"/>
          <w:numId w:val="62"/>
        </w:numPr>
      </w:pPr>
      <w:bookmarkStart w:id="3013" w:name="_Ref205750404"/>
      <w:r w:rsidRPr="008129EB">
        <w:rPr>
          <w:b/>
          <w:bCs/>
        </w:rPr>
        <w:t>Deficit Amount</w:t>
      </w:r>
      <w:r w:rsidRPr="008129EB">
        <w:t xml:space="preserve"> means an amount equal to, as at the relevant date:</w:t>
      </w:r>
      <w:bookmarkEnd w:id="3013"/>
    </w:p>
    <w:p w14:paraId="400AB9C9" w14:textId="77777777" w:rsidR="00710B03" w:rsidRDefault="008F16DA" w:rsidP="00D9202B">
      <w:pPr>
        <w:pStyle w:val="Heading4"/>
        <w:keepNext/>
        <w:numPr>
          <w:ilvl w:val="3"/>
          <w:numId w:val="62"/>
        </w:numPr>
      </w:pPr>
      <w:r w:rsidRPr="008129EB">
        <w:t>the total of all Quarterly Payment Amounts and Annual Reconciliation Payments paid by the Commonwealth to Project Operator prior to the relevant date;</w:t>
      </w:r>
    </w:p>
    <w:p w14:paraId="62811DD6" w14:textId="068FC264" w:rsidR="008F16DA" w:rsidRPr="008129EB" w:rsidRDefault="008F16DA" w:rsidP="00D9202B">
      <w:pPr>
        <w:pStyle w:val="Heading4"/>
        <w:keepNext/>
        <w:numPr>
          <w:ilvl w:val="0"/>
          <w:numId w:val="0"/>
        </w:numPr>
        <w:ind w:left="1474"/>
      </w:pPr>
      <w:r w:rsidRPr="008129EB">
        <w:rPr>
          <w:i/>
          <w:iCs/>
        </w:rPr>
        <w:t>less</w:t>
      </w:r>
      <w:r w:rsidR="00710B03">
        <w:rPr>
          <w:i/>
          <w:iCs/>
        </w:rPr>
        <w:t>:</w:t>
      </w:r>
    </w:p>
    <w:p w14:paraId="0E629075" w14:textId="77777777" w:rsidR="008F16DA" w:rsidRPr="008129EB" w:rsidRDefault="008F16DA" w:rsidP="008F660B">
      <w:pPr>
        <w:pStyle w:val="Heading4"/>
        <w:numPr>
          <w:ilvl w:val="3"/>
          <w:numId w:val="62"/>
        </w:numPr>
      </w:pPr>
      <w:r w:rsidRPr="008129EB">
        <w:t>the total of all Quarterly Payment Amounts and Annual Reconciliation Payments paid by Project Operator to the Commonwealth prior to the relevant date,</w:t>
      </w:r>
    </w:p>
    <w:p w14:paraId="764C99B0" w14:textId="2FD463BC" w:rsidR="008F16DA" w:rsidRPr="008129EB" w:rsidRDefault="008F16DA" w:rsidP="008F16DA">
      <w:pPr>
        <w:pStyle w:val="Heading3"/>
        <w:numPr>
          <w:ilvl w:val="0"/>
          <w:numId w:val="0"/>
        </w:numPr>
        <w:ind w:left="1474"/>
      </w:pPr>
      <w:r w:rsidRPr="008129EB">
        <w:t>provided that if the Deficit Amount is a negative amount, it is deemed to be zero;</w:t>
      </w:r>
    </w:p>
    <w:p w14:paraId="73B0F630" w14:textId="77777777" w:rsidR="008F16DA" w:rsidRPr="008129EB" w:rsidRDefault="008F16DA" w:rsidP="008F660B">
      <w:pPr>
        <w:pStyle w:val="Heading3"/>
        <w:numPr>
          <w:ilvl w:val="2"/>
          <w:numId w:val="62"/>
        </w:numPr>
      </w:pPr>
      <w:bookmarkStart w:id="3014" w:name="_Ref205751059"/>
      <w:r w:rsidRPr="008129EB">
        <w:rPr>
          <w:b/>
          <w:bCs/>
        </w:rPr>
        <w:t>Opt-Out Date</w:t>
      </w:r>
      <w:r w:rsidRPr="008129EB">
        <w:t xml:space="preserve"> means the date that is six (6) months prior to the start of the relevant Opt-Out Period; and</w:t>
      </w:r>
      <w:bookmarkEnd w:id="3014"/>
    </w:p>
    <w:p w14:paraId="66E17603" w14:textId="018E182D" w:rsidR="008F16DA" w:rsidRPr="008129EB" w:rsidRDefault="008F16DA" w:rsidP="008F660B">
      <w:pPr>
        <w:pStyle w:val="Heading3"/>
        <w:keepNext/>
        <w:numPr>
          <w:ilvl w:val="2"/>
          <w:numId w:val="62"/>
        </w:numPr>
      </w:pPr>
      <w:bookmarkStart w:id="3015" w:name="_Ref181186542"/>
      <w:r w:rsidRPr="008129EB">
        <w:rPr>
          <w:b/>
          <w:bCs/>
        </w:rPr>
        <w:t>Opt-Out Period</w:t>
      </w:r>
      <w:r w:rsidRPr="008129EB">
        <w:t xml:space="preserve"> means, for the purposes of an Option under this clause</w:t>
      </w:r>
      <w:r w:rsidR="00D9202B">
        <w:t> </w:t>
      </w:r>
      <w:r>
        <w:fldChar w:fldCharType="begin"/>
      </w:r>
      <w:r>
        <w:instrText xml:space="preserve"> REF _Ref204704207 \n \h </w:instrText>
      </w:r>
      <w:r>
        <w:fldChar w:fldCharType="separate"/>
      </w:r>
      <w:r w:rsidR="002E5C6A">
        <w:t>14</w:t>
      </w:r>
      <w:r>
        <w:fldChar w:fldCharType="end"/>
      </w:r>
      <w:r w:rsidRPr="008129EB">
        <w:t xml:space="preserve"> (and subject to clause </w:t>
      </w:r>
      <w:r w:rsidR="005459C2">
        <w:fldChar w:fldCharType="begin"/>
      </w:r>
      <w:r w:rsidR="005459C2">
        <w:instrText xml:space="preserve"> REF _Ref181186291 \w \h </w:instrText>
      </w:r>
      <w:r w:rsidR="005459C2">
        <w:fldChar w:fldCharType="separate"/>
      </w:r>
      <w:r w:rsidR="002E5C6A">
        <w:t>14.3(f)</w:t>
      </w:r>
      <w:r w:rsidR="005459C2">
        <w:fldChar w:fldCharType="end"/>
      </w:r>
      <w:r w:rsidRPr="008129EB">
        <w:t>), a number of Operations Years:</w:t>
      </w:r>
      <w:bookmarkEnd w:id="3015"/>
    </w:p>
    <w:p w14:paraId="7279448D" w14:textId="1114B396" w:rsidR="008F16DA" w:rsidRPr="008129EB" w:rsidRDefault="008F16DA" w:rsidP="008F660B">
      <w:pPr>
        <w:pStyle w:val="Heading4"/>
        <w:numPr>
          <w:ilvl w:val="3"/>
          <w:numId w:val="62"/>
        </w:numPr>
      </w:pPr>
      <w:bookmarkStart w:id="3016" w:name="_Ref181186544"/>
      <w:r w:rsidRPr="008129EB">
        <w:t>commencing no earlier than the start of the second Operations Year</w:t>
      </w:r>
      <w:r w:rsidR="00397A74">
        <w:t xml:space="preserve"> occurring after the Commercial Operations Date</w:t>
      </w:r>
      <w:r w:rsidRPr="008129EB">
        <w:t>; and</w:t>
      </w:r>
      <w:bookmarkEnd w:id="3016"/>
    </w:p>
    <w:p w14:paraId="3147D1E8" w14:textId="77777777" w:rsidR="008F16DA" w:rsidRPr="008129EB" w:rsidRDefault="008F16DA" w:rsidP="008F660B">
      <w:pPr>
        <w:pStyle w:val="Heading4"/>
        <w:numPr>
          <w:ilvl w:val="3"/>
          <w:numId w:val="62"/>
        </w:numPr>
      </w:pPr>
      <w:bookmarkStart w:id="3017" w:name="_Ref181802466"/>
      <w:r w:rsidRPr="008129EB">
        <w:t>ending on a date:</w:t>
      </w:r>
      <w:bookmarkEnd w:id="3017"/>
    </w:p>
    <w:p w14:paraId="2B4C6E59" w14:textId="43C5292A" w:rsidR="008F16DA" w:rsidRPr="008129EB" w:rsidRDefault="008F16DA" w:rsidP="008F660B">
      <w:pPr>
        <w:pStyle w:val="Heading5"/>
        <w:numPr>
          <w:ilvl w:val="4"/>
          <w:numId w:val="62"/>
        </w:numPr>
      </w:pPr>
      <w:r w:rsidRPr="008129EB">
        <w:t>not earlier than five (5) consecutive Operations Years later</w:t>
      </w:r>
      <w:r w:rsidR="00397A74">
        <w:t xml:space="preserve"> than the Opt-Out Period commencement date referred to in paragraph </w:t>
      </w:r>
      <w:r w:rsidR="00397A74">
        <w:fldChar w:fldCharType="begin"/>
      </w:r>
      <w:r w:rsidR="00397A74">
        <w:instrText xml:space="preserve"> REF _Ref181186544 \r \h </w:instrText>
      </w:r>
      <w:r w:rsidR="00397A74">
        <w:fldChar w:fldCharType="separate"/>
      </w:r>
      <w:r w:rsidR="002E5C6A">
        <w:t>(i)</w:t>
      </w:r>
      <w:r w:rsidR="00397A74">
        <w:fldChar w:fldCharType="end"/>
      </w:r>
      <w:r w:rsidRPr="008129EB">
        <w:t>; and</w:t>
      </w:r>
    </w:p>
    <w:p w14:paraId="2E322799" w14:textId="77777777" w:rsidR="008F16DA" w:rsidRPr="008129EB" w:rsidRDefault="008F16DA" w:rsidP="008F660B">
      <w:pPr>
        <w:pStyle w:val="Heading5"/>
        <w:numPr>
          <w:ilvl w:val="4"/>
          <w:numId w:val="62"/>
        </w:numPr>
      </w:pPr>
      <w:r w:rsidRPr="008129EB">
        <w:t>not later than the end of the Term,</w:t>
      </w:r>
    </w:p>
    <w:p w14:paraId="5525D533" w14:textId="40A7DCB0" w:rsidR="008F16DA" w:rsidRPr="008129EB" w:rsidRDefault="008F16DA" w:rsidP="008F16DA">
      <w:pPr>
        <w:pStyle w:val="Heading5"/>
        <w:numPr>
          <w:ilvl w:val="0"/>
          <w:numId w:val="0"/>
        </w:numPr>
        <w:ind w:left="1474"/>
      </w:pPr>
      <w:r w:rsidRPr="008129EB">
        <w:t>provided that the fifth Operations Year</w:t>
      </w:r>
      <w:r w:rsidR="00397A74">
        <w:t xml:space="preserve"> occurring</w:t>
      </w:r>
      <w:r w:rsidRPr="008129EB">
        <w:t xml:space="preserve"> in the Opt-Out Period must be a </w:t>
      </w:r>
      <w:r w:rsidR="005A721A">
        <w:t>Support</w:t>
      </w:r>
      <w:r w:rsidRPr="008129EB">
        <w:t xml:space="preserve"> Year in which there is an Annual Floor, Annual Ceiling and Annual Payment Cap set out in Items </w:t>
      </w:r>
      <w:r w:rsidR="005459C2">
        <w:fldChar w:fldCharType="begin"/>
      </w:r>
      <w:r w:rsidR="005459C2">
        <w:instrText xml:space="preserve"> REF _Ref172455381 \n \h </w:instrText>
      </w:r>
      <w:r w:rsidR="005459C2">
        <w:fldChar w:fldCharType="separate"/>
      </w:r>
      <w:r w:rsidR="002E5C6A">
        <w:t>25</w:t>
      </w:r>
      <w:r w:rsidR="005459C2">
        <w:fldChar w:fldCharType="end"/>
      </w:r>
      <w:r>
        <w:t xml:space="preserve"> </w:t>
      </w:r>
      <w:r w:rsidRPr="008129EB">
        <w:t xml:space="preserve">to </w:t>
      </w:r>
      <w:r w:rsidR="005459C2">
        <w:fldChar w:fldCharType="begin"/>
      </w:r>
      <w:r w:rsidR="005459C2">
        <w:instrText xml:space="preserve"> REF _Ref172455431 \n \h </w:instrText>
      </w:r>
      <w:r w:rsidR="005459C2">
        <w:fldChar w:fldCharType="separate"/>
      </w:r>
      <w:r w:rsidR="002E5C6A">
        <w:t>27</w:t>
      </w:r>
      <w:r w:rsidR="005459C2">
        <w:fldChar w:fldCharType="end"/>
      </w:r>
      <w:r w:rsidRPr="008129EB">
        <w:t xml:space="preserve"> of the Reference Details.</w:t>
      </w:r>
    </w:p>
    <w:p w14:paraId="3C1A52BB" w14:textId="1EF2E229" w:rsidR="008F16DA" w:rsidRDefault="008F16DA" w:rsidP="00360B63">
      <w:pPr>
        <w:ind w:left="1474"/>
      </w:pPr>
      <w:r w:rsidRPr="008129EB">
        <w:t>[</w:t>
      </w:r>
      <w:r w:rsidRPr="00360B63">
        <w:rPr>
          <w:b/>
          <w:bCs/>
          <w:i/>
          <w:iCs/>
          <w:highlight w:val="lightGray"/>
        </w:rPr>
        <w:t xml:space="preserve">Note: the Opt-Out Period must have a minimum duration of 5 years, and can have a maximum duration of the remainder of the Term of the agreement, subject to clause </w:t>
      </w:r>
      <w:r w:rsidR="005459C2" w:rsidRPr="00360B63">
        <w:rPr>
          <w:b/>
          <w:bCs/>
          <w:i/>
          <w:iCs/>
          <w:highlight w:val="lightGray"/>
        </w:rPr>
        <w:fldChar w:fldCharType="begin"/>
      </w:r>
      <w:r w:rsidR="005459C2" w:rsidRPr="00360B63">
        <w:rPr>
          <w:b/>
          <w:bCs/>
          <w:i/>
          <w:iCs/>
          <w:highlight w:val="lightGray"/>
        </w:rPr>
        <w:instrText xml:space="preserve"> REF _Ref181186291 \w \h </w:instrText>
      </w:r>
      <w:r w:rsidR="00360B63" w:rsidRPr="00360B63">
        <w:rPr>
          <w:b/>
          <w:bCs/>
          <w:i/>
          <w:iCs/>
          <w:highlight w:val="lightGray"/>
        </w:rPr>
        <w:instrText xml:space="preserve"> \* MERGEFORMAT </w:instrText>
      </w:r>
      <w:r w:rsidR="005459C2" w:rsidRPr="00360B63">
        <w:rPr>
          <w:b/>
          <w:bCs/>
          <w:i/>
          <w:iCs/>
          <w:highlight w:val="lightGray"/>
        </w:rPr>
      </w:r>
      <w:r w:rsidR="005459C2" w:rsidRPr="00360B63">
        <w:rPr>
          <w:b/>
          <w:bCs/>
          <w:i/>
          <w:iCs/>
          <w:highlight w:val="lightGray"/>
        </w:rPr>
        <w:fldChar w:fldCharType="separate"/>
      </w:r>
      <w:r w:rsidR="002E5C6A">
        <w:rPr>
          <w:b/>
          <w:bCs/>
          <w:i/>
          <w:iCs/>
          <w:highlight w:val="lightGray"/>
        </w:rPr>
        <w:t>14.3(f)</w:t>
      </w:r>
      <w:r w:rsidR="005459C2" w:rsidRPr="00360B63">
        <w:rPr>
          <w:b/>
          <w:bCs/>
          <w:i/>
          <w:iCs/>
          <w:highlight w:val="lightGray"/>
        </w:rPr>
        <w:fldChar w:fldCharType="end"/>
      </w:r>
      <w:r w:rsidRPr="00360B63">
        <w:rPr>
          <w:b/>
          <w:bCs/>
          <w:i/>
          <w:iCs/>
          <w:highlight w:val="lightGray"/>
        </w:rPr>
        <w:t>.</w:t>
      </w:r>
      <w:r w:rsidRPr="00360B63">
        <w:rPr>
          <w:b/>
          <w:bCs/>
          <w:i/>
          <w:iCs/>
        </w:rPr>
        <w:t>]</w:t>
      </w:r>
    </w:p>
    <w:p w14:paraId="439910EA" w14:textId="77777777" w:rsidR="000F38FD" w:rsidRPr="00AD5990" w:rsidRDefault="000F38FD" w:rsidP="0058045D">
      <w:pPr>
        <w:pStyle w:val="Heading2"/>
      </w:pPr>
      <w:bookmarkStart w:id="3018" w:name="_Toc171430578"/>
      <w:bookmarkStart w:id="3019" w:name="_Toc171584283"/>
      <w:bookmarkStart w:id="3020" w:name="_Toc171430579"/>
      <w:bookmarkStart w:id="3021" w:name="_Toc171584284"/>
      <w:bookmarkStart w:id="3022" w:name="_Toc171430580"/>
      <w:bookmarkStart w:id="3023" w:name="_Toc171584285"/>
      <w:bookmarkStart w:id="3024" w:name="_Toc171430581"/>
      <w:bookmarkStart w:id="3025" w:name="_Toc171584286"/>
      <w:bookmarkStart w:id="3026" w:name="_Toc171430582"/>
      <w:bookmarkStart w:id="3027" w:name="_Toc171584287"/>
      <w:bookmarkStart w:id="3028" w:name="_Toc171430583"/>
      <w:bookmarkStart w:id="3029" w:name="_Toc171584288"/>
      <w:bookmarkStart w:id="3030" w:name="_Toc171430584"/>
      <w:bookmarkStart w:id="3031" w:name="_Toc171584289"/>
      <w:bookmarkStart w:id="3032" w:name="_Toc171430585"/>
      <w:bookmarkStart w:id="3033" w:name="_Toc171584290"/>
      <w:bookmarkStart w:id="3034" w:name="_Toc171430586"/>
      <w:bookmarkStart w:id="3035" w:name="_Toc171584291"/>
      <w:bookmarkStart w:id="3036" w:name="_Toc171430587"/>
      <w:bookmarkStart w:id="3037" w:name="_Toc171584292"/>
      <w:bookmarkStart w:id="3038" w:name="_Toc171430588"/>
      <w:bookmarkStart w:id="3039" w:name="_Toc171584293"/>
      <w:bookmarkStart w:id="3040" w:name="_Toc171430589"/>
      <w:bookmarkStart w:id="3041" w:name="_Toc171584294"/>
      <w:bookmarkStart w:id="3042" w:name="_Toc171430590"/>
      <w:bookmarkStart w:id="3043" w:name="_Toc171584295"/>
      <w:bookmarkStart w:id="3044" w:name="_Toc171430591"/>
      <w:bookmarkStart w:id="3045" w:name="_Toc171584296"/>
      <w:bookmarkStart w:id="3046" w:name="_Toc171430592"/>
      <w:bookmarkStart w:id="3047" w:name="_Toc171584297"/>
      <w:bookmarkStart w:id="3048" w:name="_Toc171430593"/>
      <w:bookmarkStart w:id="3049" w:name="_Toc171584298"/>
      <w:bookmarkStart w:id="3050" w:name="_Toc171430594"/>
      <w:bookmarkStart w:id="3051" w:name="_Toc171584299"/>
      <w:bookmarkStart w:id="3052" w:name="_Toc171430595"/>
      <w:bookmarkStart w:id="3053" w:name="_Toc171584300"/>
      <w:bookmarkStart w:id="3054" w:name="_Toc171430596"/>
      <w:bookmarkStart w:id="3055" w:name="_Toc171584301"/>
      <w:bookmarkStart w:id="3056" w:name="_Toc171430597"/>
      <w:bookmarkStart w:id="3057" w:name="_Toc171584302"/>
      <w:bookmarkStart w:id="3058" w:name="_Toc171430598"/>
      <w:bookmarkStart w:id="3059" w:name="_Toc171584303"/>
      <w:bookmarkStart w:id="3060" w:name="_Toc171430599"/>
      <w:bookmarkStart w:id="3061" w:name="_Toc171584304"/>
      <w:bookmarkStart w:id="3062" w:name="_Toc171430600"/>
      <w:bookmarkStart w:id="3063" w:name="_Toc171584305"/>
      <w:bookmarkStart w:id="3064" w:name="_Toc171430601"/>
      <w:bookmarkStart w:id="3065" w:name="_Toc171584306"/>
      <w:bookmarkStart w:id="3066" w:name="_Toc171430602"/>
      <w:bookmarkStart w:id="3067" w:name="_Toc171584307"/>
      <w:bookmarkStart w:id="3068" w:name="_Toc171430603"/>
      <w:bookmarkStart w:id="3069" w:name="_Toc171584308"/>
      <w:bookmarkStart w:id="3070" w:name="_Toc167911274"/>
      <w:bookmarkStart w:id="3071" w:name="_Toc167911275"/>
      <w:bookmarkStart w:id="3072" w:name="_Toc167911276"/>
      <w:bookmarkStart w:id="3073" w:name="_Toc167911277"/>
      <w:bookmarkStart w:id="3074" w:name="_Toc171430604"/>
      <w:bookmarkStart w:id="3075" w:name="_Toc171584309"/>
      <w:bookmarkStart w:id="3076" w:name="_Toc171430605"/>
      <w:bookmarkStart w:id="3077" w:name="_Toc171584310"/>
      <w:bookmarkStart w:id="3078" w:name="_Toc171430606"/>
      <w:bookmarkStart w:id="3079" w:name="_Toc171584311"/>
      <w:bookmarkStart w:id="3080" w:name="_Toc171430607"/>
      <w:bookmarkStart w:id="3081" w:name="_Toc171584312"/>
      <w:bookmarkStart w:id="3082" w:name="_Toc171430608"/>
      <w:bookmarkStart w:id="3083" w:name="_Toc171584313"/>
      <w:bookmarkStart w:id="3084" w:name="_Toc171430609"/>
      <w:bookmarkStart w:id="3085" w:name="_Toc171584314"/>
      <w:bookmarkStart w:id="3086" w:name="_Toc171430610"/>
      <w:bookmarkStart w:id="3087" w:name="_Toc171584315"/>
      <w:bookmarkStart w:id="3088" w:name="_Toc171430611"/>
      <w:bookmarkStart w:id="3089" w:name="_Toc171584316"/>
      <w:bookmarkStart w:id="3090" w:name="_Toc171430612"/>
      <w:bookmarkStart w:id="3091" w:name="_Toc171584317"/>
      <w:bookmarkStart w:id="3092" w:name="_Toc171430613"/>
      <w:bookmarkStart w:id="3093" w:name="_Toc171584318"/>
      <w:bookmarkStart w:id="3094" w:name="_Toc171430614"/>
      <w:bookmarkStart w:id="3095" w:name="_Toc171584319"/>
      <w:bookmarkStart w:id="3096" w:name="_Toc171430615"/>
      <w:bookmarkStart w:id="3097" w:name="_Toc171584320"/>
      <w:bookmarkStart w:id="3098" w:name="_Toc171430616"/>
      <w:bookmarkStart w:id="3099" w:name="_Toc171584321"/>
      <w:bookmarkStart w:id="3100" w:name="_Toc171430617"/>
      <w:bookmarkStart w:id="3101" w:name="_Toc171584322"/>
      <w:bookmarkStart w:id="3102" w:name="_Toc171430618"/>
      <w:bookmarkStart w:id="3103" w:name="_Toc171584323"/>
      <w:bookmarkStart w:id="3104" w:name="_Toc171430619"/>
      <w:bookmarkStart w:id="3105" w:name="_Toc171584324"/>
      <w:bookmarkStart w:id="3106" w:name="_Toc171430620"/>
      <w:bookmarkStart w:id="3107" w:name="_Toc171584325"/>
      <w:bookmarkStart w:id="3108" w:name="_Toc171430621"/>
      <w:bookmarkStart w:id="3109" w:name="_Toc171584326"/>
      <w:bookmarkStart w:id="3110" w:name="_Toc171430622"/>
      <w:bookmarkStart w:id="3111" w:name="_Toc171584327"/>
      <w:bookmarkStart w:id="3112" w:name="_Toc171430623"/>
      <w:bookmarkStart w:id="3113" w:name="_Toc171584328"/>
      <w:bookmarkStart w:id="3114" w:name="_Toc171430624"/>
      <w:bookmarkStart w:id="3115" w:name="_Toc171584329"/>
      <w:bookmarkStart w:id="3116" w:name="_Toc167911279"/>
      <w:bookmarkStart w:id="3117" w:name="_Toc167911280"/>
      <w:bookmarkStart w:id="3118" w:name="_Toc167911281"/>
      <w:bookmarkStart w:id="3119" w:name="_Toc167911282"/>
      <w:bookmarkStart w:id="3120" w:name="_Toc167911283"/>
      <w:bookmarkStart w:id="3121" w:name="_Toc167911284"/>
      <w:bookmarkStart w:id="3122" w:name="_Toc167911285"/>
      <w:bookmarkStart w:id="3123" w:name="_Toc167911286"/>
      <w:bookmarkStart w:id="3124" w:name="_Toc167372335"/>
      <w:bookmarkStart w:id="3125" w:name="_Toc167372336"/>
      <w:bookmarkStart w:id="3126" w:name="_Toc167372337"/>
      <w:bookmarkStart w:id="3127" w:name="_Toc167372338"/>
      <w:bookmarkStart w:id="3128" w:name="_Toc167372339"/>
      <w:bookmarkStart w:id="3129" w:name="_Toc167372340"/>
      <w:bookmarkStart w:id="3130" w:name="_Toc167372341"/>
      <w:bookmarkStart w:id="3131" w:name="_Toc167372342"/>
      <w:bookmarkStart w:id="3132" w:name="_Toc167372343"/>
      <w:bookmarkStart w:id="3133" w:name="_Toc167911287"/>
      <w:bookmarkStart w:id="3134" w:name="_Toc167442281"/>
      <w:bookmarkStart w:id="3135" w:name="_Ref167965149"/>
      <w:bookmarkStart w:id="3136" w:name="_Ref171448672"/>
      <w:bookmarkStart w:id="3137" w:name="_Ref171448677"/>
      <w:bookmarkStart w:id="3138" w:name="_Ref205809480"/>
      <w:bookmarkStart w:id="3139" w:name="_Ref205809493"/>
      <w:bookmarkStart w:id="3140" w:name="_Ref205813630"/>
      <w:bookmarkStart w:id="3141" w:name="_Toc207309622"/>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r w:rsidRPr="00AD5990">
        <w:t>Terms of Support</w:t>
      </w:r>
      <w:bookmarkEnd w:id="3134"/>
      <w:bookmarkEnd w:id="3135"/>
      <w:bookmarkEnd w:id="3136"/>
      <w:bookmarkEnd w:id="3137"/>
      <w:bookmarkEnd w:id="3138"/>
      <w:bookmarkEnd w:id="3139"/>
      <w:bookmarkEnd w:id="3140"/>
      <w:bookmarkEnd w:id="3141"/>
    </w:p>
    <w:p w14:paraId="33B16E29" w14:textId="43510FDB" w:rsidR="001D46D5" w:rsidRDefault="000F38FD" w:rsidP="00131021">
      <w:pPr>
        <w:pStyle w:val="Heading3"/>
        <w:numPr>
          <w:ilvl w:val="0"/>
          <w:numId w:val="0"/>
        </w:numPr>
        <w:ind w:left="709"/>
      </w:pPr>
      <w:r w:rsidRPr="00AD5990">
        <w:t xml:space="preserve">The terms contained in </w:t>
      </w:r>
      <w:r w:rsidRPr="00AD5990">
        <w:fldChar w:fldCharType="begin"/>
      </w:r>
      <w:r w:rsidRPr="00AD5990">
        <w:instrText xml:space="preserve"> REF _Ref103257737 \n \h </w:instrText>
      </w:r>
      <w:r w:rsidR="00756445" w:rsidRPr="00792B2E">
        <w:instrText xml:space="preserve"> \* MERGEFORMAT </w:instrText>
      </w:r>
      <w:r w:rsidRPr="00AD5990">
        <w:fldChar w:fldCharType="separate"/>
      </w:r>
      <w:r w:rsidR="002E5C6A">
        <w:t>Schedule 1</w:t>
      </w:r>
      <w:r w:rsidRPr="00AD5990">
        <w:fldChar w:fldCharType="end"/>
      </w:r>
      <w:r w:rsidRPr="00AD5990">
        <w:t xml:space="preserve"> </w:t>
      </w:r>
      <w:r w:rsidRPr="00AD5990">
        <w:rPr>
          <w:bCs/>
        </w:rPr>
        <w:t>(“</w:t>
      </w:r>
      <w:r w:rsidRPr="00AD5990">
        <w:rPr>
          <w:bCs/>
        </w:rPr>
        <w:fldChar w:fldCharType="begin"/>
      </w:r>
      <w:r w:rsidRPr="00AD5990">
        <w:rPr>
          <w:bCs/>
        </w:rPr>
        <w:instrText xml:space="preserve"> REF _Ref103257737 \h </w:instrText>
      </w:r>
      <w:r w:rsidR="00756445" w:rsidRPr="00792B2E">
        <w:rPr>
          <w:bCs/>
        </w:rPr>
        <w:instrText xml:space="preserve"> \* MERGEFORMAT </w:instrText>
      </w:r>
      <w:r w:rsidRPr="00AD5990">
        <w:rPr>
          <w:bCs/>
        </w:rPr>
      </w:r>
      <w:r w:rsidRPr="00AD5990">
        <w:rPr>
          <w:bCs/>
        </w:rPr>
        <w:fldChar w:fldCharType="separate"/>
      </w:r>
      <w:r w:rsidR="002E5C6A">
        <w:t>Support terms</w:t>
      </w:r>
      <w:r w:rsidRPr="00AD5990">
        <w:rPr>
          <w:bCs/>
        </w:rPr>
        <w:fldChar w:fldCharType="end"/>
      </w:r>
      <w:r w:rsidRPr="00AD5990">
        <w:rPr>
          <w:bCs/>
        </w:rPr>
        <w:t xml:space="preserve">”) </w:t>
      </w:r>
      <w:r w:rsidRPr="00AD5990">
        <w:t>will apply</w:t>
      </w:r>
      <w:r w:rsidR="001D46D5">
        <w:t>:</w:t>
      </w:r>
      <w:r w:rsidRPr="00AD5990">
        <w:t xml:space="preserve"> </w:t>
      </w:r>
    </w:p>
    <w:p w14:paraId="748DB9E9" w14:textId="2784CCF1" w:rsidR="001D46D5" w:rsidRDefault="000F38FD" w:rsidP="001D46D5">
      <w:pPr>
        <w:pStyle w:val="Heading3"/>
      </w:pPr>
      <w:r w:rsidRPr="00AD5990">
        <w:t>to</w:t>
      </w:r>
      <w:r w:rsidRPr="00AD5990" w:rsidDel="00657C40">
        <w:t xml:space="preserve"> </w:t>
      </w:r>
      <w:r w:rsidRPr="00AD5990">
        <w:t xml:space="preserve">each </w:t>
      </w:r>
      <w:r w:rsidR="00B51FCA">
        <w:t>Support</w:t>
      </w:r>
      <w:r w:rsidR="00990A8C">
        <w:t xml:space="preserve"> </w:t>
      </w:r>
      <w:r w:rsidRPr="00AD5990">
        <w:t xml:space="preserve">Year (or part thereof) during the Support </w:t>
      </w:r>
      <w:r w:rsidRPr="00AD4C09">
        <w:t>Period</w:t>
      </w:r>
      <w:r w:rsidR="00825A3D">
        <w:t>, subject to clause</w:t>
      </w:r>
      <w:r w:rsidR="00825A3D" w:rsidRPr="008129EB">
        <w:t xml:space="preserve"> </w:t>
      </w:r>
      <w:r w:rsidR="00825A3D">
        <w:fldChar w:fldCharType="begin"/>
      </w:r>
      <w:r w:rsidR="00825A3D">
        <w:instrText xml:space="preserve"> REF _Ref204704529 \w \h </w:instrText>
      </w:r>
      <w:r w:rsidR="00825A3D">
        <w:fldChar w:fldCharType="separate"/>
      </w:r>
      <w:r w:rsidR="002E5C6A">
        <w:t>14.3</w:t>
      </w:r>
      <w:r w:rsidR="00825A3D">
        <w:fldChar w:fldCharType="end"/>
      </w:r>
      <w:r w:rsidR="001D46D5">
        <w:t>; and</w:t>
      </w:r>
    </w:p>
    <w:p w14:paraId="622AB84A" w14:textId="6E4D8743" w:rsidR="000F38FD" w:rsidRDefault="001D46D5" w:rsidP="001D46D5">
      <w:pPr>
        <w:pStyle w:val="Heading3"/>
      </w:pPr>
      <w:bookmarkStart w:id="3142" w:name="_Ref206583994"/>
      <w:r>
        <w:t>as required, in accordance with the Apportionment Principles</w:t>
      </w:r>
      <w:r w:rsidR="000F38FD" w:rsidRPr="00AD4C09" w:rsidDel="00657C40">
        <w:t>.</w:t>
      </w:r>
      <w:bookmarkEnd w:id="3142"/>
    </w:p>
    <w:p w14:paraId="23C1EF38" w14:textId="76CC7980" w:rsidR="005459C2" w:rsidRDefault="005459C2" w:rsidP="005459C2">
      <w:pPr>
        <w:pStyle w:val="Heading2"/>
      </w:pPr>
      <w:bookmarkStart w:id="3143" w:name="_Ref204704529"/>
      <w:bookmarkStart w:id="3144" w:name="_Toc207309623"/>
      <w:r>
        <w:t>Option to not receive Support</w:t>
      </w:r>
      <w:bookmarkEnd w:id="3143"/>
      <w:bookmarkEnd w:id="3144"/>
    </w:p>
    <w:p w14:paraId="7819AF7F" w14:textId="2EF6D1C4" w:rsidR="005459C2" w:rsidRPr="008129EB" w:rsidRDefault="005459C2" w:rsidP="005459C2">
      <w:pPr>
        <w:pStyle w:val="Indent2"/>
      </w:pPr>
      <w:r w:rsidRPr="008129EB">
        <w:t>[</w:t>
      </w:r>
      <w:r w:rsidRPr="00453ECB">
        <w:rPr>
          <w:b/>
          <w:bCs/>
          <w:i/>
          <w:iCs/>
          <w:highlight w:val="lightGray"/>
        </w:rPr>
        <w:t xml:space="preserve">Note: Project Operator can opt-out of receiving Support under the agreement for a period of at least 5 years, starting from the second </w:t>
      </w:r>
      <w:r w:rsidR="005A721A">
        <w:rPr>
          <w:b/>
          <w:bCs/>
          <w:i/>
          <w:iCs/>
          <w:highlight w:val="lightGray"/>
        </w:rPr>
        <w:t>Support</w:t>
      </w:r>
      <w:r w:rsidRPr="00453ECB">
        <w:rPr>
          <w:b/>
          <w:bCs/>
          <w:i/>
          <w:iCs/>
          <w:highlight w:val="lightGray"/>
        </w:rPr>
        <w:t xml:space="preserve"> Year </w:t>
      </w:r>
      <w:r w:rsidR="005A721A">
        <w:rPr>
          <w:b/>
          <w:bCs/>
          <w:i/>
          <w:iCs/>
          <w:highlight w:val="lightGray"/>
        </w:rPr>
        <w:t xml:space="preserve">(after COD) </w:t>
      </w:r>
      <w:r w:rsidRPr="00453ECB">
        <w:rPr>
          <w:b/>
          <w:bCs/>
          <w:i/>
          <w:iCs/>
          <w:highlight w:val="lightGray"/>
        </w:rPr>
        <w:t xml:space="preserve">onwards. The fifth year of the Opt-Out Period must be a </w:t>
      </w:r>
      <w:r w:rsidR="005A721A">
        <w:rPr>
          <w:b/>
          <w:bCs/>
          <w:i/>
          <w:iCs/>
          <w:highlight w:val="lightGray"/>
        </w:rPr>
        <w:t>Support</w:t>
      </w:r>
      <w:r w:rsidRPr="00453ECB">
        <w:rPr>
          <w:b/>
          <w:bCs/>
          <w:i/>
          <w:iCs/>
          <w:highlight w:val="lightGray"/>
        </w:rPr>
        <w:t xml:space="preserve"> Year for which Project Operator would be eligible for Support in relation to the Project. Project Operator may elect to exercise an Option multiple times during the Term.</w:t>
      </w:r>
      <w:r w:rsidRPr="008129EB">
        <w:t>]</w:t>
      </w:r>
    </w:p>
    <w:p w14:paraId="0C6E84B7" w14:textId="04A12047" w:rsidR="005459C2" w:rsidRPr="008129EB" w:rsidRDefault="005459C2" w:rsidP="008F660B">
      <w:pPr>
        <w:pStyle w:val="Heading3"/>
        <w:numPr>
          <w:ilvl w:val="2"/>
          <w:numId w:val="62"/>
        </w:numPr>
      </w:pPr>
      <w:bookmarkStart w:id="3145" w:name="_Ref205751210"/>
      <w:r w:rsidRPr="008129EB">
        <w:t>Subject to the remainder of this clause, the Commonwealth grants Project Operator options, each of which gives Project Operator the right (but not the obligation) to elect to not receive Support for an Opt-Out Period (each an “</w:t>
      </w:r>
      <w:r w:rsidRPr="008129EB">
        <w:rPr>
          <w:b/>
          <w:bCs/>
        </w:rPr>
        <w:t>Option</w:t>
      </w:r>
      <w:r w:rsidRPr="008129EB">
        <w:t>”).</w:t>
      </w:r>
      <w:bookmarkEnd w:id="3145"/>
    </w:p>
    <w:p w14:paraId="06E6116A" w14:textId="750EFE1E" w:rsidR="005459C2" w:rsidRPr="008129EB" w:rsidRDefault="005459C2" w:rsidP="008F660B">
      <w:pPr>
        <w:pStyle w:val="Heading3"/>
        <w:numPr>
          <w:ilvl w:val="2"/>
          <w:numId w:val="62"/>
        </w:numPr>
      </w:pPr>
      <w:bookmarkStart w:id="3146" w:name="_Ref181185483"/>
      <w:bookmarkStart w:id="3147" w:name="_Ref205813733"/>
      <w:bookmarkStart w:id="3148" w:name="_Ref181185964"/>
      <w:r w:rsidRPr="008129EB">
        <w:t xml:space="preserve">Subject </w:t>
      </w:r>
      <w:r w:rsidRPr="000B5694">
        <w:t xml:space="preserve">to clause </w:t>
      </w:r>
      <w:r w:rsidR="00437933" w:rsidRPr="000B5694">
        <w:fldChar w:fldCharType="begin"/>
      </w:r>
      <w:r w:rsidR="00437933" w:rsidRPr="000B5694">
        <w:instrText xml:space="preserve"> REF _Ref181186291 \w \h </w:instrText>
      </w:r>
      <w:r w:rsidR="00437933" w:rsidRPr="008F660B">
        <w:instrText xml:space="preserve"> \* MERGEFORMAT </w:instrText>
      </w:r>
      <w:r w:rsidR="00437933" w:rsidRPr="000B5694">
        <w:fldChar w:fldCharType="separate"/>
      </w:r>
      <w:r w:rsidR="002E5C6A">
        <w:t>14.3(f)</w:t>
      </w:r>
      <w:r w:rsidR="00437933" w:rsidRPr="000B5694">
        <w:fldChar w:fldCharType="end"/>
      </w:r>
      <w:r w:rsidR="00437933" w:rsidRPr="000B5694">
        <w:t xml:space="preserve"> and clause </w:t>
      </w:r>
      <w:r w:rsidR="00437933" w:rsidRPr="000B5694">
        <w:fldChar w:fldCharType="begin"/>
      </w:r>
      <w:r w:rsidR="00437933" w:rsidRPr="000B5694">
        <w:instrText xml:space="preserve"> REF _Ref205813630 \w \h </w:instrText>
      </w:r>
      <w:r w:rsidR="00437933" w:rsidRPr="008F660B">
        <w:instrText xml:space="preserve"> \* MERGEFORMAT </w:instrText>
      </w:r>
      <w:r w:rsidR="00437933" w:rsidRPr="000B5694">
        <w:fldChar w:fldCharType="separate"/>
      </w:r>
      <w:r w:rsidR="002E5C6A">
        <w:t>14.2</w:t>
      </w:r>
      <w:r w:rsidR="00437933" w:rsidRPr="000B5694">
        <w:fldChar w:fldCharType="end"/>
      </w:r>
      <w:r w:rsidRPr="008129EB">
        <w:t xml:space="preserve">, Project Operator may exercise an Option </w:t>
      </w:r>
      <w:bookmarkEnd w:id="3146"/>
      <w:r w:rsidRPr="008129EB">
        <w:t>by giving written notice to the Commonwealth:</w:t>
      </w:r>
      <w:bookmarkEnd w:id="3147"/>
    </w:p>
    <w:p w14:paraId="4336B413" w14:textId="4B768AE9" w:rsidR="005459C2" w:rsidRPr="008129EB" w:rsidRDefault="005459C2" w:rsidP="008F660B">
      <w:pPr>
        <w:pStyle w:val="Heading4"/>
        <w:numPr>
          <w:ilvl w:val="3"/>
          <w:numId w:val="62"/>
        </w:numPr>
      </w:pPr>
      <w:r w:rsidRPr="008129EB">
        <w:t>that Project Operator is exercising the Option, in respect of an Opt-</w:t>
      </w:r>
      <w:r w:rsidR="001D3566">
        <w:t>O</w:t>
      </w:r>
      <w:r w:rsidRPr="008129EB">
        <w:t>ut Period specified in the notice; and</w:t>
      </w:r>
    </w:p>
    <w:p w14:paraId="24A708F5" w14:textId="38F0A4DA" w:rsidR="005459C2" w:rsidRPr="008129EB" w:rsidRDefault="005459C2" w:rsidP="008F660B">
      <w:pPr>
        <w:pStyle w:val="Heading4"/>
        <w:numPr>
          <w:ilvl w:val="3"/>
          <w:numId w:val="62"/>
        </w:numPr>
      </w:pPr>
      <w:r w:rsidRPr="008129EB">
        <w:t>by no later than the applicable Opt-Out Date for that Opt-</w:t>
      </w:r>
      <w:r w:rsidR="001D3566">
        <w:t>O</w:t>
      </w:r>
      <w:r w:rsidRPr="008129EB">
        <w:t>ut Period,</w:t>
      </w:r>
      <w:bookmarkEnd w:id="3148"/>
    </w:p>
    <w:p w14:paraId="370F607E" w14:textId="7ACF26DB" w:rsidR="005459C2" w:rsidRPr="008129EB" w:rsidRDefault="005459C2" w:rsidP="005459C2">
      <w:pPr>
        <w:pStyle w:val="Heading3"/>
        <w:numPr>
          <w:ilvl w:val="0"/>
          <w:numId w:val="0"/>
        </w:numPr>
        <w:ind w:left="1474"/>
      </w:pPr>
      <w:r w:rsidRPr="008129EB">
        <w:t>provided that:</w:t>
      </w:r>
    </w:p>
    <w:p w14:paraId="63F5922B" w14:textId="77777777" w:rsidR="005459C2" w:rsidRPr="008129EB" w:rsidRDefault="005459C2" w:rsidP="008F660B">
      <w:pPr>
        <w:pStyle w:val="Heading4"/>
        <w:numPr>
          <w:ilvl w:val="3"/>
          <w:numId w:val="62"/>
        </w:numPr>
      </w:pPr>
      <w:r w:rsidRPr="008129EB">
        <w:t>there is no Commonwealth Deficit as at the relevant Opt-Out Date; or</w:t>
      </w:r>
    </w:p>
    <w:p w14:paraId="5EF57800" w14:textId="54F8D251" w:rsidR="005459C2" w:rsidRPr="008129EB" w:rsidRDefault="005459C2" w:rsidP="008F660B">
      <w:pPr>
        <w:pStyle w:val="Heading4"/>
        <w:numPr>
          <w:ilvl w:val="3"/>
          <w:numId w:val="62"/>
        </w:numPr>
      </w:pPr>
      <w:r w:rsidRPr="008129EB">
        <w:t xml:space="preserve">if there is a Commonwealth Deficit as at that date, Project Operator </w:t>
      </w:r>
      <w:r w:rsidR="005A721A">
        <w:t xml:space="preserve">has </w:t>
      </w:r>
      <w:r w:rsidR="007C2693">
        <w:t xml:space="preserve">first </w:t>
      </w:r>
      <w:r w:rsidR="005A721A">
        <w:t>complied</w:t>
      </w:r>
      <w:r w:rsidRPr="008129EB">
        <w:t xml:space="preserve"> with </w:t>
      </w:r>
      <w:r w:rsidR="00481410">
        <w:t xml:space="preserve">clause </w:t>
      </w:r>
      <w:r w:rsidR="00481410">
        <w:fldChar w:fldCharType="begin"/>
      </w:r>
      <w:r w:rsidR="00481410">
        <w:instrText xml:space="preserve"> REF _Ref204704529 \w \h </w:instrText>
      </w:r>
      <w:r w:rsidR="00481410">
        <w:fldChar w:fldCharType="separate"/>
      </w:r>
      <w:r w:rsidR="002E5C6A">
        <w:t>14.3</w:t>
      </w:r>
      <w:r w:rsidR="00481410">
        <w:fldChar w:fldCharType="end"/>
      </w:r>
      <w:r w:rsidR="00481410">
        <w:fldChar w:fldCharType="begin"/>
      </w:r>
      <w:r w:rsidR="00481410">
        <w:instrText xml:space="preserve"> REF _Ref206583996 \r \h </w:instrText>
      </w:r>
      <w:r w:rsidR="00481410">
        <w:fldChar w:fldCharType="separate"/>
      </w:r>
      <w:r w:rsidR="002E5C6A">
        <w:t>(d)</w:t>
      </w:r>
      <w:r w:rsidR="00481410">
        <w:fldChar w:fldCharType="end"/>
      </w:r>
      <w:r w:rsidRPr="008129EB">
        <w:t xml:space="preserve"> of this clause.</w:t>
      </w:r>
    </w:p>
    <w:p w14:paraId="0A0985EC" w14:textId="1FC78819" w:rsidR="005459C2" w:rsidRPr="008129EB" w:rsidRDefault="005459C2" w:rsidP="008F660B">
      <w:pPr>
        <w:pStyle w:val="Heading3"/>
        <w:numPr>
          <w:ilvl w:val="2"/>
          <w:numId w:val="62"/>
        </w:numPr>
      </w:pPr>
      <w:r w:rsidRPr="008129EB">
        <w:t xml:space="preserve">The Commonwealth may, in its absolute discretion, waive the notice requirement required of Project Operator under </w:t>
      </w:r>
      <w:r w:rsidR="005A721A">
        <w:t>clause</w:t>
      </w:r>
      <w:r w:rsidRPr="008129EB">
        <w:t xml:space="preserve"> </w:t>
      </w:r>
      <w:r w:rsidR="00481410">
        <w:fldChar w:fldCharType="begin"/>
      </w:r>
      <w:r w:rsidR="00481410">
        <w:instrText xml:space="preserve"> REF _Ref204704529 \w \h </w:instrText>
      </w:r>
      <w:r w:rsidR="00481410">
        <w:fldChar w:fldCharType="separate"/>
      </w:r>
      <w:r w:rsidR="002E5C6A">
        <w:t>14.3</w:t>
      </w:r>
      <w:r w:rsidR="00481410">
        <w:fldChar w:fldCharType="end"/>
      </w:r>
      <w:r w:rsidRPr="008129EB">
        <w:fldChar w:fldCharType="begin"/>
      </w:r>
      <w:r w:rsidRPr="008129EB">
        <w:instrText xml:space="preserve"> REF _Ref181185483 \r \h </w:instrText>
      </w:r>
      <w:r w:rsidRPr="008129EB">
        <w:fldChar w:fldCharType="separate"/>
      </w:r>
      <w:r w:rsidR="002E5C6A">
        <w:t>(b)</w:t>
      </w:r>
      <w:r w:rsidRPr="008129EB">
        <w:fldChar w:fldCharType="end"/>
      </w:r>
      <w:r w:rsidRPr="008129EB">
        <w:t>.</w:t>
      </w:r>
    </w:p>
    <w:p w14:paraId="2A63741F" w14:textId="7177C4FF" w:rsidR="005459C2" w:rsidRPr="008129EB" w:rsidRDefault="005459C2" w:rsidP="008F660B">
      <w:pPr>
        <w:pStyle w:val="Heading3"/>
        <w:numPr>
          <w:ilvl w:val="2"/>
          <w:numId w:val="62"/>
        </w:numPr>
      </w:pPr>
      <w:bookmarkStart w:id="3149" w:name="_Ref181185972"/>
      <w:bookmarkStart w:id="3150" w:name="_Ref206583996"/>
      <w:bookmarkStart w:id="3151" w:name="_Ref181185415"/>
      <w:r w:rsidRPr="008129EB">
        <w:t xml:space="preserve">If there is, or Project Operator expects that there will be, a Commonwealth Deficit as at </w:t>
      </w:r>
      <w:r w:rsidR="007C2693">
        <w:t xml:space="preserve">an </w:t>
      </w:r>
      <w:r w:rsidRPr="008129EB">
        <w:t>Opt-Out Date,</w:t>
      </w:r>
      <w:r w:rsidR="005A721A">
        <w:t xml:space="preserve"> and Project Operator intends to exercise an Option under </w:t>
      </w:r>
      <w:r w:rsidR="005A721A" w:rsidRPr="000B5694">
        <w:t xml:space="preserve">clause </w:t>
      </w:r>
      <w:bookmarkEnd w:id="3149"/>
      <w:r w:rsidR="00230ECC" w:rsidRPr="000B5694">
        <w:fldChar w:fldCharType="begin"/>
      </w:r>
      <w:r w:rsidR="00230ECC" w:rsidRPr="000B5694">
        <w:instrText xml:space="preserve"> REF _Ref205813733 \w \h </w:instrText>
      </w:r>
      <w:r w:rsidR="00306B03" w:rsidRPr="008F660B">
        <w:instrText xml:space="preserve"> \* MERGEFORMAT </w:instrText>
      </w:r>
      <w:r w:rsidR="00230ECC" w:rsidRPr="000B5694">
        <w:fldChar w:fldCharType="separate"/>
      </w:r>
      <w:r w:rsidR="002E5C6A">
        <w:t>14.3(b)</w:t>
      </w:r>
      <w:r w:rsidR="00230ECC" w:rsidRPr="000B5694">
        <w:fldChar w:fldCharType="end"/>
      </w:r>
      <w:r w:rsidR="005A721A">
        <w:t>,</w:t>
      </w:r>
      <w:r w:rsidRPr="008129EB">
        <w:t xml:space="preserve"> then:</w:t>
      </w:r>
      <w:bookmarkEnd w:id="3150"/>
    </w:p>
    <w:p w14:paraId="446A8461" w14:textId="0B4DC28A" w:rsidR="005459C2" w:rsidRPr="00847C21" w:rsidRDefault="005459C2" w:rsidP="008F660B">
      <w:pPr>
        <w:pStyle w:val="Heading4"/>
        <w:numPr>
          <w:ilvl w:val="3"/>
          <w:numId w:val="62"/>
        </w:numPr>
      </w:pPr>
      <w:bookmarkStart w:id="3152" w:name="_Ref181185600"/>
      <w:r w:rsidRPr="008129EB">
        <w:t xml:space="preserve">prior to the relevant Opt-Out Date, Project Operator </w:t>
      </w:r>
      <w:r w:rsidR="005A721A">
        <w:t>must</w:t>
      </w:r>
      <w:r w:rsidRPr="008129EB">
        <w:t xml:space="preserve"> notify </w:t>
      </w:r>
      <w:r w:rsidRPr="00847C21">
        <w:t>the Commonwealth that it will pay the Deficit Amount; and</w:t>
      </w:r>
      <w:bookmarkEnd w:id="3152"/>
    </w:p>
    <w:p w14:paraId="45656324" w14:textId="1D47440B" w:rsidR="005459C2" w:rsidRPr="008129EB" w:rsidRDefault="00AD743A" w:rsidP="008F660B">
      <w:pPr>
        <w:pStyle w:val="Heading4"/>
        <w:numPr>
          <w:ilvl w:val="3"/>
          <w:numId w:val="62"/>
        </w:numPr>
      </w:pPr>
      <w:r w:rsidRPr="00847C21">
        <w:t>if</w:t>
      </w:r>
      <w:r w:rsidR="005459C2" w:rsidRPr="00847C21">
        <w:t xml:space="preserve"> Project Operator has given notice to the Commonwealth under</w:t>
      </w:r>
      <w:r w:rsidR="005A721A" w:rsidRPr="00847C21">
        <w:t xml:space="preserve"> clause</w:t>
      </w:r>
      <w:r w:rsidR="005A721A" w:rsidRPr="000B5694">
        <w:t xml:space="preserve"> </w:t>
      </w:r>
      <w:r w:rsidR="00306B03" w:rsidRPr="000B5694">
        <w:fldChar w:fldCharType="begin"/>
      </w:r>
      <w:r w:rsidR="00306B03" w:rsidRPr="000B5694">
        <w:instrText xml:space="preserve"> REF _Ref181185600 \w \h </w:instrText>
      </w:r>
      <w:r w:rsidR="00306B03" w:rsidRPr="008F660B">
        <w:instrText xml:space="preserve"> \* MERGEFORMAT </w:instrText>
      </w:r>
      <w:r w:rsidR="00306B03" w:rsidRPr="000B5694">
        <w:fldChar w:fldCharType="separate"/>
      </w:r>
      <w:r w:rsidR="002E5C6A">
        <w:t>14.3(d)(i)</w:t>
      </w:r>
      <w:r w:rsidR="00306B03" w:rsidRPr="000B5694">
        <w:fldChar w:fldCharType="end"/>
      </w:r>
      <w:r w:rsidR="005A721A">
        <w:t xml:space="preserve">, </w:t>
      </w:r>
      <w:r w:rsidR="005459C2" w:rsidRPr="008129EB">
        <w:t>then, within 40 Business Days after the relevant Opt-Out Date, Project Operator must:</w:t>
      </w:r>
    </w:p>
    <w:p w14:paraId="5D99371D" w14:textId="3CD108EF" w:rsidR="005459C2" w:rsidRPr="008129EB" w:rsidRDefault="005459C2" w:rsidP="008F660B">
      <w:pPr>
        <w:pStyle w:val="Heading5"/>
        <w:numPr>
          <w:ilvl w:val="4"/>
          <w:numId w:val="62"/>
        </w:numPr>
      </w:pPr>
      <w:r w:rsidRPr="008129EB">
        <w:t xml:space="preserve">pay the Deficit Amount in accordance with clause </w:t>
      </w:r>
      <w:r>
        <w:fldChar w:fldCharType="begin"/>
      </w:r>
      <w:r>
        <w:instrText xml:space="preserve"> REF _Ref467051439 \n \h </w:instrText>
      </w:r>
      <w:r>
        <w:fldChar w:fldCharType="separate"/>
      </w:r>
      <w:r w:rsidR="002E5C6A">
        <w:t>16.3</w:t>
      </w:r>
      <w:r>
        <w:fldChar w:fldCharType="end"/>
      </w:r>
      <w:r w:rsidRPr="008129EB">
        <w:t xml:space="preserve"> (“</w:t>
      </w:r>
      <w:r>
        <w:fldChar w:fldCharType="begin"/>
      </w:r>
      <w:r>
        <w:instrText xml:space="preserve"> REF _Ref467051439 \h </w:instrText>
      </w:r>
      <w:r>
        <w:fldChar w:fldCharType="separate"/>
      </w:r>
      <w:r w:rsidR="002E5C6A" w:rsidRPr="00A016A2">
        <w:t>Payment</w:t>
      </w:r>
      <w:r>
        <w:fldChar w:fldCharType="end"/>
      </w:r>
      <w:r w:rsidRPr="008129EB">
        <w:t>”); and</w:t>
      </w:r>
    </w:p>
    <w:p w14:paraId="59E447F9" w14:textId="77777777" w:rsidR="005459C2" w:rsidRPr="008129EB" w:rsidRDefault="005459C2" w:rsidP="008F660B">
      <w:pPr>
        <w:pStyle w:val="Heading5"/>
        <w:numPr>
          <w:ilvl w:val="4"/>
          <w:numId w:val="62"/>
        </w:numPr>
      </w:pPr>
      <w:r w:rsidRPr="008129EB">
        <w:t>provide sufficient details of the calculation of the Deficit Amount.</w:t>
      </w:r>
    </w:p>
    <w:p w14:paraId="25A9FFA3" w14:textId="760AF43C" w:rsidR="005459C2" w:rsidRPr="008129EB" w:rsidRDefault="005459C2" w:rsidP="008F660B">
      <w:pPr>
        <w:pStyle w:val="Heading3"/>
        <w:numPr>
          <w:ilvl w:val="2"/>
          <w:numId w:val="62"/>
        </w:numPr>
      </w:pPr>
      <w:bookmarkStart w:id="3153" w:name="_Ref181186271"/>
      <w:r w:rsidRPr="008129EB">
        <w:t xml:space="preserve">Any purported exercise of an Option in contravention of paragraphs </w:t>
      </w:r>
      <w:r w:rsidRPr="008129EB">
        <w:fldChar w:fldCharType="begin"/>
      </w:r>
      <w:r w:rsidRPr="008129EB">
        <w:instrText xml:space="preserve"> REF _Ref181185964 \n \h </w:instrText>
      </w:r>
      <w:r w:rsidRPr="008129EB">
        <w:fldChar w:fldCharType="separate"/>
      </w:r>
      <w:r w:rsidR="002E5C6A">
        <w:t>(b)</w:t>
      </w:r>
      <w:r w:rsidRPr="008129EB">
        <w:fldChar w:fldCharType="end"/>
      </w:r>
      <w:r w:rsidRPr="008129EB">
        <w:t xml:space="preserve"> or </w:t>
      </w:r>
      <w:r w:rsidRPr="008129EB">
        <w:fldChar w:fldCharType="begin"/>
      </w:r>
      <w:r w:rsidRPr="008129EB">
        <w:instrText xml:space="preserve"> REF _Ref181185972 \n \h </w:instrText>
      </w:r>
      <w:r w:rsidRPr="008129EB">
        <w:fldChar w:fldCharType="separate"/>
      </w:r>
      <w:r w:rsidR="002E5C6A">
        <w:t>(d)</w:t>
      </w:r>
      <w:r w:rsidRPr="008129EB">
        <w:fldChar w:fldCharType="end"/>
      </w:r>
      <w:r w:rsidRPr="008129EB">
        <w:t xml:space="preserve"> is void and has no force or effect.</w:t>
      </w:r>
      <w:bookmarkEnd w:id="3153"/>
    </w:p>
    <w:p w14:paraId="05C0E470" w14:textId="55E94D53" w:rsidR="005459C2" w:rsidRPr="008129EB" w:rsidRDefault="005459C2" w:rsidP="008F660B">
      <w:pPr>
        <w:pStyle w:val="Heading3"/>
        <w:numPr>
          <w:ilvl w:val="2"/>
          <w:numId w:val="62"/>
        </w:numPr>
      </w:pPr>
      <w:bookmarkStart w:id="3154" w:name="_Ref181186291"/>
      <w:r w:rsidRPr="008129EB">
        <w:t xml:space="preserve">If at any time during the Support </w:t>
      </w:r>
      <w:r w:rsidR="005A721A">
        <w:t>Period</w:t>
      </w:r>
      <w:r w:rsidRPr="008129EB">
        <w:t>:</w:t>
      </w:r>
      <w:bookmarkEnd w:id="3154"/>
    </w:p>
    <w:p w14:paraId="54085675" w14:textId="77777777" w:rsidR="005459C2" w:rsidRPr="008129EB" w:rsidRDefault="005459C2" w:rsidP="008F660B">
      <w:pPr>
        <w:pStyle w:val="Heading4"/>
        <w:numPr>
          <w:ilvl w:val="3"/>
          <w:numId w:val="62"/>
        </w:numPr>
      </w:pPr>
      <w:r w:rsidRPr="008129EB">
        <w:t>Project Operator is the subject of an Insolvency Event;</w:t>
      </w:r>
    </w:p>
    <w:p w14:paraId="5EE9A211" w14:textId="46A759F9" w:rsidR="005459C2" w:rsidRPr="008129EB" w:rsidRDefault="005459C2" w:rsidP="008F660B">
      <w:pPr>
        <w:pStyle w:val="Heading4"/>
        <w:numPr>
          <w:ilvl w:val="3"/>
          <w:numId w:val="62"/>
        </w:numPr>
      </w:pPr>
      <w:r w:rsidRPr="008129EB">
        <w:t xml:space="preserve">a Major Casualty Event has occurred and Project Operator has not provided or complied with an Approved Reinstatement Plan; or </w:t>
      </w:r>
    </w:p>
    <w:p w14:paraId="43FB3EAB" w14:textId="308C9C73" w:rsidR="005459C2" w:rsidRPr="008129EB" w:rsidRDefault="005459C2" w:rsidP="008F660B">
      <w:pPr>
        <w:pStyle w:val="Heading4"/>
        <w:numPr>
          <w:ilvl w:val="3"/>
          <w:numId w:val="62"/>
        </w:numPr>
      </w:pPr>
      <w:r w:rsidRPr="00847C21">
        <w:t>Project Operator is in material breach of this agreement and the</w:t>
      </w:r>
      <w:r w:rsidR="00AD743A" w:rsidRPr="00847C21">
        <w:t xml:space="preserve"> material</w:t>
      </w:r>
      <w:r w:rsidRPr="00847C21">
        <w:t xml:space="preserve"> breach has not been remedied</w:t>
      </w:r>
      <w:r w:rsidR="00AD743A" w:rsidRPr="008F660B">
        <w:t xml:space="preserve"> by Project Operator</w:t>
      </w:r>
      <w:r w:rsidR="00AD743A" w:rsidRPr="00847C21">
        <w:t>,</w:t>
      </w:r>
      <w:r w:rsidR="00BC2BE9">
        <w:t xml:space="preserve"> </w:t>
      </w:r>
      <w:r w:rsidRPr="00847C21">
        <w:t xml:space="preserve">after </w:t>
      </w:r>
      <w:r w:rsidR="00AD743A" w:rsidRPr="00847C21">
        <w:t>it has received</w:t>
      </w:r>
      <w:r w:rsidRPr="00847C21">
        <w:t xml:space="preserve"> notice from the Commonwealth of that </w:t>
      </w:r>
      <w:r w:rsidR="00AD743A" w:rsidRPr="00847C21">
        <w:t xml:space="preserve">material </w:t>
      </w:r>
      <w:r w:rsidRPr="00847C21">
        <w:t>breach, within any applicable notice or cure period relating to that material</w:t>
      </w:r>
      <w:r w:rsidRPr="008129EB">
        <w:t xml:space="preserve"> breach (</w:t>
      </w:r>
      <w:r>
        <w:t>“</w:t>
      </w:r>
      <w:r w:rsidRPr="008129EB">
        <w:rPr>
          <w:b/>
          <w:bCs/>
        </w:rPr>
        <w:t>Unremedied Breach Event</w:t>
      </w:r>
      <w:r>
        <w:t>”</w:t>
      </w:r>
      <w:r w:rsidRPr="008129EB">
        <w:t>),</w:t>
      </w:r>
    </w:p>
    <w:p w14:paraId="189FED75" w14:textId="0675EC02" w:rsidR="005459C2" w:rsidRPr="008129EB" w:rsidRDefault="005459C2" w:rsidP="005459C2">
      <w:pPr>
        <w:pStyle w:val="Heading3"/>
        <w:numPr>
          <w:ilvl w:val="0"/>
          <w:numId w:val="0"/>
        </w:numPr>
        <w:ind w:left="1474"/>
      </w:pPr>
      <w:r w:rsidRPr="008129EB">
        <w:t xml:space="preserve">and the Commonwealth does not waive (at its discretion) the occurrence of any such event for the purposes of this clause </w:t>
      </w:r>
      <w:r>
        <w:fldChar w:fldCharType="begin"/>
      </w:r>
      <w:r>
        <w:instrText xml:space="preserve"> REF _Ref204704529 \n \h </w:instrText>
      </w:r>
      <w:r>
        <w:fldChar w:fldCharType="separate"/>
      </w:r>
      <w:r w:rsidR="002E5C6A">
        <w:t>14.3</w:t>
      </w:r>
      <w:r>
        <w:fldChar w:fldCharType="end"/>
      </w:r>
      <w:r w:rsidRPr="008129EB">
        <w:t>, then upon and from the occurrence of that event:</w:t>
      </w:r>
    </w:p>
    <w:p w14:paraId="4A6551FB" w14:textId="6269206E" w:rsidR="005459C2" w:rsidRPr="008129EB" w:rsidRDefault="005459C2" w:rsidP="008F660B">
      <w:pPr>
        <w:pStyle w:val="Heading4"/>
        <w:numPr>
          <w:ilvl w:val="3"/>
          <w:numId w:val="62"/>
        </w:numPr>
      </w:pPr>
      <w:r w:rsidRPr="008129EB">
        <w:t>Project Operator is deemed to have exercised an Option in accordance with clause</w:t>
      </w:r>
      <w:r>
        <w:t xml:space="preserve"> </w:t>
      </w:r>
      <w:r w:rsidRPr="000B5694">
        <w:fldChar w:fldCharType="begin"/>
      </w:r>
      <w:r w:rsidRPr="000B5694">
        <w:instrText xml:space="preserve"> REF _Ref204704529 \n \h </w:instrText>
      </w:r>
      <w:r w:rsidR="000B5694">
        <w:instrText xml:space="preserve"> \* MERGEFORMAT </w:instrText>
      </w:r>
      <w:r w:rsidRPr="000B5694">
        <w:fldChar w:fldCharType="separate"/>
      </w:r>
      <w:r w:rsidR="002E5C6A">
        <w:t>14.3</w:t>
      </w:r>
      <w:r w:rsidRPr="000B5694">
        <w:fldChar w:fldCharType="end"/>
      </w:r>
      <w:r w:rsidR="007C2693" w:rsidRPr="008129EB">
        <w:fldChar w:fldCharType="begin"/>
      </w:r>
      <w:r w:rsidR="007C2693" w:rsidRPr="008129EB">
        <w:instrText xml:space="preserve"> REF _Ref181185964 \n \h  \* MERGEFORMAT </w:instrText>
      </w:r>
      <w:r w:rsidR="007C2693" w:rsidRPr="008129EB">
        <w:fldChar w:fldCharType="separate"/>
      </w:r>
      <w:r w:rsidR="002E5C6A">
        <w:t>(b)</w:t>
      </w:r>
      <w:r w:rsidR="007C2693" w:rsidRPr="008129EB">
        <w:fldChar w:fldCharType="end"/>
      </w:r>
      <w:r w:rsidRPr="008129EB">
        <w:t>; and</w:t>
      </w:r>
    </w:p>
    <w:p w14:paraId="2C06F808" w14:textId="132AEDA9" w:rsidR="005459C2" w:rsidRPr="008129EB" w:rsidRDefault="005A721A" w:rsidP="008F660B">
      <w:pPr>
        <w:pStyle w:val="Heading4"/>
        <w:numPr>
          <w:ilvl w:val="3"/>
          <w:numId w:val="62"/>
        </w:numPr>
      </w:pPr>
      <w:r w:rsidRPr="000B5694">
        <w:t xml:space="preserve">clause </w:t>
      </w:r>
      <w:r w:rsidR="00AB0AAA" w:rsidRPr="000B5694">
        <w:fldChar w:fldCharType="begin"/>
      </w:r>
      <w:r w:rsidR="00AB0AAA" w:rsidRPr="000B5694">
        <w:instrText xml:space="preserve"> REF _Ref181186542 \w \h </w:instrText>
      </w:r>
      <w:r w:rsidR="00AB0AAA" w:rsidRPr="008F660B">
        <w:instrText xml:space="preserve"> \* MERGEFORMAT </w:instrText>
      </w:r>
      <w:r w:rsidR="00AB0AAA" w:rsidRPr="000B5694">
        <w:fldChar w:fldCharType="separate"/>
      </w:r>
      <w:r w:rsidR="002E5C6A">
        <w:t>14.1(d)</w:t>
      </w:r>
      <w:r w:rsidR="00AB0AAA" w:rsidRPr="000B5694">
        <w:fldChar w:fldCharType="end"/>
      </w:r>
      <w:r>
        <w:t xml:space="preserve"> will not apply, and </w:t>
      </w:r>
      <w:r w:rsidR="005459C2" w:rsidRPr="008129EB">
        <w:t>the Opt-out Period for the purposes of that Option will be taken to be the period of time commencing on the occurrence of that event and continuing until the earlier of the cessation of the event and the end of the Support Period,</w:t>
      </w:r>
    </w:p>
    <w:p w14:paraId="5F27D901" w14:textId="7750EC07" w:rsidR="005459C2" w:rsidRPr="005459C2" w:rsidRDefault="005459C2" w:rsidP="005459C2">
      <w:pPr>
        <w:pStyle w:val="Heading4"/>
        <w:numPr>
          <w:ilvl w:val="0"/>
          <w:numId w:val="0"/>
        </w:numPr>
        <w:ind w:left="1474"/>
      </w:pPr>
      <w:r w:rsidRPr="008129EB">
        <w:t>provided that Project Operator will not be required to pay any Commonwealth Deficit that exists as at the commencement (or during the continuation) of the event.</w:t>
      </w:r>
      <w:bookmarkEnd w:id="3151"/>
    </w:p>
    <w:p w14:paraId="671684C8" w14:textId="77777777" w:rsidR="000F38FD" w:rsidRPr="00AD5990" w:rsidRDefault="000F38FD" w:rsidP="0058045D">
      <w:pPr>
        <w:pStyle w:val="Heading2"/>
      </w:pPr>
      <w:bookmarkStart w:id="3155" w:name="_Ref167370110"/>
      <w:bookmarkStart w:id="3156" w:name="_Toc167442282"/>
      <w:bookmarkStart w:id="3157" w:name="_Toc207309624"/>
      <w:r w:rsidRPr="00AD5990">
        <w:t>Final Support Commencement Date</w:t>
      </w:r>
      <w:bookmarkEnd w:id="3155"/>
      <w:bookmarkEnd w:id="3156"/>
      <w:bookmarkEnd w:id="3157"/>
      <w:r w:rsidRPr="00AD5990">
        <w:t xml:space="preserve"> </w:t>
      </w:r>
    </w:p>
    <w:p w14:paraId="65F0D135" w14:textId="60B7BA37" w:rsidR="000F38FD" w:rsidRPr="00AD5990" w:rsidRDefault="000F38FD" w:rsidP="0058045D">
      <w:pPr>
        <w:pStyle w:val="Heading3"/>
      </w:pPr>
      <w:r w:rsidRPr="00AD5990">
        <w:t>Project Operator acknowledges that the Final Support Commencement Date represents the last date on which the Support Period must commence</w:t>
      </w:r>
      <w:r w:rsidR="00905625">
        <w:t>,</w:t>
      </w:r>
      <w:r w:rsidRPr="00AD5990">
        <w:t xml:space="preserve"> regardless of whether or not Project Operator has achieved the Commercial Operations Date.</w:t>
      </w:r>
    </w:p>
    <w:p w14:paraId="6296D550" w14:textId="04CAC2EA" w:rsidR="000F38FD" w:rsidRPr="00AD5990" w:rsidRDefault="000F38FD" w:rsidP="0058045D">
      <w:pPr>
        <w:pStyle w:val="Heading3"/>
      </w:pPr>
      <w:r w:rsidRPr="00AD5990">
        <w:t>Despite anything else in this agreement (including clause</w:t>
      </w:r>
      <w:r w:rsidR="00F7304C" w:rsidRPr="00792B2E">
        <w:t xml:space="preserve"> </w:t>
      </w:r>
      <w:r w:rsidR="00FD335D">
        <w:fldChar w:fldCharType="begin"/>
      </w:r>
      <w:r w:rsidR="00FD335D">
        <w:instrText xml:space="preserve"> REF _Ref167902412 \r \h </w:instrText>
      </w:r>
      <w:r w:rsidR="0050377C">
        <w:instrText xml:space="preserve"> \* MERGEFORMAT </w:instrText>
      </w:r>
      <w:r w:rsidR="00FD335D">
        <w:fldChar w:fldCharType="separate"/>
      </w:r>
      <w:r w:rsidR="002E5C6A">
        <w:t>19</w:t>
      </w:r>
      <w:r w:rsidR="00FD335D">
        <w:fldChar w:fldCharType="end"/>
      </w:r>
      <w:r w:rsidRPr="00AD5990">
        <w:t xml:space="preserve"> (“</w:t>
      </w:r>
      <w:r w:rsidR="00F7304C" w:rsidRPr="00792B2E">
        <w:fldChar w:fldCharType="begin"/>
      </w:r>
      <w:r w:rsidR="00F7304C" w:rsidRPr="00792B2E">
        <w:instrText xml:space="preserve"> REF _Ref167895601 \h </w:instrText>
      </w:r>
      <w:r w:rsidR="00AD5990">
        <w:instrText xml:space="preserve"> \* MERGEFORMAT </w:instrText>
      </w:r>
      <w:r w:rsidR="00F7304C" w:rsidRPr="00792B2E">
        <w:fldChar w:fldCharType="separate"/>
      </w:r>
      <w:r w:rsidR="002E5C6A">
        <w:t>Force Majeure</w:t>
      </w:r>
      <w:r w:rsidR="00F7304C" w:rsidRPr="00792B2E">
        <w:fldChar w:fldCharType="end"/>
      </w:r>
      <w:r w:rsidRPr="00AD5990">
        <w:t>”)), the Final Support Commencement Date may not be extended or otherwise adjusted under this agreement</w:t>
      </w:r>
      <w:r w:rsidR="005A721A">
        <w:t xml:space="preserve"> (even if the COD Sunset Date is extended).</w:t>
      </w:r>
    </w:p>
    <w:p w14:paraId="1D619199" w14:textId="1230A14D" w:rsidR="00905625" w:rsidRDefault="000F38FD" w:rsidP="0058045D">
      <w:pPr>
        <w:pStyle w:val="Heading3"/>
      </w:pPr>
      <w:bookmarkStart w:id="3158" w:name="_Ref167369997"/>
      <w:r w:rsidRPr="00AD5990">
        <w:t xml:space="preserve">Except in circumstances </w:t>
      </w:r>
      <w:r w:rsidR="00905625">
        <w:t>in which</w:t>
      </w:r>
      <w:r w:rsidR="00905625" w:rsidRPr="00AD5990">
        <w:t xml:space="preserve"> </w:t>
      </w:r>
      <w:r w:rsidRPr="00AD5990">
        <w:t xml:space="preserve">the Commonwealth elects to terminate this agreement, and subject to </w:t>
      </w:r>
      <w:r w:rsidR="007C2693">
        <w:t>clauses</w:t>
      </w:r>
      <w:r w:rsidR="007C2693" w:rsidRPr="00AD5990">
        <w:t xml:space="preserve"> </w:t>
      </w:r>
      <w:r w:rsidR="007C2693" w:rsidRPr="00AD5990">
        <w:fldChar w:fldCharType="begin"/>
      </w:r>
      <w:r w:rsidR="007C2693" w:rsidRPr="00AD5990">
        <w:instrText xml:space="preserve"> REF _Ref167370110 \w \h  \* MERGEFORMAT </w:instrText>
      </w:r>
      <w:r w:rsidR="007C2693" w:rsidRPr="00AD5990">
        <w:fldChar w:fldCharType="separate"/>
      </w:r>
      <w:r w:rsidR="002E5C6A">
        <w:t>14.4</w:t>
      </w:r>
      <w:r w:rsidR="007C2693" w:rsidRPr="00AD5990">
        <w:fldChar w:fldCharType="end"/>
      </w:r>
      <w:r w:rsidRPr="00AD5990">
        <w:fldChar w:fldCharType="begin"/>
      </w:r>
      <w:r w:rsidRPr="00AD5990">
        <w:instrText xml:space="preserve"> REF _Ref151020080 \n \h </w:instrText>
      </w:r>
      <w:r w:rsidR="00756445" w:rsidRPr="00AD5990">
        <w:instrText xml:space="preserve"> \* MERGEFORMAT </w:instrText>
      </w:r>
      <w:r w:rsidRPr="00AD5990">
        <w:fldChar w:fldCharType="separate"/>
      </w:r>
      <w:r w:rsidR="002E5C6A">
        <w:t>(d)</w:t>
      </w:r>
      <w:r w:rsidRPr="00AD5990">
        <w:fldChar w:fldCharType="end"/>
      </w:r>
      <w:r w:rsidRPr="00AD5990">
        <w:t xml:space="preserve"> and </w:t>
      </w:r>
      <w:r w:rsidR="007C2693" w:rsidRPr="00AD5990">
        <w:fldChar w:fldCharType="begin"/>
      </w:r>
      <w:r w:rsidR="007C2693" w:rsidRPr="00AD5990">
        <w:instrText xml:space="preserve"> REF _Ref167370110 \w \h  \* MERGEFORMAT </w:instrText>
      </w:r>
      <w:r w:rsidR="007C2693" w:rsidRPr="00AD5990">
        <w:fldChar w:fldCharType="separate"/>
      </w:r>
      <w:r w:rsidR="002E5C6A">
        <w:t>14.4</w:t>
      </w:r>
      <w:r w:rsidR="007C2693" w:rsidRPr="00AD5990">
        <w:fldChar w:fldCharType="end"/>
      </w:r>
      <w:r w:rsidRPr="00AD5990">
        <w:fldChar w:fldCharType="begin"/>
      </w:r>
      <w:r w:rsidRPr="00AD5990">
        <w:instrText xml:space="preserve"> REF _Ref151601845 \n \h </w:instrText>
      </w:r>
      <w:r w:rsidR="00756445" w:rsidRPr="00AD5990">
        <w:instrText xml:space="preserve"> \* MERGEFORMAT </w:instrText>
      </w:r>
      <w:r w:rsidRPr="00AD5990">
        <w:fldChar w:fldCharType="separate"/>
      </w:r>
      <w:r w:rsidR="002E5C6A">
        <w:t>(e)</w:t>
      </w:r>
      <w:r w:rsidRPr="00AD5990">
        <w:fldChar w:fldCharType="end"/>
      </w:r>
      <w:r w:rsidRPr="00AD5990">
        <w:t xml:space="preserve">, the sole consequence of Project Operator’s failure to achieve the Commercial Operations Date by the Final Support Commencement Date </w:t>
      </w:r>
      <w:r w:rsidR="005A721A">
        <w:t>are</w:t>
      </w:r>
      <w:r w:rsidRPr="00AD5990">
        <w:t xml:space="preserve"> limited to</w:t>
      </w:r>
      <w:r w:rsidR="00905625">
        <w:t>:</w:t>
      </w:r>
      <w:r w:rsidRPr="00AD5990">
        <w:t xml:space="preserve"> </w:t>
      </w:r>
    </w:p>
    <w:p w14:paraId="14E0FAF5" w14:textId="77777777" w:rsidR="00905625" w:rsidRDefault="000F38FD" w:rsidP="00905625">
      <w:pPr>
        <w:pStyle w:val="Heading4"/>
      </w:pPr>
      <w:r w:rsidRPr="00AD5990">
        <w:t xml:space="preserve">the Support Period </w:t>
      </w:r>
      <w:r w:rsidR="00FD335D">
        <w:t xml:space="preserve">commencing on the Final Support Commencement Date </w:t>
      </w:r>
      <w:r w:rsidRPr="00AD5990">
        <w:t>in accordance with the definition of that term</w:t>
      </w:r>
      <w:r w:rsidR="00905625">
        <w:t>;</w:t>
      </w:r>
      <w:r w:rsidRPr="00AD5990">
        <w:t xml:space="preserve"> and </w:t>
      </w:r>
    </w:p>
    <w:p w14:paraId="4F824FF4" w14:textId="742B2ED7" w:rsidR="000F38FD" w:rsidRDefault="000F38FD" w:rsidP="00905625">
      <w:pPr>
        <w:pStyle w:val="Heading4"/>
      </w:pPr>
      <w:r w:rsidRPr="00AD5990">
        <w:t xml:space="preserve">the amount of any Quarterly Payment Amounts and Annual </w:t>
      </w:r>
      <w:r w:rsidR="005A721A">
        <w:t>Reconciliation Payments</w:t>
      </w:r>
      <w:r w:rsidRPr="00AD5990">
        <w:t xml:space="preserve"> not </w:t>
      </w:r>
      <w:r w:rsidR="005A721A">
        <w:t xml:space="preserve">being </w:t>
      </w:r>
      <w:r w:rsidRPr="00AD5990">
        <w:t>required to be paid by the Commonwealth in those circumstances</w:t>
      </w:r>
      <w:bookmarkEnd w:id="3158"/>
      <w:r w:rsidR="00FD335D">
        <w:t xml:space="preserve"> between the Final Support Commencement Date and the Commercial Operations Date</w:t>
      </w:r>
      <w:r w:rsidRPr="00AD5990">
        <w:t>.</w:t>
      </w:r>
    </w:p>
    <w:p w14:paraId="55422113" w14:textId="5CF6BD90" w:rsidR="000F38FD" w:rsidRPr="00AD5990" w:rsidRDefault="000F38FD" w:rsidP="0058045D">
      <w:pPr>
        <w:pStyle w:val="Heading3"/>
      </w:pPr>
      <w:bookmarkStart w:id="3159" w:name="_Ref151020080"/>
      <w:bookmarkStart w:id="3160" w:name="_Ref167901881"/>
      <w:bookmarkStart w:id="3161" w:name="_Ref150877425"/>
      <w:r w:rsidRPr="00AD5990">
        <w:t xml:space="preserve">Project Operator acknowledges and agrees that </w:t>
      </w:r>
      <w:r w:rsidR="00484E9C">
        <w:t xml:space="preserve">clause </w:t>
      </w:r>
      <w:r w:rsidR="00484E9C" w:rsidRPr="00AD5990">
        <w:fldChar w:fldCharType="begin"/>
      </w:r>
      <w:r w:rsidR="00484E9C" w:rsidRPr="00AD5990">
        <w:instrText xml:space="preserve"> REF _Ref167370110 \w \h  \* MERGEFORMAT </w:instrText>
      </w:r>
      <w:r w:rsidR="00484E9C" w:rsidRPr="00AD5990">
        <w:fldChar w:fldCharType="separate"/>
      </w:r>
      <w:r w:rsidR="002E5C6A">
        <w:t>14.4</w:t>
      </w:r>
      <w:r w:rsidR="00484E9C" w:rsidRPr="00AD5990">
        <w:fldChar w:fldCharType="end"/>
      </w:r>
      <w:r w:rsidRPr="00AD5990">
        <w:fldChar w:fldCharType="begin"/>
      </w:r>
      <w:r w:rsidRPr="00AD5990">
        <w:instrText xml:space="preserve"> REF _Ref167369997 \n \h </w:instrText>
      </w:r>
      <w:r w:rsidR="00756445" w:rsidRPr="00AD5990">
        <w:instrText xml:space="preserve"> \* MERGEFORMAT </w:instrText>
      </w:r>
      <w:r w:rsidRPr="00AD5990">
        <w:fldChar w:fldCharType="separate"/>
      </w:r>
      <w:r w:rsidR="002E5C6A">
        <w:t>(c)</w:t>
      </w:r>
      <w:r w:rsidRPr="00AD5990">
        <w:fldChar w:fldCharType="end"/>
      </w:r>
      <w:r w:rsidRPr="00AD5990">
        <w:t xml:space="preserve"> does not limit the Commonwealth’s rights and Project Operator’s liability in respect of an event giving rise to the delay in achieving the Commercial Operations Date or the consequences of such event</w:t>
      </w:r>
      <w:bookmarkEnd w:id="3159"/>
      <w:r w:rsidRPr="00AD5990">
        <w:t>.</w:t>
      </w:r>
      <w:bookmarkEnd w:id="3160"/>
      <w:r w:rsidRPr="00AD5990">
        <w:t xml:space="preserve"> </w:t>
      </w:r>
    </w:p>
    <w:p w14:paraId="64FBC325" w14:textId="1317172F" w:rsidR="000F38FD" w:rsidRPr="00AD5990" w:rsidRDefault="000F38FD" w:rsidP="008C038D">
      <w:pPr>
        <w:pStyle w:val="Heading3"/>
        <w:keepNext/>
      </w:pPr>
      <w:bookmarkStart w:id="3162" w:name="_Ref151601845"/>
      <w:bookmarkEnd w:id="3161"/>
      <w:r w:rsidRPr="00AD5990">
        <w:t xml:space="preserve">This clause </w:t>
      </w:r>
      <w:r w:rsidRPr="00AD5990">
        <w:fldChar w:fldCharType="begin"/>
      </w:r>
      <w:r w:rsidRPr="00AD5990">
        <w:instrText xml:space="preserve"> REF _Ref167370110 \w \h </w:instrText>
      </w:r>
      <w:r w:rsidR="00756445" w:rsidRPr="00AD5990">
        <w:instrText xml:space="preserve"> \* MERGEFORMAT </w:instrText>
      </w:r>
      <w:r w:rsidRPr="00AD5990">
        <w:fldChar w:fldCharType="separate"/>
      </w:r>
      <w:r w:rsidR="002E5C6A">
        <w:t>14.4</w:t>
      </w:r>
      <w:r w:rsidRPr="00AD5990">
        <w:fldChar w:fldCharType="end"/>
      </w:r>
      <w:r w:rsidRPr="00AD5990">
        <w:t xml:space="preserve"> is without prejudice to:</w:t>
      </w:r>
      <w:bookmarkEnd w:id="3162"/>
    </w:p>
    <w:p w14:paraId="297A5C34" w14:textId="4205CCF9" w:rsidR="000F38FD" w:rsidRPr="00AD5990" w:rsidRDefault="000F38FD" w:rsidP="0058045D">
      <w:pPr>
        <w:pStyle w:val="Heading4"/>
      </w:pPr>
      <w:r w:rsidRPr="00AD5990">
        <w:t xml:space="preserve">any rights or remedies the Commonwealth may have in relation to matters arising under or in connection with this agreement (other than those specifically referred to in this clause </w:t>
      </w:r>
      <w:r w:rsidRPr="00AD5990">
        <w:fldChar w:fldCharType="begin"/>
      </w:r>
      <w:r w:rsidRPr="00AD5990">
        <w:instrText xml:space="preserve"> REF _Ref167370110 \w \h </w:instrText>
      </w:r>
      <w:r w:rsidR="00756445" w:rsidRPr="00792B2E">
        <w:instrText xml:space="preserve"> \* MERGEFORMAT </w:instrText>
      </w:r>
      <w:r w:rsidRPr="00AD5990">
        <w:fldChar w:fldCharType="separate"/>
      </w:r>
      <w:r w:rsidR="002E5C6A">
        <w:t>14.4</w:t>
      </w:r>
      <w:r w:rsidRPr="00AD5990">
        <w:fldChar w:fldCharType="end"/>
      </w:r>
      <w:r w:rsidRPr="00AD5990">
        <w:t>); and</w:t>
      </w:r>
    </w:p>
    <w:p w14:paraId="562FF0BC" w14:textId="1DD9EAAC" w:rsidR="000F38FD" w:rsidRPr="00AD5990" w:rsidRDefault="000F38FD" w:rsidP="0058045D">
      <w:pPr>
        <w:pStyle w:val="Heading4"/>
      </w:pPr>
      <w:r w:rsidRPr="00AD5990">
        <w:t xml:space="preserve">clauses </w:t>
      </w:r>
      <w:r w:rsidR="00E625EC">
        <w:fldChar w:fldCharType="begin"/>
      </w:r>
      <w:r w:rsidR="00E625EC">
        <w:instrText xml:space="preserve"> REF _Ref180353388 \n \h </w:instrText>
      </w:r>
      <w:r w:rsidR="00E625EC">
        <w:fldChar w:fldCharType="separate"/>
      </w:r>
      <w:r w:rsidR="002E5C6A">
        <w:t>5</w:t>
      </w:r>
      <w:r w:rsidR="00E625EC">
        <w:fldChar w:fldCharType="end"/>
      </w:r>
      <w:r w:rsidR="00E625EC">
        <w:t xml:space="preserve"> </w:t>
      </w:r>
      <w:r w:rsidRPr="00AD5990">
        <w:t>(“</w:t>
      </w:r>
      <w:r w:rsidR="00E625EC">
        <w:fldChar w:fldCharType="begin"/>
      </w:r>
      <w:r w:rsidR="00E625EC">
        <w:instrText xml:space="preserve"> REF _Ref180353388 \h </w:instrText>
      </w:r>
      <w:r w:rsidR="00E625EC">
        <w:fldChar w:fldCharType="separate"/>
      </w:r>
      <w:r w:rsidR="002E5C6A">
        <w:t>Achievement of Milestones</w:t>
      </w:r>
      <w:r w:rsidR="00E625EC">
        <w:fldChar w:fldCharType="end"/>
      </w:r>
      <w:r w:rsidRPr="00AD5990">
        <w:t xml:space="preserve">”) and </w:t>
      </w:r>
      <w:r w:rsidRPr="00AD5990">
        <w:fldChar w:fldCharType="begin"/>
      </w:r>
      <w:r w:rsidRPr="00AD5990">
        <w:instrText xml:space="preserve"> REF _Ref103589240 \w \h </w:instrText>
      </w:r>
      <w:r w:rsidR="00756445" w:rsidRPr="00792B2E">
        <w:instrText xml:space="preserve"> \* MERGEFORMAT </w:instrText>
      </w:r>
      <w:r w:rsidRPr="00AD5990">
        <w:fldChar w:fldCharType="separate"/>
      </w:r>
      <w:r w:rsidR="002E5C6A">
        <w:t>7</w:t>
      </w:r>
      <w:r w:rsidRPr="00AD5990">
        <w:fldChar w:fldCharType="end"/>
      </w:r>
      <w:r w:rsidRPr="00AD5990">
        <w:t xml:space="preserve"> (“</w:t>
      </w:r>
      <w:r w:rsidRPr="00AD5990">
        <w:fldChar w:fldCharType="begin"/>
      </w:r>
      <w:r w:rsidRPr="00AD5990">
        <w:instrText xml:space="preserve"> REF _Ref103589240 \h </w:instrText>
      </w:r>
      <w:r w:rsidR="00756445" w:rsidRPr="00792B2E">
        <w:instrText xml:space="preserve"> \* MERGEFORMAT </w:instrText>
      </w:r>
      <w:r w:rsidRPr="00AD5990">
        <w:fldChar w:fldCharType="separate"/>
      </w:r>
      <w:r w:rsidR="002E5C6A">
        <w:t>COD Conditions</w:t>
      </w:r>
      <w:r w:rsidRPr="00AD5990">
        <w:fldChar w:fldCharType="end"/>
      </w:r>
      <w:r w:rsidRPr="00AD5990">
        <w:t>”).</w:t>
      </w:r>
    </w:p>
    <w:p w14:paraId="08333ED5" w14:textId="4D7F9C2F" w:rsidR="00980F36" w:rsidRDefault="2BC382E4" w:rsidP="00D9202B">
      <w:pPr>
        <w:pStyle w:val="Heading1"/>
      </w:pPr>
      <w:bookmarkStart w:id="3163" w:name="_Toc167471136"/>
      <w:bookmarkStart w:id="3164" w:name="_Toc167473545"/>
      <w:bookmarkStart w:id="3165" w:name="_Toc167474198"/>
      <w:bookmarkStart w:id="3166" w:name="_Toc167471137"/>
      <w:bookmarkStart w:id="3167" w:name="_Toc167473546"/>
      <w:bookmarkStart w:id="3168" w:name="_Toc167474199"/>
      <w:bookmarkStart w:id="3169" w:name="_Toc163496176"/>
      <w:bookmarkStart w:id="3170" w:name="_Toc167471138"/>
      <w:bookmarkStart w:id="3171" w:name="_Toc167473547"/>
      <w:bookmarkStart w:id="3172" w:name="_Toc167474200"/>
      <w:bookmarkStart w:id="3173" w:name="_Toc167471139"/>
      <w:bookmarkStart w:id="3174" w:name="_Toc167473548"/>
      <w:bookmarkStart w:id="3175" w:name="_Toc167474201"/>
      <w:bookmarkStart w:id="3176" w:name="_Toc167471140"/>
      <w:bookmarkStart w:id="3177" w:name="_Toc167473549"/>
      <w:bookmarkStart w:id="3178" w:name="_Toc167474202"/>
      <w:bookmarkStart w:id="3179" w:name="_Toc167471141"/>
      <w:bookmarkStart w:id="3180" w:name="_Toc167473550"/>
      <w:bookmarkStart w:id="3181" w:name="_Toc167474203"/>
      <w:bookmarkStart w:id="3182" w:name="_Toc167471142"/>
      <w:bookmarkStart w:id="3183" w:name="_Toc167473551"/>
      <w:bookmarkStart w:id="3184" w:name="_Toc167474204"/>
      <w:bookmarkStart w:id="3185" w:name="_Toc167471143"/>
      <w:bookmarkStart w:id="3186" w:name="_Toc167473552"/>
      <w:bookmarkStart w:id="3187" w:name="_Toc167474205"/>
      <w:bookmarkStart w:id="3188" w:name="_Toc167471144"/>
      <w:bookmarkStart w:id="3189" w:name="_Toc167473553"/>
      <w:bookmarkStart w:id="3190" w:name="_Toc167474206"/>
      <w:bookmarkStart w:id="3191" w:name="_Toc167471145"/>
      <w:bookmarkStart w:id="3192" w:name="_Toc167473554"/>
      <w:bookmarkStart w:id="3193" w:name="_Toc167474207"/>
      <w:bookmarkStart w:id="3194" w:name="_Toc167471146"/>
      <w:bookmarkStart w:id="3195" w:name="_Toc167473555"/>
      <w:bookmarkStart w:id="3196" w:name="_Toc167474208"/>
      <w:bookmarkStart w:id="3197" w:name="_Toc167471147"/>
      <w:bookmarkStart w:id="3198" w:name="_Toc167473556"/>
      <w:bookmarkStart w:id="3199" w:name="_Toc167474209"/>
      <w:bookmarkStart w:id="3200" w:name="_Toc163496179"/>
      <w:bookmarkStart w:id="3201" w:name="_Toc163496180"/>
      <w:bookmarkStart w:id="3202" w:name="_Toc163496181"/>
      <w:bookmarkStart w:id="3203" w:name="_Toc163496182"/>
      <w:bookmarkStart w:id="3204" w:name="_Toc163496183"/>
      <w:bookmarkStart w:id="3205" w:name="_Toc163496184"/>
      <w:bookmarkStart w:id="3206" w:name="_Toc108098039"/>
      <w:bookmarkStart w:id="3207" w:name="_Toc108425435"/>
      <w:bookmarkStart w:id="3208" w:name="_Toc108098040"/>
      <w:bookmarkStart w:id="3209" w:name="_Toc108425436"/>
      <w:bookmarkStart w:id="3210" w:name="_Toc106118468"/>
      <w:bookmarkStart w:id="3211" w:name="_Toc106290382"/>
      <w:bookmarkStart w:id="3212" w:name="_Toc106118469"/>
      <w:bookmarkStart w:id="3213" w:name="_Toc106290383"/>
      <w:bookmarkStart w:id="3214" w:name="_Toc106118470"/>
      <w:bookmarkStart w:id="3215" w:name="_Toc106290384"/>
      <w:bookmarkStart w:id="3216" w:name="_Toc167471148"/>
      <w:bookmarkStart w:id="3217" w:name="_Toc167473557"/>
      <w:bookmarkStart w:id="3218" w:name="_Toc167474210"/>
      <w:bookmarkStart w:id="3219" w:name="_Toc167471149"/>
      <w:bookmarkStart w:id="3220" w:name="_Toc167473558"/>
      <w:bookmarkStart w:id="3221" w:name="_Toc167474211"/>
      <w:bookmarkStart w:id="3222" w:name="_Toc167471150"/>
      <w:bookmarkStart w:id="3223" w:name="_Toc167473559"/>
      <w:bookmarkStart w:id="3224" w:name="_Toc167474212"/>
      <w:bookmarkStart w:id="3225" w:name="_Toc167471151"/>
      <w:bookmarkStart w:id="3226" w:name="_Toc167473560"/>
      <w:bookmarkStart w:id="3227" w:name="_Toc167474213"/>
      <w:bookmarkStart w:id="3228" w:name="_Toc167471152"/>
      <w:bookmarkStart w:id="3229" w:name="_Toc167473561"/>
      <w:bookmarkStart w:id="3230" w:name="_Toc167474214"/>
      <w:bookmarkStart w:id="3231" w:name="_Toc167471153"/>
      <w:bookmarkStart w:id="3232" w:name="_Toc167473562"/>
      <w:bookmarkStart w:id="3233" w:name="_Toc167474215"/>
      <w:bookmarkStart w:id="3234" w:name="_Toc166256486"/>
      <w:bookmarkStart w:id="3235" w:name="_Toc166256487"/>
      <w:bookmarkStart w:id="3236" w:name="_Toc166256488"/>
      <w:bookmarkStart w:id="3237" w:name="_Toc166256489"/>
      <w:bookmarkStart w:id="3238" w:name="_Toc166256490"/>
      <w:bookmarkStart w:id="3239" w:name="_Toc166256491"/>
      <w:bookmarkStart w:id="3240" w:name="_Toc166256492"/>
      <w:bookmarkStart w:id="3241" w:name="_Toc166256493"/>
      <w:bookmarkStart w:id="3242" w:name="_Toc166256494"/>
      <w:bookmarkStart w:id="3243" w:name="_Toc166256495"/>
      <w:bookmarkStart w:id="3244" w:name="_Toc166256496"/>
      <w:bookmarkStart w:id="3245" w:name="_Toc163496188"/>
      <w:bookmarkStart w:id="3246" w:name="_Toc167471155"/>
      <w:bookmarkStart w:id="3247" w:name="_Toc167473564"/>
      <w:bookmarkStart w:id="3248" w:name="_Toc167474217"/>
      <w:bookmarkStart w:id="3249" w:name="_Toc167471156"/>
      <w:bookmarkStart w:id="3250" w:name="_Toc167473565"/>
      <w:bookmarkStart w:id="3251" w:name="_Toc167474218"/>
      <w:bookmarkStart w:id="3252" w:name="_Toc167471157"/>
      <w:bookmarkStart w:id="3253" w:name="_Toc167473566"/>
      <w:bookmarkStart w:id="3254" w:name="_Toc167474219"/>
      <w:bookmarkStart w:id="3255" w:name="_Toc167471158"/>
      <w:bookmarkStart w:id="3256" w:name="_Toc167473567"/>
      <w:bookmarkStart w:id="3257" w:name="_Toc167474220"/>
      <w:bookmarkStart w:id="3258" w:name="_Toc167471159"/>
      <w:bookmarkStart w:id="3259" w:name="_Toc167473568"/>
      <w:bookmarkStart w:id="3260" w:name="_Toc167474221"/>
      <w:bookmarkStart w:id="3261" w:name="_Toc167471160"/>
      <w:bookmarkStart w:id="3262" w:name="_Toc167473569"/>
      <w:bookmarkStart w:id="3263" w:name="_Toc167474222"/>
      <w:bookmarkStart w:id="3264" w:name="_Toc167471161"/>
      <w:bookmarkStart w:id="3265" w:name="_Toc167473570"/>
      <w:bookmarkStart w:id="3266" w:name="_Toc167474223"/>
      <w:bookmarkStart w:id="3267" w:name="_Toc167471162"/>
      <w:bookmarkStart w:id="3268" w:name="_Toc167473571"/>
      <w:bookmarkStart w:id="3269" w:name="_Toc167474224"/>
      <w:bookmarkStart w:id="3270" w:name="_Toc167471163"/>
      <w:bookmarkStart w:id="3271" w:name="_Toc167473572"/>
      <w:bookmarkStart w:id="3272" w:name="_Toc167474225"/>
      <w:bookmarkStart w:id="3273" w:name="_Toc167471164"/>
      <w:bookmarkStart w:id="3274" w:name="_Toc167473573"/>
      <w:bookmarkStart w:id="3275" w:name="_Toc167474226"/>
      <w:bookmarkStart w:id="3276" w:name="_Toc167471165"/>
      <w:bookmarkStart w:id="3277" w:name="_Toc167473574"/>
      <w:bookmarkStart w:id="3278" w:name="_Toc167474227"/>
      <w:bookmarkStart w:id="3279" w:name="_Ref114075749"/>
      <w:bookmarkStart w:id="3280" w:name="_Ref163561123"/>
      <w:bookmarkStart w:id="3281" w:name="_Ref163562212"/>
      <w:bookmarkStart w:id="3282" w:name="_Ref163566063"/>
      <w:bookmarkStart w:id="3283" w:name="_Toc207309625"/>
      <w:bookmarkEnd w:id="3001"/>
      <w:bookmarkEnd w:id="3002"/>
      <w:bookmarkEnd w:id="3003"/>
      <w:bookmarkEnd w:id="3004"/>
      <w:bookmarkEnd w:id="3005"/>
      <w:bookmarkEnd w:id="3006"/>
      <w:bookmarkEnd w:id="3007"/>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r>
        <w:t xml:space="preserve">Eligible </w:t>
      </w:r>
      <w:r w:rsidR="00B12175">
        <w:t xml:space="preserve">Bilateral </w:t>
      </w:r>
      <w:r>
        <w:t>Contracts</w:t>
      </w:r>
      <w:bookmarkEnd w:id="3279"/>
      <w:bookmarkEnd w:id="3280"/>
      <w:bookmarkEnd w:id="3281"/>
      <w:bookmarkEnd w:id="3282"/>
      <w:r w:rsidR="005A721A">
        <w:t xml:space="preserve"> [and apportionment]</w:t>
      </w:r>
      <w:bookmarkEnd w:id="3283"/>
    </w:p>
    <w:p w14:paraId="11A654B1" w14:textId="77777777" w:rsidR="005A721A" w:rsidRDefault="005A721A" w:rsidP="00D9202B">
      <w:pPr>
        <w:pStyle w:val="Indent2"/>
        <w:keepNext/>
        <w:rPr>
          <w:b/>
          <w:bCs/>
          <w:i/>
          <w:iCs/>
        </w:rPr>
      </w:pPr>
      <w:r>
        <w:t>[</w:t>
      </w:r>
      <w:r>
        <w:rPr>
          <w:b/>
          <w:bCs/>
          <w:i/>
          <w:iCs/>
          <w:highlight w:val="lightGray"/>
        </w:rPr>
        <w:t>Note: wording in square brackets above is to be included for all Hybrid Projects and Staged Projects.</w:t>
      </w:r>
      <w:r>
        <w:rPr>
          <w:b/>
          <w:bCs/>
          <w:i/>
          <w:iCs/>
        </w:rPr>
        <w:t>]</w:t>
      </w:r>
    </w:p>
    <w:p w14:paraId="350BD7B4" w14:textId="34D6D051" w:rsidR="005A721A" w:rsidRDefault="005A721A" w:rsidP="005A721A">
      <w:pPr>
        <w:pStyle w:val="Indent2"/>
      </w:pPr>
      <w:bookmarkStart w:id="3284" w:name="_Ref194650745"/>
      <w:bookmarkEnd w:id="3284"/>
      <w:r>
        <w:rPr>
          <w:b/>
          <w:bCs/>
          <w:i/>
          <w:iCs/>
        </w:rPr>
        <w:t>[</w:t>
      </w:r>
      <w:r>
        <w:rPr>
          <w:b/>
          <w:bCs/>
          <w:i/>
          <w:iCs/>
          <w:highlight w:val="lightGray"/>
        </w:rPr>
        <w:t>Note: a Bilateral Contract will be an Eligible Bilateral Contract under this agreement if the eligibility requirements in clauses 15.1</w:t>
      </w:r>
      <w:r>
        <w:rPr>
          <w:b/>
          <w:bCs/>
          <w:i/>
          <w:iCs/>
          <w:highlight w:val="lightGray"/>
        </w:rPr>
        <w:fldChar w:fldCharType="begin"/>
      </w:r>
      <w:r>
        <w:rPr>
          <w:b/>
          <w:bCs/>
          <w:i/>
          <w:iCs/>
          <w:highlight w:val="lightGray"/>
        </w:rPr>
        <w:instrText xml:space="preserve"> REF _Ref167903181 \n \h  \* MERGEFORMAT </w:instrText>
      </w:r>
      <w:r>
        <w:rPr>
          <w:b/>
          <w:bCs/>
          <w:i/>
          <w:iCs/>
          <w:highlight w:val="lightGray"/>
        </w:rPr>
      </w:r>
      <w:r>
        <w:rPr>
          <w:b/>
          <w:bCs/>
          <w:i/>
          <w:iCs/>
        </w:rPr>
        <w:fldChar w:fldCharType="separate"/>
      </w:r>
      <w:r w:rsidR="002E5C6A">
        <w:rPr>
          <w:b/>
          <w:bCs/>
          <w:i/>
          <w:iCs/>
          <w:highlight w:val="lightGray"/>
        </w:rPr>
        <w:t>(a)</w:t>
      </w:r>
      <w:r>
        <w:rPr>
          <w:b/>
          <w:bCs/>
          <w:i/>
          <w:iCs/>
        </w:rPr>
        <w:fldChar w:fldCharType="end"/>
      </w:r>
      <w:r>
        <w:rPr>
          <w:b/>
          <w:bCs/>
          <w:i/>
          <w:iCs/>
          <w:highlight w:val="lightGray"/>
        </w:rPr>
        <w:t xml:space="preserve"> and </w:t>
      </w:r>
      <w:r>
        <w:rPr>
          <w:b/>
          <w:bCs/>
          <w:i/>
          <w:iCs/>
          <w:highlight w:val="lightGray"/>
        </w:rPr>
        <w:fldChar w:fldCharType="begin"/>
      </w:r>
      <w:r>
        <w:rPr>
          <w:b/>
          <w:bCs/>
          <w:i/>
          <w:iCs/>
          <w:highlight w:val="lightGray"/>
        </w:rPr>
        <w:instrText xml:space="preserve"> REF _Ref166751610 \n \h  \* MERGEFORMAT </w:instrText>
      </w:r>
      <w:r>
        <w:rPr>
          <w:b/>
          <w:bCs/>
          <w:i/>
          <w:iCs/>
          <w:highlight w:val="lightGray"/>
        </w:rPr>
      </w:r>
      <w:r>
        <w:rPr>
          <w:b/>
          <w:bCs/>
          <w:i/>
          <w:iCs/>
        </w:rPr>
        <w:fldChar w:fldCharType="separate"/>
      </w:r>
      <w:r w:rsidR="002E5C6A">
        <w:rPr>
          <w:b/>
          <w:bCs/>
          <w:i/>
          <w:iCs/>
          <w:highlight w:val="lightGray"/>
        </w:rPr>
        <w:t>(b)</w:t>
      </w:r>
      <w:r>
        <w:rPr>
          <w:b/>
          <w:bCs/>
          <w:i/>
          <w:iCs/>
        </w:rPr>
        <w:fldChar w:fldCharType="end"/>
      </w:r>
      <w:r>
        <w:rPr>
          <w:b/>
          <w:bCs/>
          <w:i/>
          <w:iCs/>
          <w:highlight w:val="lightGray"/>
        </w:rPr>
        <w:t xml:space="preserve"> are satisfied, or the Commonwealth (at its discretion) waives any of those eligibility requirements (e.g. contract with a Related Body Corporate).</w:t>
      </w:r>
      <w:r>
        <w:t>]</w:t>
      </w:r>
    </w:p>
    <w:p w14:paraId="2006E0AC" w14:textId="77777777" w:rsidR="0027109F" w:rsidRDefault="2C388DF0" w:rsidP="0058045D">
      <w:pPr>
        <w:pStyle w:val="Heading2"/>
      </w:pPr>
      <w:bookmarkStart w:id="3285" w:name="_Toc205806615"/>
      <w:bookmarkStart w:id="3286" w:name="_Toc206075951"/>
      <w:bookmarkStart w:id="3287" w:name="_Toc206154448"/>
      <w:bookmarkStart w:id="3288" w:name="_Toc171430628"/>
      <w:bookmarkStart w:id="3289" w:name="_Toc171584333"/>
      <w:bookmarkStart w:id="3290" w:name="_Ref166164634"/>
      <w:bookmarkStart w:id="3291" w:name="_Toc207309626"/>
      <w:bookmarkStart w:id="3292" w:name="_Ref163567194"/>
      <w:bookmarkEnd w:id="3285"/>
      <w:bookmarkEnd w:id="3286"/>
      <w:bookmarkEnd w:id="3287"/>
      <w:bookmarkEnd w:id="3288"/>
      <w:bookmarkEnd w:id="3289"/>
      <w:r>
        <w:t>Eligibility requirements</w:t>
      </w:r>
      <w:bookmarkEnd w:id="3290"/>
      <w:bookmarkEnd w:id="3291"/>
      <w:r>
        <w:t xml:space="preserve"> </w:t>
      </w:r>
    </w:p>
    <w:p w14:paraId="0E476FEB" w14:textId="77777777" w:rsidR="005A721A" w:rsidRDefault="005A721A" w:rsidP="008F660B">
      <w:pPr>
        <w:pStyle w:val="Heading3"/>
        <w:numPr>
          <w:ilvl w:val="2"/>
          <w:numId w:val="61"/>
        </w:numPr>
      </w:pPr>
      <w:bookmarkStart w:id="3293" w:name="_Ref205750534"/>
      <w:bookmarkStart w:id="3294" w:name="_Ref167903181"/>
      <w:r>
        <w:t>Subject to clause 15.1(b), an “</w:t>
      </w:r>
      <w:r>
        <w:rPr>
          <w:b/>
          <w:bCs/>
        </w:rPr>
        <w:t>Eligible Bilateral Contract</w:t>
      </w:r>
      <w:r>
        <w:t>” is a Bilateral Contract which does not contravene any of the following requirements:</w:t>
      </w:r>
      <w:bookmarkEnd w:id="3293"/>
    </w:p>
    <w:p w14:paraId="69491F2E" w14:textId="638AAAB8" w:rsidR="005A721A" w:rsidRDefault="00484E9C" w:rsidP="008F660B">
      <w:pPr>
        <w:pStyle w:val="Heading4"/>
        <w:keepNext/>
        <w:numPr>
          <w:ilvl w:val="3"/>
          <w:numId w:val="61"/>
        </w:numPr>
      </w:pPr>
      <w:r w:rsidRPr="00484E9C">
        <w:t>in respect of a contract that relates to electricity</w:t>
      </w:r>
      <w:r w:rsidR="00C4682F">
        <w:t xml:space="preserve">, </w:t>
      </w:r>
      <w:r w:rsidR="005A721A">
        <w:t xml:space="preserve">has been entered into by Project Operator to sell the rights to dispatch (at the counterparty’s discretion and control) part, or all, of the Export Capacity of the Project in the WEM, such that the Bilateral Contract: </w:t>
      </w:r>
    </w:p>
    <w:p w14:paraId="353E06A5" w14:textId="77777777" w:rsidR="005A721A" w:rsidRDefault="005A721A" w:rsidP="008F660B">
      <w:pPr>
        <w:pStyle w:val="Heading5"/>
      </w:pPr>
      <w:r>
        <w:t>has a fixed annual fee payable by the counterparty;</w:t>
      </w:r>
    </w:p>
    <w:p w14:paraId="2791C71A" w14:textId="77777777" w:rsidR="005A721A" w:rsidRDefault="005A721A" w:rsidP="008F660B">
      <w:pPr>
        <w:pStyle w:val="Heading5"/>
      </w:pPr>
      <w:r>
        <w:t>entitles the counterparty to retain all the revenue derived from the WEM arising out of or in connection with the proportion of the Export Capacity of the Project that it controls; and</w:t>
      </w:r>
    </w:p>
    <w:p w14:paraId="1E8FFE26" w14:textId="77777777" w:rsidR="005A721A" w:rsidRDefault="005A721A" w:rsidP="008F660B">
      <w:pPr>
        <w:pStyle w:val="Heading5"/>
      </w:pPr>
      <w:r>
        <w:t>requires the counterparty to pay all costs attributable to the Project’s participation in the WEM commensurate with the proportion of the Export Capacity of the Project that it controls;</w:t>
      </w:r>
    </w:p>
    <w:p w14:paraId="1515B925" w14:textId="16CE27F3" w:rsidR="005A721A" w:rsidRDefault="005A721A" w:rsidP="008F660B">
      <w:pPr>
        <w:pStyle w:val="Heading4"/>
        <w:numPr>
          <w:ilvl w:val="3"/>
          <w:numId w:val="61"/>
        </w:numPr>
      </w:pPr>
      <w:r>
        <w:t>in respect of a contract that relates to both electricity Green Products</w:t>
      </w:r>
      <w:r w:rsidR="007A2529">
        <w:t xml:space="preserve">, </w:t>
      </w:r>
      <w:r>
        <w:t xml:space="preserve">Peak Capacity Credits and/or </w:t>
      </w:r>
      <w:r w:rsidR="007A2529">
        <w:t xml:space="preserve">any other </w:t>
      </w:r>
      <w:r>
        <w:t xml:space="preserve">Capacity Credits, it may include a separate price for Green </w:t>
      </w:r>
      <w:r w:rsidR="007A2529">
        <w:t>P</w:t>
      </w:r>
      <w:r>
        <w:t>roducts</w:t>
      </w:r>
      <w:r w:rsidR="007A2529">
        <w:t xml:space="preserve">, </w:t>
      </w:r>
      <w:r>
        <w:t>Peak Capacity Credits</w:t>
      </w:r>
      <w:r w:rsidR="007A2529">
        <w:t xml:space="preserve"> </w:t>
      </w:r>
      <w:r>
        <w:t xml:space="preserve">and/or </w:t>
      </w:r>
      <w:r w:rsidR="007A2529">
        <w:t xml:space="preserve">any other </w:t>
      </w:r>
      <w:r>
        <w:t>Capacity Credits, in addition to the price payable in respect of electricity;</w:t>
      </w:r>
    </w:p>
    <w:p w14:paraId="7D6C82E6" w14:textId="77777777" w:rsidR="005A721A" w:rsidRDefault="005A721A" w:rsidP="008F660B">
      <w:pPr>
        <w:pStyle w:val="Heading4"/>
        <w:numPr>
          <w:ilvl w:val="3"/>
          <w:numId w:val="61"/>
        </w:numPr>
      </w:pPr>
      <w:r>
        <w:t>entitles Project Operator to retain some discretion and control over the availability of the Project and other operational conditions that enable Project Operator to maintain Good Industry Practice;</w:t>
      </w:r>
    </w:p>
    <w:p w14:paraId="46E6B62D" w14:textId="77777777" w:rsidR="005A721A" w:rsidRDefault="005A721A" w:rsidP="008F660B">
      <w:pPr>
        <w:pStyle w:val="Heading4"/>
        <w:numPr>
          <w:ilvl w:val="3"/>
          <w:numId w:val="61"/>
        </w:numPr>
      </w:pPr>
      <w:r>
        <w:t>has a risk allocation that is transparent and equitable, commensurate with the ability of both Project Operator and the counterparty to price and manage the risks arising under or in connection with the Bilateral Contract;</w:t>
      </w:r>
    </w:p>
    <w:p w14:paraId="1BE7C9AC" w14:textId="77777777" w:rsidR="005A721A" w:rsidRDefault="005A721A" w:rsidP="008F660B">
      <w:pPr>
        <w:pStyle w:val="Heading4"/>
        <w:numPr>
          <w:ilvl w:val="3"/>
          <w:numId w:val="61"/>
        </w:numPr>
      </w:pPr>
      <w:r>
        <w:t xml:space="preserve">it has a contract tenor of at least 12 months and must be for a duration that is a multiple of 12 months; </w:t>
      </w:r>
    </w:p>
    <w:p w14:paraId="26307F7D" w14:textId="77777777" w:rsidR="005A721A" w:rsidRDefault="005A721A" w:rsidP="008F660B">
      <w:pPr>
        <w:pStyle w:val="Heading4"/>
        <w:numPr>
          <w:ilvl w:val="3"/>
          <w:numId w:val="61"/>
        </w:numPr>
      </w:pPr>
      <w:r>
        <w:t xml:space="preserve">does not have any explicit or implicit revenue or profit-sharing arrangements between Project Operator and the counterparty embedded within the pricing or commercial structure of the Bilateral Contract; </w:t>
      </w:r>
    </w:p>
    <w:p w14:paraId="2D979423" w14:textId="032E4E6E" w:rsidR="005A721A" w:rsidRDefault="005A721A" w:rsidP="008F660B">
      <w:pPr>
        <w:pStyle w:val="Heading4"/>
        <w:numPr>
          <w:ilvl w:val="3"/>
          <w:numId w:val="61"/>
        </w:numPr>
      </w:pPr>
      <w:bookmarkStart w:id="3295" w:name="_Ref202525952"/>
      <w:r w:rsidRPr="007C4604">
        <w:t xml:space="preserve">complies with clause </w:t>
      </w:r>
      <w:r w:rsidR="00D05CC2" w:rsidRPr="007C4604">
        <w:fldChar w:fldCharType="begin"/>
      </w:r>
      <w:r w:rsidR="00D05CC2" w:rsidRPr="007C4604">
        <w:instrText xml:space="preserve"> REF _Ref150848459 \w \h </w:instrText>
      </w:r>
      <w:r w:rsidR="00D05CC2" w:rsidRPr="008F660B">
        <w:instrText xml:space="preserve"> \* MERGEFORMAT </w:instrText>
      </w:r>
      <w:r w:rsidR="00D05CC2" w:rsidRPr="007C4604">
        <w:fldChar w:fldCharType="separate"/>
      </w:r>
      <w:r w:rsidR="002E5C6A">
        <w:t>15.6</w:t>
      </w:r>
      <w:r w:rsidR="00D05CC2" w:rsidRPr="007C4604">
        <w:fldChar w:fldCharType="end"/>
      </w:r>
      <w:r w:rsidRPr="007C4604">
        <w:t xml:space="preserve"> (“</w:t>
      </w:r>
      <w:r w:rsidR="00D05CC2" w:rsidRPr="007C4604">
        <w:fldChar w:fldCharType="begin"/>
      </w:r>
      <w:r w:rsidR="00D05CC2" w:rsidRPr="007C4604">
        <w:instrText xml:space="preserve"> REF _Ref150848459 \h </w:instrText>
      </w:r>
      <w:r w:rsidR="00D05CC2" w:rsidRPr="008F660B">
        <w:instrText xml:space="preserve"> \* MERGEFORMAT </w:instrText>
      </w:r>
      <w:r w:rsidR="00D05CC2" w:rsidRPr="007C4604">
        <w:fldChar w:fldCharType="separate"/>
      </w:r>
      <w:r w:rsidR="002E5C6A">
        <w:t>Bona fide and arm’s length arrangements</w:t>
      </w:r>
      <w:r w:rsidR="00D05CC2" w:rsidRPr="007C4604">
        <w:fldChar w:fldCharType="end"/>
      </w:r>
      <w:r w:rsidRPr="007C4604">
        <w:t>”);</w:t>
      </w:r>
    </w:p>
    <w:bookmarkEnd w:id="3295"/>
    <w:p w14:paraId="2B1ABF42" w14:textId="29094C2A" w:rsidR="005A721A" w:rsidRDefault="005A721A" w:rsidP="008F660B">
      <w:pPr>
        <w:pStyle w:val="Heading4"/>
        <w:numPr>
          <w:ilvl w:val="3"/>
          <w:numId w:val="61"/>
        </w:numPr>
      </w:pPr>
      <w:r w:rsidRPr="007C4604">
        <w:t xml:space="preserve">entitles Project Operator to receive a contract price that complies with clause </w:t>
      </w:r>
      <w:r w:rsidR="00A207B3" w:rsidRPr="007C4604">
        <w:fldChar w:fldCharType="begin"/>
      </w:r>
      <w:r w:rsidR="00A207B3" w:rsidRPr="007C4604">
        <w:instrText xml:space="preserve"> REF _Ref150848459 \w \h </w:instrText>
      </w:r>
      <w:r w:rsidR="00A207B3" w:rsidRPr="008F660B">
        <w:instrText xml:space="preserve"> \* MERGEFORMAT </w:instrText>
      </w:r>
      <w:r w:rsidR="00A207B3" w:rsidRPr="007C4604">
        <w:fldChar w:fldCharType="separate"/>
      </w:r>
      <w:r w:rsidR="002E5C6A">
        <w:t>15.6</w:t>
      </w:r>
      <w:r w:rsidR="00A207B3" w:rsidRPr="007C4604">
        <w:fldChar w:fldCharType="end"/>
      </w:r>
      <w:r w:rsidR="007C4604" w:rsidRPr="008F660B">
        <w:t xml:space="preserve"> </w:t>
      </w:r>
      <w:r w:rsidRPr="007C4604">
        <w:t>(“</w:t>
      </w:r>
      <w:r w:rsidR="00A207B3" w:rsidRPr="007C4604">
        <w:fldChar w:fldCharType="begin"/>
      </w:r>
      <w:r w:rsidR="00A207B3" w:rsidRPr="007C4604">
        <w:instrText xml:space="preserve"> REF _Ref150848459 \h </w:instrText>
      </w:r>
      <w:r w:rsidR="00A207B3" w:rsidRPr="008F660B">
        <w:instrText xml:space="preserve"> \* MERGEFORMAT </w:instrText>
      </w:r>
      <w:r w:rsidR="00A207B3" w:rsidRPr="007C4604">
        <w:fldChar w:fldCharType="separate"/>
      </w:r>
      <w:r w:rsidR="002E5C6A">
        <w:t>Bona fide and arm’s length arrangements</w:t>
      </w:r>
      <w:r w:rsidR="00A207B3" w:rsidRPr="007C4604">
        <w:fldChar w:fldCharType="end"/>
      </w:r>
      <w:r w:rsidRPr="007C4604">
        <w:t xml:space="preserve">”); </w:t>
      </w:r>
    </w:p>
    <w:p w14:paraId="3C2817D3" w14:textId="77777777" w:rsidR="005A721A" w:rsidRDefault="005A721A" w:rsidP="008F660B">
      <w:pPr>
        <w:pStyle w:val="Heading4"/>
        <w:numPr>
          <w:ilvl w:val="3"/>
          <w:numId w:val="61"/>
        </w:numPr>
      </w:pPr>
      <w:bookmarkStart w:id="3296" w:name="_Ref191377014"/>
      <w:r>
        <w:t>it is not with a counterparty which is a Related Body Corporate of Project Operator; and</w:t>
      </w:r>
      <w:bookmarkEnd w:id="3296"/>
    </w:p>
    <w:p w14:paraId="6926D31D" w14:textId="77777777" w:rsidR="005A721A" w:rsidRDefault="005A721A" w:rsidP="008F660B">
      <w:pPr>
        <w:pStyle w:val="Heading4"/>
        <w:numPr>
          <w:ilvl w:val="3"/>
          <w:numId w:val="61"/>
        </w:numPr>
      </w:pPr>
      <w:r>
        <w:t xml:space="preserve">it is not a retail electricity supply contract. </w:t>
      </w:r>
    </w:p>
    <w:p w14:paraId="653078FB" w14:textId="77777777" w:rsidR="00536178" w:rsidDel="004E38CA" w:rsidRDefault="2C388DF0" w:rsidP="008E4A1B">
      <w:pPr>
        <w:pStyle w:val="Heading3"/>
      </w:pPr>
      <w:bookmarkStart w:id="3297" w:name="_Ref166243046"/>
      <w:bookmarkStart w:id="3298" w:name="_Ref180573831"/>
      <w:bookmarkStart w:id="3299" w:name="_Ref166239332"/>
      <w:bookmarkEnd w:id="3294"/>
      <w:r>
        <w:t xml:space="preserve">A contract will not be an Eligible </w:t>
      </w:r>
      <w:r w:rsidR="00386749">
        <w:t xml:space="preserve">Bilateral </w:t>
      </w:r>
      <w:r>
        <w:t>Contract if</w:t>
      </w:r>
      <w:bookmarkEnd w:id="3297"/>
      <w:r>
        <w:t xml:space="preserve"> </w:t>
      </w:r>
      <w:bookmarkStart w:id="3300" w:name="_Ref166751610"/>
      <w:r>
        <w:t>the Commonwealth considers (acting reasonably) that the contract</w:t>
      </w:r>
      <w:r w:rsidR="00386749">
        <w:t xml:space="preserve"> </w:t>
      </w:r>
      <w:bookmarkStart w:id="3301" w:name="_Ref170380674"/>
      <w:bookmarkEnd w:id="3300"/>
      <w:r w:rsidR="00536178" w:rsidDel="004E38CA">
        <w:t>is not on reasonable commercial terms</w:t>
      </w:r>
      <w:r w:rsidR="00386749">
        <w:t>.</w:t>
      </w:r>
      <w:bookmarkEnd w:id="3298"/>
      <w:bookmarkEnd w:id="3301"/>
    </w:p>
    <w:p w14:paraId="0F9E32EB" w14:textId="24F6BC17" w:rsidR="00520AAC" w:rsidRPr="005D705C" w:rsidDel="004E38CA" w:rsidRDefault="00520AAC" w:rsidP="0058045D">
      <w:pPr>
        <w:pStyle w:val="Heading3"/>
      </w:pPr>
      <w:bookmarkStart w:id="3302" w:name="_Ref167912879"/>
      <w:bookmarkStart w:id="3303" w:name="_Ref204187200"/>
      <w:r>
        <w:t xml:space="preserve">The </w:t>
      </w:r>
      <w:r w:rsidRPr="005D705C">
        <w:t>Commonwealth may waive any</w:t>
      </w:r>
      <w:r w:rsidR="002826B2">
        <w:t xml:space="preserve"> of the</w:t>
      </w:r>
      <w:r w:rsidRPr="005D705C">
        <w:t xml:space="preserve"> conditions set out in paragraph</w:t>
      </w:r>
      <w:r w:rsidR="00CC4A72">
        <w:t>s</w:t>
      </w:r>
      <w:r w:rsidRPr="005D705C">
        <w:t xml:space="preserve"> </w:t>
      </w:r>
      <w:r w:rsidR="006D09AE">
        <w:fldChar w:fldCharType="begin"/>
      </w:r>
      <w:r w:rsidR="006D09AE">
        <w:instrText xml:space="preserve"> REF _Ref167903181 \n \h </w:instrText>
      </w:r>
      <w:r w:rsidR="006D09AE">
        <w:fldChar w:fldCharType="separate"/>
      </w:r>
      <w:r w:rsidR="002E5C6A">
        <w:t>(a)</w:t>
      </w:r>
      <w:r w:rsidR="006D09AE">
        <w:fldChar w:fldCharType="end"/>
      </w:r>
      <w:r w:rsidR="00403E2E" w:rsidRPr="005D705C">
        <w:t xml:space="preserve"> </w:t>
      </w:r>
      <w:r w:rsidR="00CC4A72">
        <w:t>and</w:t>
      </w:r>
      <w:r w:rsidR="00403E2E" w:rsidRPr="005D705C">
        <w:t xml:space="preserve"> </w:t>
      </w:r>
      <w:r w:rsidR="00A12FEE">
        <w:fldChar w:fldCharType="begin"/>
      </w:r>
      <w:r w:rsidR="00A12FEE">
        <w:instrText xml:space="preserve"> REF _Ref180573831 \n \h </w:instrText>
      </w:r>
      <w:r w:rsidR="00A12FEE">
        <w:fldChar w:fldCharType="separate"/>
      </w:r>
      <w:r w:rsidR="002E5C6A">
        <w:t>(b)</w:t>
      </w:r>
      <w:r w:rsidR="00A12FEE">
        <w:fldChar w:fldCharType="end"/>
      </w:r>
      <w:r w:rsidRPr="005D705C">
        <w:rPr>
          <w:szCs w:val="18"/>
        </w:rPr>
        <w:t xml:space="preserve"> </w:t>
      </w:r>
      <w:r w:rsidRPr="005D705C">
        <w:t>at its discretion</w:t>
      </w:r>
      <w:r w:rsidR="00636C70" w:rsidRPr="00792B2E">
        <w:t>, including when Project Operator has made a request under clause</w:t>
      </w:r>
      <w:r w:rsidR="005D705C" w:rsidRPr="005D705C">
        <w:t xml:space="preserve"> </w:t>
      </w:r>
      <w:r w:rsidR="005D705C" w:rsidRPr="00792B2E">
        <w:fldChar w:fldCharType="begin"/>
      </w:r>
      <w:r w:rsidR="005D705C" w:rsidRPr="005D705C">
        <w:instrText xml:space="preserve"> REF _Ref139385534 \r \h </w:instrText>
      </w:r>
      <w:r w:rsidR="005D705C">
        <w:instrText xml:space="preserve"> \* MERGEFORMAT </w:instrText>
      </w:r>
      <w:r w:rsidR="005D705C" w:rsidRPr="00792B2E">
        <w:fldChar w:fldCharType="separate"/>
      </w:r>
      <w:r w:rsidR="002E5C6A">
        <w:t>15.2(a)</w:t>
      </w:r>
      <w:r w:rsidR="005D705C" w:rsidRPr="00792B2E">
        <w:fldChar w:fldCharType="end"/>
      </w:r>
      <w:r w:rsidR="0089663F">
        <w:t xml:space="preserve"> </w:t>
      </w:r>
      <w:r w:rsidR="005D705C" w:rsidRPr="00792B2E">
        <w:t>(“</w:t>
      </w:r>
      <w:r w:rsidR="005D705C" w:rsidRPr="00792B2E">
        <w:fldChar w:fldCharType="begin"/>
      </w:r>
      <w:r w:rsidR="005D705C" w:rsidRPr="00792B2E">
        <w:instrText xml:space="preserve"> REF _Ref166256245 \h </w:instrText>
      </w:r>
      <w:r w:rsidR="005D705C">
        <w:instrText xml:space="preserve"> \* MERGEFORMAT </w:instrText>
      </w:r>
      <w:r w:rsidR="005D705C" w:rsidRPr="00792B2E">
        <w:fldChar w:fldCharType="separate"/>
      </w:r>
      <w:r w:rsidR="002E5C6A" w:rsidRPr="005D705C">
        <w:t xml:space="preserve">Notification of </w:t>
      </w:r>
      <w:r w:rsidR="002E5C6A">
        <w:t>Bilateral</w:t>
      </w:r>
      <w:r w:rsidR="002E5C6A" w:rsidRPr="005D705C">
        <w:t xml:space="preserve"> Contract</w:t>
      </w:r>
      <w:r w:rsidR="005D705C" w:rsidRPr="00792B2E">
        <w:fldChar w:fldCharType="end"/>
      </w:r>
      <w:r w:rsidR="005D705C" w:rsidRPr="005D705C">
        <w:t>”)</w:t>
      </w:r>
      <w:r w:rsidRPr="005D705C">
        <w:t>.</w:t>
      </w:r>
      <w:bookmarkEnd w:id="3302"/>
      <w:r w:rsidR="00F410B3" w:rsidRPr="005D705C">
        <w:t xml:space="preserve"> </w:t>
      </w:r>
      <w:r w:rsidR="002826B2">
        <w:t xml:space="preserve">If the Commonwealth elects to </w:t>
      </w:r>
      <w:r w:rsidR="00484E9C">
        <w:t>do so,</w:t>
      </w:r>
      <w:r w:rsidR="002826B2">
        <w:t xml:space="preserve"> the contract which is the subject of the waiver will be deemed to be an Eligible Bilateral Contract for the purposes of this agreement</w:t>
      </w:r>
      <w:bookmarkEnd w:id="3303"/>
      <w:r w:rsidR="005A721A">
        <w:t xml:space="preserve">, provided that any remaining condition set out in paragraph </w:t>
      </w:r>
      <w:r w:rsidR="005A721A">
        <w:fldChar w:fldCharType="begin"/>
      </w:r>
      <w:r w:rsidR="005A721A">
        <w:instrText xml:space="preserve"> REF _Ref167903181 \n \h </w:instrText>
      </w:r>
      <w:r w:rsidR="005A721A">
        <w:fldChar w:fldCharType="separate"/>
      </w:r>
      <w:r w:rsidR="002E5C6A">
        <w:t>(a)</w:t>
      </w:r>
      <w:r w:rsidR="005A721A">
        <w:fldChar w:fldCharType="end"/>
      </w:r>
      <w:r w:rsidR="005A721A">
        <w:t xml:space="preserve"> or </w:t>
      </w:r>
      <w:r w:rsidR="005A721A">
        <w:fldChar w:fldCharType="begin"/>
      </w:r>
      <w:r w:rsidR="005A721A">
        <w:instrText xml:space="preserve"> REF _Ref180573831 \n \h </w:instrText>
      </w:r>
      <w:r w:rsidR="005A721A">
        <w:fldChar w:fldCharType="separate"/>
      </w:r>
      <w:r w:rsidR="002E5C6A">
        <w:t>(b)</w:t>
      </w:r>
      <w:r w:rsidR="005A721A">
        <w:fldChar w:fldCharType="end"/>
      </w:r>
      <w:r w:rsidR="005A721A">
        <w:t xml:space="preserve"> (that has not been waived) is satisfied.</w:t>
      </w:r>
    </w:p>
    <w:p w14:paraId="43140CE8" w14:textId="77777777" w:rsidR="00536178" w:rsidDel="002302EA" w:rsidRDefault="00536178" w:rsidP="00EA52A3">
      <w:pPr>
        <w:pStyle w:val="Heading3"/>
        <w:keepNext/>
      </w:pPr>
      <w:bookmarkStart w:id="3304" w:name="_Ref166243254"/>
      <w:r w:rsidRPr="005D705C" w:rsidDel="002302EA">
        <w:t>The Commonwealth may, from time to time, provide to Project Operator</w:t>
      </w:r>
      <w:r w:rsidDel="002302EA">
        <w:t xml:space="preserve"> </w:t>
      </w:r>
      <w:r w:rsidRPr="00744B16" w:rsidDel="002302EA">
        <w:t>guidance in relation to what information</w:t>
      </w:r>
      <w:r w:rsidDel="002302EA">
        <w:t xml:space="preserve"> is:</w:t>
      </w:r>
      <w:bookmarkEnd w:id="3304"/>
    </w:p>
    <w:p w14:paraId="733FE836" w14:textId="77777777" w:rsidR="00536178" w:rsidRPr="005D705C" w:rsidDel="002302EA" w:rsidRDefault="00536178" w:rsidP="0058045D">
      <w:pPr>
        <w:pStyle w:val="Heading4"/>
      </w:pPr>
      <w:r w:rsidRPr="005D705C" w:rsidDel="002302EA">
        <w:t xml:space="preserve">relevant to the determination of an Eligible </w:t>
      </w:r>
      <w:r w:rsidR="007C3F60">
        <w:t>Bilateral</w:t>
      </w:r>
      <w:r w:rsidR="007C3F60" w:rsidRPr="005D705C">
        <w:t xml:space="preserve"> </w:t>
      </w:r>
      <w:r w:rsidRPr="005D705C" w:rsidDel="002302EA">
        <w:t xml:space="preserve">Contract (including the definition of “reasonable commercial terms”); and </w:t>
      </w:r>
    </w:p>
    <w:p w14:paraId="75BC47D7" w14:textId="0937443F" w:rsidR="00536178" w:rsidRPr="005D705C" w:rsidDel="002302EA" w:rsidRDefault="00536178" w:rsidP="0058045D">
      <w:pPr>
        <w:pStyle w:val="Heading4"/>
      </w:pPr>
      <w:r w:rsidRPr="005D705C" w:rsidDel="002302EA">
        <w:t>required to be provided to the Commonwealth pursuant to this clause </w:t>
      </w:r>
      <w:r w:rsidRPr="005D705C" w:rsidDel="002302EA">
        <w:fldChar w:fldCharType="begin"/>
      </w:r>
      <w:r w:rsidRPr="005D705C" w:rsidDel="002302EA">
        <w:instrText xml:space="preserve"> REF _Ref163567194 \w \h </w:instrText>
      </w:r>
      <w:r w:rsidR="005D705C">
        <w:instrText xml:space="preserve"> \* MERGEFORMAT </w:instrText>
      </w:r>
      <w:r w:rsidRPr="005D705C" w:rsidDel="002302EA">
        <w:fldChar w:fldCharType="separate"/>
      </w:r>
      <w:r w:rsidR="002E5C6A">
        <w:t>15.1</w:t>
      </w:r>
      <w:r w:rsidRPr="005D705C" w:rsidDel="002302EA">
        <w:fldChar w:fldCharType="end"/>
      </w:r>
      <w:r w:rsidRPr="005D705C" w:rsidDel="002302EA">
        <w:t xml:space="preserve">, </w:t>
      </w:r>
    </w:p>
    <w:p w14:paraId="531CF66B" w14:textId="77777777" w:rsidR="00536178" w:rsidRPr="005D705C" w:rsidDel="002302EA" w:rsidRDefault="00536178" w:rsidP="0058045D">
      <w:pPr>
        <w:pStyle w:val="Heading4"/>
        <w:numPr>
          <w:ilvl w:val="0"/>
          <w:numId w:val="0"/>
        </w:numPr>
        <w:ind w:left="1474"/>
      </w:pPr>
      <w:r w:rsidRPr="005D705C" w:rsidDel="002302EA">
        <w:t>and Project Operator must comply with that guidance</w:t>
      </w:r>
      <w:r w:rsidR="00636C70" w:rsidRPr="00792B2E">
        <w:t xml:space="preserve">, provided that the Commonwealth may only clarify or broaden, and not narrow, the definition of an “Eligible </w:t>
      </w:r>
      <w:r w:rsidR="006D6B05">
        <w:t>Bilateral</w:t>
      </w:r>
      <w:r w:rsidR="006D6B05" w:rsidRPr="005D705C">
        <w:t xml:space="preserve"> </w:t>
      </w:r>
      <w:r w:rsidR="00636C70" w:rsidRPr="00792B2E">
        <w:t>Contract” under this agreement</w:t>
      </w:r>
      <w:r w:rsidRPr="005D705C" w:rsidDel="002302EA">
        <w:t>.</w:t>
      </w:r>
    </w:p>
    <w:p w14:paraId="192655B1" w14:textId="77777777" w:rsidR="00FF0D97" w:rsidRDefault="2C388DF0" w:rsidP="0058045D">
      <w:pPr>
        <w:pStyle w:val="Heading2"/>
      </w:pPr>
      <w:bookmarkStart w:id="3305" w:name="_Ref166256245"/>
      <w:bookmarkStart w:id="3306" w:name="_Ref166243409"/>
      <w:bookmarkStart w:id="3307" w:name="_Toc207309627"/>
      <w:r w:rsidRPr="005D705C">
        <w:t xml:space="preserve">Notification of </w:t>
      </w:r>
      <w:r w:rsidR="000B6F7D">
        <w:t>Bilateral</w:t>
      </w:r>
      <w:r w:rsidR="000B6F7D" w:rsidRPr="005D705C">
        <w:t xml:space="preserve"> </w:t>
      </w:r>
      <w:r w:rsidRPr="005D705C">
        <w:t>Contract</w:t>
      </w:r>
      <w:bookmarkEnd w:id="3292"/>
      <w:bookmarkEnd w:id="3299"/>
      <w:bookmarkEnd w:id="3305"/>
      <w:bookmarkEnd w:id="3306"/>
      <w:bookmarkEnd w:id="3307"/>
    </w:p>
    <w:p w14:paraId="55EEBC2F" w14:textId="5232CA40" w:rsidR="00CD1D90" w:rsidRPr="00CD1D90" w:rsidRDefault="00CD1D90" w:rsidP="00CD1D90">
      <w:r>
        <w:t>[</w:t>
      </w:r>
      <w:r w:rsidRPr="00CC1117">
        <w:rPr>
          <w:b/>
          <w:bCs/>
          <w:i/>
          <w:iCs/>
          <w:highlight w:val="lightGray"/>
        </w:rPr>
        <w:t xml:space="preserve">Note: </w:t>
      </w:r>
      <w:r w:rsidR="00CC1117" w:rsidRPr="00CC1117">
        <w:rPr>
          <w:b/>
          <w:bCs/>
          <w:i/>
          <w:iCs/>
          <w:highlight w:val="lightGray"/>
        </w:rPr>
        <w:t xml:space="preserve">The Commonwealth </w:t>
      </w:r>
      <w:r w:rsidR="00F81A1C">
        <w:rPr>
          <w:b/>
          <w:bCs/>
          <w:i/>
          <w:iCs/>
          <w:highlight w:val="lightGray"/>
        </w:rPr>
        <w:t xml:space="preserve">requires detailed </w:t>
      </w:r>
      <w:r w:rsidR="00CC1117" w:rsidRPr="00CC1117">
        <w:rPr>
          <w:b/>
          <w:bCs/>
          <w:i/>
          <w:iCs/>
          <w:highlight w:val="lightGray"/>
        </w:rPr>
        <w:t xml:space="preserve">information about </w:t>
      </w:r>
      <w:r w:rsidR="00F81A1C">
        <w:rPr>
          <w:b/>
          <w:bCs/>
          <w:i/>
          <w:iCs/>
          <w:highlight w:val="lightGray"/>
        </w:rPr>
        <w:t xml:space="preserve">all </w:t>
      </w:r>
      <w:r w:rsidR="00CC1117" w:rsidRPr="00CC1117">
        <w:rPr>
          <w:b/>
          <w:bCs/>
          <w:i/>
          <w:iCs/>
          <w:highlight w:val="lightGray"/>
        </w:rPr>
        <w:t xml:space="preserve">Bilateral Contracts </w:t>
      </w:r>
      <w:r w:rsidR="00F81A1C">
        <w:rPr>
          <w:b/>
          <w:bCs/>
          <w:i/>
          <w:iCs/>
          <w:highlight w:val="lightGray"/>
        </w:rPr>
        <w:t xml:space="preserve">entered into by </w:t>
      </w:r>
      <w:r w:rsidR="00CC1117" w:rsidRPr="00CC1117">
        <w:rPr>
          <w:b/>
          <w:bCs/>
          <w:i/>
          <w:iCs/>
          <w:highlight w:val="lightGray"/>
        </w:rPr>
        <w:t xml:space="preserve">Project Operator to </w:t>
      </w:r>
      <w:r w:rsidR="00F81A1C">
        <w:rPr>
          <w:b/>
          <w:bCs/>
          <w:i/>
          <w:iCs/>
          <w:highlight w:val="lightGray"/>
        </w:rPr>
        <w:t xml:space="preserve">prevent the manipulation and/or misrepresentation </w:t>
      </w:r>
      <w:r w:rsidR="00CC1117" w:rsidRPr="00CC1117">
        <w:rPr>
          <w:b/>
          <w:bCs/>
          <w:i/>
          <w:iCs/>
          <w:highlight w:val="lightGray"/>
        </w:rPr>
        <w:t>of Operational Revenue.</w:t>
      </w:r>
      <w:r w:rsidR="00CC1117">
        <w:t>]</w:t>
      </w:r>
    </w:p>
    <w:p w14:paraId="6EB23393" w14:textId="153477C1" w:rsidR="00980F36" w:rsidRPr="005D705C" w:rsidRDefault="00980F36" w:rsidP="00CC1117">
      <w:pPr>
        <w:pStyle w:val="Heading3"/>
        <w:spacing w:before="240"/>
      </w:pPr>
      <w:bookmarkStart w:id="3308" w:name="_Ref139385534"/>
      <w:r w:rsidRPr="005D705C">
        <w:t xml:space="preserve">Within 10 Business Days after the execution of a </w:t>
      </w:r>
      <w:r w:rsidR="000B6F7D">
        <w:t xml:space="preserve">Bilateral </w:t>
      </w:r>
      <w:r w:rsidR="00091412" w:rsidRPr="005D705C">
        <w:t>Contract</w:t>
      </w:r>
      <w:r w:rsidRPr="005D705C">
        <w:t xml:space="preserve">, Project Operator must provide </w:t>
      </w:r>
      <w:r w:rsidR="00BD3E9C" w:rsidRPr="005D705C">
        <w:t xml:space="preserve">to </w:t>
      </w:r>
      <w:r w:rsidRPr="005D705C">
        <w:t>the Commonwealth a notice setting out</w:t>
      </w:r>
      <w:r w:rsidR="002826B2">
        <w:t xml:space="preserve"> details of the Bilateral Contract including</w:t>
      </w:r>
      <w:r w:rsidRPr="005D705C">
        <w:t>:</w:t>
      </w:r>
      <w:bookmarkEnd w:id="3308"/>
      <w:r w:rsidRPr="005D705C">
        <w:t xml:space="preserve"> </w:t>
      </w:r>
    </w:p>
    <w:p w14:paraId="45718B28" w14:textId="77777777" w:rsidR="00031F67" w:rsidRPr="005D705C" w:rsidRDefault="2C388DF0" w:rsidP="004B7781">
      <w:pPr>
        <w:pStyle w:val="Heading4"/>
      </w:pPr>
      <w:r w:rsidRPr="005D705C">
        <w:t xml:space="preserve">whether or not the contract qualifies as an Eligible </w:t>
      </w:r>
      <w:r w:rsidR="005659B7">
        <w:t>Bilateral</w:t>
      </w:r>
      <w:r w:rsidR="005659B7" w:rsidRPr="005D705C">
        <w:t xml:space="preserve"> </w:t>
      </w:r>
      <w:r w:rsidRPr="005D705C">
        <w:t xml:space="preserve">Contract (including sufficient supporting details and evidence for the Commonwealth to verify whether the contract qualifies as an Eligible </w:t>
      </w:r>
      <w:r w:rsidR="005659B7">
        <w:t>Bilateral</w:t>
      </w:r>
      <w:r w:rsidR="005659B7" w:rsidRPr="005D705C">
        <w:t xml:space="preserve"> </w:t>
      </w:r>
      <w:r w:rsidRPr="005D705C">
        <w:t>Contract);</w:t>
      </w:r>
    </w:p>
    <w:p w14:paraId="2FF46801" w14:textId="77777777" w:rsidR="00980F36" w:rsidRPr="005D705C" w:rsidRDefault="2C388DF0" w:rsidP="004B7781">
      <w:pPr>
        <w:pStyle w:val="Heading4"/>
      </w:pPr>
      <w:r w:rsidRPr="005D705C">
        <w:t>the tenor of that contract;</w:t>
      </w:r>
    </w:p>
    <w:p w14:paraId="4E46CC79" w14:textId="77777777" w:rsidR="0081155B" w:rsidRPr="005D705C" w:rsidRDefault="2C388DF0" w:rsidP="00961F64">
      <w:pPr>
        <w:pStyle w:val="Heading4"/>
        <w:keepNext/>
      </w:pPr>
      <w:bookmarkStart w:id="3309" w:name="_Ref163564320"/>
      <w:r w:rsidRPr="005D705C">
        <w:t>Project Operator’s reasonable estimate of:</w:t>
      </w:r>
      <w:bookmarkEnd w:id="3309"/>
      <w:r w:rsidRPr="005D705C">
        <w:t xml:space="preserve"> </w:t>
      </w:r>
    </w:p>
    <w:p w14:paraId="0D1F1D32" w14:textId="77777777" w:rsidR="008055C4" w:rsidRPr="005D705C" w:rsidRDefault="008055C4" w:rsidP="008F660B">
      <w:pPr>
        <w:pStyle w:val="Heading5"/>
        <w:numPr>
          <w:ilvl w:val="4"/>
          <w:numId w:val="67"/>
        </w:numPr>
      </w:pPr>
      <w:bookmarkStart w:id="3310" w:name="_Ref163564321"/>
      <w:r w:rsidRPr="005D705C">
        <w:t xml:space="preserve">the </w:t>
      </w:r>
      <w:r w:rsidR="007E50D1" w:rsidRPr="005D705C">
        <w:t>revenue</w:t>
      </w:r>
      <w:r w:rsidRPr="005D705C">
        <w:t xml:space="preserve"> </w:t>
      </w:r>
      <w:r w:rsidR="004A3024" w:rsidRPr="005D705C">
        <w:t xml:space="preserve">that Project Operator will be entitled to </w:t>
      </w:r>
      <w:r w:rsidR="00BD3E9C" w:rsidRPr="005D705C">
        <w:t xml:space="preserve">receive </w:t>
      </w:r>
      <w:r w:rsidR="004A3024" w:rsidRPr="005D705C">
        <w:t>during the tenor of that contract</w:t>
      </w:r>
      <w:r w:rsidR="00C11E1E" w:rsidRPr="005D705C">
        <w:t>; and</w:t>
      </w:r>
      <w:bookmarkEnd w:id="3310"/>
    </w:p>
    <w:p w14:paraId="7DAFB577" w14:textId="3AEA5292" w:rsidR="007A7604" w:rsidRPr="005D705C" w:rsidRDefault="2C388DF0" w:rsidP="0058045D">
      <w:pPr>
        <w:pStyle w:val="Heading5"/>
      </w:pPr>
      <w:r w:rsidRPr="005D705C">
        <w:t>the quantity</w:t>
      </w:r>
      <w:r w:rsidR="005659B7">
        <w:t xml:space="preserve"> </w:t>
      </w:r>
      <w:r w:rsidR="00484E9C">
        <w:t>or</w:t>
      </w:r>
      <w:r w:rsidR="005659B7">
        <w:t xml:space="preserve"> proportion</w:t>
      </w:r>
      <w:r w:rsidRPr="005D705C">
        <w:t xml:space="preserve"> of </w:t>
      </w:r>
      <w:r w:rsidR="00C74E7A">
        <w:t xml:space="preserve">Peak </w:t>
      </w:r>
      <w:r w:rsidR="005659B7">
        <w:t xml:space="preserve">Capacity Credits </w:t>
      </w:r>
      <w:r w:rsidRPr="005D705C">
        <w:t xml:space="preserve">that </w:t>
      </w:r>
      <w:r w:rsidR="005A721A">
        <w:t>are</w:t>
      </w:r>
      <w:r w:rsidR="002826B2">
        <w:t xml:space="preserve"> </w:t>
      </w:r>
      <w:r w:rsidRPr="005D705C">
        <w:t>subject to that contract,</w:t>
      </w:r>
    </w:p>
    <w:p w14:paraId="58D1A02C" w14:textId="2725AEF8" w:rsidR="00300B1E" w:rsidRPr="005D705C" w:rsidRDefault="0067777A" w:rsidP="002D6D4F">
      <w:pPr>
        <w:pStyle w:val="Heading9"/>
        <w:numPr>
          <w:ilvl w:val="0"/>
          <w:numId w:val="0"/>
        </w:numPr>
        <w:ind w:left="2211"/>
      </w:pPr>
      <w:r w:rsidRPr="005D705C">
        <w:t xml:space="preserve">in each case allocated on a </w:t>
      </w:r>
      <w:r w:rsidR="00B51FCA">
        <w:t>Support</w:t>
      </w:r>
      <w:r w:rsidR="00B51FCA" w:rsidRPr="005D705C">
        <w:t xml:space="preserve"> </w:t>
      </w:r>
      <w:r w:rsidRPr="005D705C">
        <w:t>Year basis</w:t>
      </w:r>
      <w:r w:rsidR="00300B1E" w:rsidRPr="005D705C">
        <w:t xml:space="preserve">; and </w:t>
      </w:r>
    </w:p>
    <w:p w14:paraId="7CFAA141" w14:textId="7EC8F3F7" w:rsidR="00323AE4" w:rsidRPr="005D705C" w:rsidRDefault="00300B1E" w:rsidP="004B7781">
      <w:pPr>
        <w:pStyle w:val="Heading4"/>
      </w:pPr>
      <w:r w:rsidRPr="005D705C">
        <w:t xml:space="preserve">certification by a director of Project Operator that the information contained in the notice from Project Operator to the Commonwealth under </w:t>
      </w:r>
      <w:r w:rsidR="003116ED" w:rsidRPr="005D705C">
        <w:t xml:space="preserve">this </w:t>
      </w:r>
      <w:r w:rsidRPr="005D705C">
        <w:t xml:space="preserve">paragraph </w:t>
      </w:r>
      <w:r w:rsidRPr="005D705C">
        <w:fldChar w:fldCharType="begin"/>
      </w:r>
      <w:r w:rsidRPr="005D705C">
        <w:instrText xml:space="preserve"> REF _Ref139385534 \n \h </w:instrText>
      </w:r>
      <w:r w:rsidR="005D705C">
        <w:instrText xml:space="preserve"> \* MERGEFORMAT </w:instrText>
      </w:r>
      <w:r w:rsidRPr="005D705C">
        <w:fldChar w:fldCharType="separate"/>
      </w:r>
      <w:r w:rsidR="002E5C6A">
        <w:t>(a)</w:t>
      </w:r>
      <w:r w:rsidRPr="005D705C">
        <w:fldChar w:fldCharType="end"/>
      </w:r>
      <w:r w:rsidRPr="005D705C">
        <w:t xml:space="preserve"> is true and correct</w:t>
      </w:r>
      <w:r w:rsidR="00323AE4" w:rsidRPr="005D705C">
        <w:t>,</w:t>
      </w:r>
    </w:p>
    <w:p w14:paraId="360942AF" w14:textId="2F8ADB27" w:rsidR="00636C70" w:rsidRPr="00792B2E" w:rsidRDefault="00323AE4" w:rsidP="0058045D">
      <w:pPr>
        <w:pStyle w:val="Heading4"/>
        <w:numPr>
          <w:ilvl w:val="0"/>
          <w:numId w:val="0"/>
        </w:numPr>
        <w:ind w:left="1474"/>
      </w:pPr>
      <w:r w:rsidRPr="005D705C">
        <w:t>in a form reasonably requested by the Commonwealth</w:t>
      </w:r>
      <w:r w:rsidR="0067777A" w:rsidRPr="005D705C">
        <w:t>.</w:t>
      </w:r>
      <w:r w:rsidR="00636C70" w:rsidRPr="005D705C">
        <w:t xml:space="preserve"> </w:t>
      </w:r>
      <w:r w:rsidR="00636C70" w:rsidRPr="00792B2E">
        <w:t xml:space="preserve">Project Operator may include in its notice a request to the Commonwealth that the Commonwealth waive any of the conditions set out in clause </w:t>
      </w:r>
      <w:r w:rsidR="009153E0">
        <w:fldChar w:fldCharType="begin"/>
      </w:r>
      <w:r w:rsidR="009153E0">
        <w:instrText xml:space="preserve"> REF _Ref167903181 \w \h </w:instrText>
      </w:r>
      <w:r w:rsidR="009153E0">
        <w:fldChar w:fldCharType="separate"/>
      </w:r>
      <w:r w:rsidR="002E5C6A">
        <w:t>15.1(a)</w:t>
      </w:r>
      <w:r w:rsidR="009153E0">
        <w:fldChar w:fldCharType="end"/>
      </w:r>
      <w:r w:rsidR="00636C70" w:rsidRPr="00792B2E">
        <w:t xml:space="preserve"> or</w:t>
      </w:r>
      <w:r w:rsidR="00EC0487">
        <w:t xml:space="preserve"> </w:t>
      </w:r>
      <w:r w:rsidR="00A12FEE">
        <w:fldChar w:fldCharType="begin"/>
      </w:r>
      <w:r w:rsidR="00A12FEE">
        <w:instrText xml:space="preserve"> REF _Ref180573831 \n \h </w:instrText>
      </w:r>
      <w:r w:rsidR="00A12FEE">
        <w:fldChar w:fldCharType="separate"/>
      </w:r>
      <w:r w:rsidR="002E5C6A">
        <w:t>(b)</w:t>
      </w:r>
      <w:r w:rsidR="00A12FEE">
        <w:fldChar w:fldCharType="end"/>
      </w:r>
      <w:r w:rsidR="00636C70" w:rsidRPr="00792B2E">
        <w:t>.</w:t>
      </w:r>
    </w:p>
    <w:p w14:paraId="1C500805" w14:textId="77777777" w:rsidR="00636C70" w:rsidRPr="00792B2E" w:rsidRDefault="00636C70" w:rsidP="0058045D">
      <w:pPr>
        <w:pStyle w:val="Heading3"/>
      </w:pPr>
      <w:bookmarkStart w:id="3311" w:name="_Ref179272578"/>
      <w:r w:rsidRPr="00792B2E">
        <w:t>If:</w:t>
      </w:r>
      <w:bookmarkEnd w:id="3311"/>
      <w:r w:rsidRPr="00792B2E">
        <w:t xml:space="preserve"> </w:t>
      </w:r>
    </w:p>
    <w:p w14:paraId="4550767E" w14:textId="129B56D9" w:rsidR="00636C70" w:rsidRPr="00792B2E" w:rsidRDefault="00636C70" w:rsidP="0058045D">
      <w:pPr>
        <w:pStyle w:val="Heading4"/>
      </w:pPr>
      <w:r w:rsidRPr="00792B2E">
        <w:t xml:space="preserve">a Related Body Corporate of Project Operator is party to an Eligible </w:t>
      </w:r>
      <w:r w:rsidR="005659B7">
        <w:t>Bilateral</w:t>
      </w:r>
      <w:r w:rsidR="005659B7" w:rsidRPr="005D705C">
        <w:t xml:space="preserve"> </w:t>
      </w:r>
      <w:r w:rsidRPr="00792B2E">
        <w:t>Contract</w:t>
      </w:r>
      <w:r w:rsidR="00484E9C">
        <w:t xml:space="preserve"> with Project Operator</w:t>
      </w:r>
      <w:r w:rsidRPr="00792B2E">
        <w:t xml:space="preserve">; and </w:t>
      </w:r>
    </w:p>
    <w:p w14:paraId="3ADE8EF9" w14:textId="4A6E6B67" w:rsidR="00636C70" w:rsidRPr="00792B2E" w:rsidRDefault="00636C70" w:rsidP="00A82B79">
      <w:pPr>
        <w:pStyle w:val="Heading4"/>
        <w:keepNext/>
      </w:pPr>
      <w:r w:rsidRPr="00792B2E">
        <w:t xml:space="preserve">Project Operator enters into a </w:t>
      </w:r>
      <w:r w:rsidR="000B6F7D">
        <w:t>Bilateral</w:t>
      </w:r>
      <w:r w:rsidR="000B6F7D" w:rsidRPr="00792B2E">
        <w:t xml:space="preserve"> </w:t>
      </w:r>
      <w:r w:rsidR="00091412" w:rsidRPr="00792B2E">
        <w:t>C</w:t>
      </w:r>
      <w:r w:rsidRPr="00792B2E">
        <w:t>ontract with that Related Body Corporate</w:t>
      </w:r>
      <w:r w:rsidR="00484E9C">
        <w:t xml:space="preserve"> </w:t>
      </w:r>
      <w:r w:rsidR="00484E9C" w:rsidRPr="00792B2E">
        <w:t>(“</w:t>
      </w:r>
      <w:r w:rsidR="00484E9C" w:rsidRPr="008C038D">
        <w:rPr>
          <w:b/>
          <w:bCs/>
        </w:rPr>
        <w:t xml:space="preserve">RBC </w:t>
      </w:r>
      <w:r w:rsidR="00484E9C" w:rsidRPr="000B6F7D">
        <w:rPr>
          <w:b/>
          <w:bCs/>
        </w:rPr>
        <w:t>Bilateral</w:t>
      </w:r>
      <w:r w:rsidR="00484E9C" w:rsidRPr="000B6F7D" w:rsidDel="000B6F7D">
        <w:rPr>
          <w:b/>
          <w:bCs/>
        </w:rPr>
        <w:t xml:space="preserve"> </w:t>
      </w:r>
      <w:r w:rsidR="00484E9C" w:rsidRPr="008C038D">
        <w:rPr>
          <w:b/>
          <w:bCs/>
        </w:rPr>
        <w:t>Contract</w:t>
      </w:r>
      <w:r w:rsidR="00484E9C" w:rsidRPr="00792B2E">
        <w:t>”),</w:t>
      </w:r>
    </w:p>
    <w:p w14:paraId="071FC013" w14:textId="395F591E" w:rsidR="00636C70" w:rsidRPr="00792B2E" w:rsidRDefault="00636C70" w:rsidP="00D9202B">
      <w:pPr>
        <w:pStyle w:val="Heading4"/>
        <w:numPr>
          <w:ilvl w:val="0"/>
          <w:numId w:val="0"/>
        </w:numPr>
        <w:ind w:left="737" w:firstLine="737"/>
      </w:pPr>
      <w:r w:rsidRPr="00792B2E">
        <w:t xml:space="preserve">then: </w:t>
      </w:r>
    </w:p>
    <w:p w14:paraId="681855AB" w14:textId="77777777" w:rsidR="00636C70" w:rsidRPr="00792B2E" w:rsidRDefault="00636C70" w:rsidP="00D9202B">
      <w:pPr>
        <w:pStyle w:val="Heading4"/>
      </w:pPr>
      <w:r w:rsidRPr="00792B2E">
        <w:t xml:space="preserve">within 10 Business Days after Project Operator executes that RBC </w:t>
      </w:r>
      <w:r w:rsidR="000B6F7D">
        <w:t>Bilateral</w:t>
      </w:r>
      <w:r w:rsidR="000B6F7D" w:rsidRPr="00792B2E" w:rsidDel="000B6F7D">
        <w:t xml:space="preserve"> </w:t>
      </w:r>
      <w:r w:rsidRPr="00792B2E">
        <w:t xml:space="preserve">Contract, Project Operator must notify the Commonwealth that it has entered into the RBC </w:t>
      </w:r>
      <w:r w:rsidR="000B6F7D">
        <w:t>Bilateral</w:t>
      </w:r>
      <w:r w:rsidR="000B6F7D" w:rsidRPr="00792B2E" w:rsidDel="000B6F7D">
        <w:t xml:space="preserve"> </w:t>
      </w:r>
      <w:r w:rsidRPr="00792B2E">
        <w:t xml:space="preserve">Contract; and </w:t>
      </w:r>
    </w:p>
    <w:p w14:paraId="089B66E1" w14:textId="77777777" w:rsidR="0067777A" w:rsidRPr="00792B2E" w:rsidRDefault="2BC382E4" w:rsidP="00D9202B">
      <w:pPr>
        <w:pStyle w:val="Heading4"/>
      </w:pPr>
      <w:r w:rsidRPr="00792B2E">
        <w:t xml:space="preserve">Project Operator must provide to the Commonwealth reasonable details of the RBC </w:t>
      </w:r>
      <w:r w:rsidR="000B6F7D">
        <w:t>Bilateral</w:t>
      </w:r>
      <w:r w:rsidR="000B6F7D" w:rsidRPr="00792B2E" w:rsidDel="000B6F7D">
        <w:t xml:space="preserve"> </w:t>
      </w:r>
      <w:r w:rsidRPr="00792B2E">
        <w:t>Contract requested by the Commonwealth (acting reasonably), which must be certified by a director of Project Operator as being true and correct.</w:t>
      </w:r>
    </w:p>
    <w:p w14:paraId="4CC66C7A" w14:textId="5B38EF53" w:rsidR="005D705C" w:rsidRPr="008C038D" w:rsidRDefault="005D705C" w:rsidP="0058045D">
      <w:pPr>
        <w:pStyle w:val="Heading4"/>
        <w:numPr>
          <w:ilvl w:val="0"/>
          <w:numId w:val="0"/>
        </w:numPr>
        <w:ind w:left="1474"/>
        <w:rPr>
          <w:b/>
          <w:bCs/>
          <w:i/>
          <w:iCs/>
        </w:rPr>
      </w:pPr>
      <w:bookmarkStart w:id="3312" w:name="_Ref166256249"/>
      <w:bookmarkStart w:id="3313" w:name="_Ref166142390"/>
      <w:bookmarkStart w:id="3314" w:name="_Ref163810422"/>
      <w:bookmarkStart w:id="3315" w:name="_Ref163219272"/>
      <w:bookmarkStart w:id="3316" w:name="_Ref163567617"/>
      <w:r w:rsidRPr="008C038D">
        <w:rPr>
          <w:b/>
          <w:bCs/>
          <w:i/>
          <w:iCs/>
        </w:rPr>
        <w:t>[</w:t>
      </w:r>
      <w:r w:rsidRPr="008C038D">
        <w:rPr>
          <w:b/>
          <w:bCs/>
          <w:i/>
          <w:iCs/>
          <w:highlight w:val="lightGray"/>
        </w:rPr>
        <w:t xml:space="preserve">Note: a contract with a Related Body Corporate will only be an </w:t>
      </w:r>
      <w:r w:rsidRPr="000B6F7D">
        <w:rPr>
          <w:b/>
          <w:bCs/>
          <w:i/>
          <w:iCs/>
          <w:highlight w:val="lightGray"/>
        </w:rPr>
        <w:t xml:space="preserve">Eligible </w:t>
      </w:r>
      <w:r w:rsidR="000B6F7D" w:rsidRPr="008E4A1B">
        <w:rPr>
          <w:b/>
          <w:bCs/>
          <w:i/>
          <w:iCs/>
          <w:highlight w:val="lightGray"/>
        </w:rPr>
        <w:t>Bilateral</w:t>
      </w:r>
      <w:r w:rsidR="000B6F7D" w:rsidRPr="000B6F7D">
        <w:rPr>
          <w:b/>
          <w:bCs/>
          <w:i/>
          <w:iCs/>
          <w:highlight w:val="lightGray"/>
        </w:rPr>
        <w:t xml:space="preserve"> </w:t>
      </w:r>
      <w:r w:rsidRPr="000B6F7D">
        <w:rPr>
          <w:b/>
          <w:bCs/>
          <w:i/>
          <w:iCs/>
          <w:highlight w:val="lightGray"/>
        </w:rPr>
        <w:t xml:space="preserve">Contract </w:t>
      </w:r>
      <w:r w:rsidRPr="008C038D">
        <w:rPr>
          <w:b/>
          <w:bCs/>
          <w:i/>
          <w:iCs/>
          <w:highlight w:val="lightGray"/>
        </w:rPr>
        <w:t xml:space="preserve">if the Commonwealth has waived that eligibility requirement </w:t>
      </w:r>
      <w:r w:rsidR="005A721A">
        <w:rPr>
          <w:b/>
          <w:bCs/>
          <w:i/>
          <w:iCs/>
          <w:highlight w:val="lightGray"/>
        </w:rPr>
        <w:t xml:space="preserve">in clause </w:t>
      </w:r>
      <w:r w:rsidR="005A721A">
        <w:rPr>
          <w:b/>
          <w:bCs/>
          <w:i/>
          <w:iCs/>
          <w:highlight w:val="lightGray"/>
        </w:rPr>
        <w:fldChar w:fldCharType="begin"/>
      </w:r>
      <w:r w:rsidR="005A721A">
        <w:rPr>
          <w:b/>
          <w:bCs/>
          <w:i/>
          <w:iCs/>
          <w:highlight w:val="lightGray"/>
        </w:rPr>
        <w:instrText xml:space="preserve"> REF _Ref191377014 \w \h  \* MERGEFORMAT </w:instrText>
      </w:r>
      <w:r w:rsidR="005A721A">
        <w:rPr>
          <w:b/>
          <w:bCs/>
          <w:i/>
          <w:iCs/>
          <w:highlight w:val="lightGray"/>
        </w:rPr>
      </w:r>
      <w:r w:rsidR="005A721A">
        <w:rPr>
          <w:b/>
          <w:bCs/>
          <w:i/>
          <w:iCs/>
          <w:highlight w:val="lightGray"/>
        </w:rPr>
        <w:fldChar w:fldCharType="separate"/>
      </w:r>
      <w:r w:rsidR="002E5C6A">
        <w:rPr>
          <w:b/>
          <w:bCs/>
          <w:i/>
          <w:iCs/>
          <w:highlight w:val="lightGray"/>
        </w:rPr>
        <w:t>15.1(a)(ix)</w:t>
      </w:r>
      <w:r w:rsidR="005A721A">
        <w:rPr>
          <w:b/>
          <w:bCs/>
          <w:i/>
          <w:iCs/>
          <w:highlight w:val="lightGray"/>
        </w:rPr>
        <w:fldChar w:fldCharType="end"/>
      </w:r>
      <w:r w:rsidR="005A721A">
        <w:rPr>
          <w:b/>
          <w:bCs/>
          <w:i/>
          <w:iCs/>
          <w:highlight w:val="lightGray"/>
        </w:rPr>
        <w:t xml:space="preserve"> </w:t>
      </w:r>
      <w:r w:rsidRPr="008C038D">
        <w:rPr>
          <w:b/>
          <w:bCs/>
          <w:i/>
          <w:iCs/>
          <w:highlight w:val="lightGray"/>
        </w:rPr>
        <w:t xml:space="preserve">under clause </w:t>
      </w:r>
      <w:r w:rsidR="007D1E0E" w:rsidRPr="008C038D">
        <w:rPr>
          <w:b/>
          <w:bCs/>
          <w:i/>
          <w:iCs/>
          <w:highlight w:val="lightGray"/>
        </w:rPr>
        <w:fldChar w:fldCharType="begin"/>
      </w:r>
      <w:r w:rsidR="007D1E0E" w:rsidRPr="008C038D">
        <w:rPr>
          <w:b/>
          <w:bCs/>
          <w:i/>
          <w:iCs/>
          <w:highlight w:val="lightGray"/>
        </w:rPr>
        <w:instrText xml:space="preserve"> REF _Ref167912879 \w \h </w:instrText>
      </w:r>
      <w:r w:rsidR="008C038D" w:rsidRPr="008C038D">
        <w:rPr>
          <w:b/>
          <w:bCs/>
          <w:i/>
          <w:iCs/>
          <w:highlight w:val="lightGray"/>
        </w:rPr>
        <w:instrText xml:space="preserve"> \* MERGEFORMAT </w:instrText>
      </w:r>
      <w:r w:rsidR="007D1E0E" w:rsidRPr="008C038D">
        <w:rPr>
          <w:b/>
          <w:bCs/>
          <w:i/>
          <w:iCs/>
          <w:highlight w:val="lightGray"/>
        </w:rPr>
      </w:r>
      <w:r w:rsidR="007D1E0E" w:rsidRPr="008C038D">
        <w:rPr>
          <w:b/>
          <w:bCs/>
          <w:i/>
          <w:iCs/>
          <w:highlight w:val="lightGray"/>
        </w:rPr>
        <w:fldChar w:fldCharType="separate"/>
      </w:r>
      <w:r w:rsidR="002E5C6A">
        <w:rPr>
          <w:b/>
          <w:bCs/>
          <w:i/>
          <w:iCs/>
          <w:highlight w:val="lightGray"/>
        </w:rPr>
        <w:t>15.1(c)</w:t>
      </w:r>
      <w:r w:rsidR="007D1E0E" w:rsidRPr="008C038D">
        <w:rPr>
          <w:b/>
          <w:bCs/>
          <w:i/>
          <w:iCs/>
          <w:highlight w:val="lightGray"/>
        </w:rPr>
        <w:fldChar w:fldCharType="end"/>
      </w:r>
      <w:r w:rsidRPr="008C038D">
        <w:rPr>
          <w:b/>
          <w:bCs/>
          <w:i/>
          <w:iCs/>
          <w:highlight w:val="lightGray"/>
        </w:rPr>
        <w:t>.</w:t>
      </w:r>
      <w:r w:rsidR="002826B2">
        <w:rPr>
          <w:b/>
          <w:bCs/>
          <w:i/>
          <w:iCs/>
        </w:rPr>
        <w:t xml:space="preserve"> </w:t>
      </w:r>
      <w:r w:rsidR="002826B2">
        <w:rPr>
          <w:b/>
          <w:bCs/>
          <w:i/>
          <w:iCs/>
          <w:highlight w:val="lightGray"/>
        </w:rPr>
        <w:t>When</w:t>
      </w:r>
      <w:r w:rsidR="002826B2" w:rsidRPr="0031639F">
        <w:rPr>
          <w:b/>
          <w:bCs/>
          <w:i/>
          <w:iCs/>
          <w:highlight w:val="lightGray"/>
        </w:rPr>
        <w:t xml:space="preserve"> </w:t>
      </w:r>
      <w:r w:rsidR="002826B2" w:rsidRPr="00453ECB">
        <w:rPr>
          <w:b/>
          <w:bCs/>
          <w:i/>
          <w:iCs/>
          <w:highlight w:val="lightGray"/>
        </w:rPr>
        <w:t xml:space="preserve">this occurs, all other eligibility requirements under clause </w:t>
      </w:r>
      <w:r w:rsidR="007F7ADE">
        <w:rPr>
          <w:b/>
          <w:bCs/>
          <w:i/>
          <w:iCs/>
          <w:highlight w:val="lightGray"/>
        </w:rPr>
        <w:fldChar w:fldCharType="begin"/>
      </w:r>
      <w:r w:rsidR="007F7ADE">
        <w:rPr>
          <w:b/>
          <w:bCs/>
          <w:i/>
          <w:iCs/>
          <w:highlight w:val="lightGray"/>
        </w:rPr>
        <w:instrText xml:space="preserve"> REF _Ref114075749 \n \h </w:instrText>
      </w:r>
      <w:r w:rsidR="007F7ADE">
        <w:rPr>
          <w:b/>
          <w:bCs/>
          <w:i/>
          <w:iCs/>
          <w:highlight w:val="lightGray"/>
        </w:rPr>
      </w:r>
      <w:r w:rsidR="007F7ADE">
        <w:rPr>
          <w:b/>
          <w:bCs/>
          <w:i/>
          <w:iCs/>
          <w:highlight w:val="lightGray"/>
        </w:rPr>
        <w:fldChar w:fldCharType="separate"/>
      </w:r>
      <w:r w:rsidR="002E5C6A">
        <w:rPr>
          <w:b/>
          <w:bCs/>
          <w:i/>
          <w:iCs/>
          <w:highlight w:val="lightGray"/>
        </w:rPr>
        <w:t>15</w:t>
      </w:r>
      <w:r w:rsidR="007F7ADE">
        <w:rPr>
          <w:b/>
          <w:bCs/>
          <w:i/>
          <w:iCs/>
          <w:highlight w:val="lightGray"/>
        </w:rPr>
        <w:fldChar w:fldCharType="end"/>
      </w:r>
      <w:r w:rsidR="007F7ADE">
        <w:rPr>
          <w:b/>
          <w:bCs/>
          <w:i/>
          <w:iCs/>
          <w:highlight w:val="lightGray"/>
        </w:rPr>
        <w:t xml:space="preserve"> </w:t>
      </w:r>
      <w:r w:rsidR="002826B2" w:rsidRPr="00453ECB">
        <w:rPr>
          <w:b/>
          <w:bCs/>
          <w:i/>
          <w:iCs/>
          <w:highlight w:val="lightGray"/>
        </w:rPr>
        <w:t xml:space="preserve">are expected to apply, including but not limited to the requirement under clause </w:t>
      </w:r>
      <w:r w:rsidR="002826B2">
        <w:rPr>
          <w:b/>
          <w:bCs/>
          <w:i/>
          <w:iCs/>
          <w:highlight w:val="lightGray"/>
        </w:rPr>
        <w:fldChar w:fldCharType="begin"/>
      </w:r>
      <w:r w:rsidR="002826B2">
        <w:rPr>
          <w:b/>
          <w:bCs/>
          <w:i/>
          <w:iCs/>
          <w:highlight w:val="lightGray"/>
        </w:rPr>
        <w:instrText xml:space="preserve"> REF _Ref150848459 \w \h </w:instrText>
      </w:r>
      <w:r w:rsidR="002826B2">
        <w:rPr>
          <w:b/>
          <w:bCs/>
          <w:i/>
          <w:iCs/>
          <w:highlight w:val="lightGray"/>
        </w:rPr>
      </w:r>
      <w:r w:rsidR="002826B2">
        <w:rPr>
          <w:b/>
          <w:bCs/>
          <w:i/>
          <w:iCs/>
          <w:highlight w:val="lightGray"/>
        </w:rPr>
        <w:fldChar w:fldCharType="separate"/>
      </w:r>
      <w:r w:rsidR="002E5C6A">
        <w:rPr>
          <w:b/>
          <w:bCs/>
          <w:i/>
          <w:iCs/>
          <w:highlight w:val="lightGray"/>
        </w:rPr>
        <w:t>15.6</w:t>
      </w:r>
      <w:r w:rsidR="002826B2">
        <w:rPr>
          <w:b/>
          <w:bCs/>
          <w:i/>
          <w:iCs/>
          <w:highlight w:val="lightGray"/>
        </w:rPr>
        <w:fldChar w:fldCharType="end"/>
      </w:r>
      <w:r w:rsidR="002826B2" w:rsidRPr="00453ECB">
        <w:rPr>
          <w:b/>
          <w:bCs/>
          <w:i/>
          <w:iCs/>
          <w:highlight w:val="lightGray"/>
        </w:rPr>
        <w:t xml:space="preserve"> that the contract or the arrangement is entered into on a bona fide basis and on arm’s length terms.</w:t>
      </w:r>
      <w:r w:rsidRPr="008C038D">
        <w:rPr>
          <w:b/>
          <w:bCs/>
          <w:i/>
          <w:iCs/>
        </w:rPr>
        <w:t>]</w:t>
      </w:r>
    </w:p>
    <w:p w14:paraId="733C5AA3" w14:textId="77777777" w:rsidR="00E17176" w:rsidRDefault="2BC382E4" w:rsidP="0058045D">
      <w:pPr>
        <w:pStyle w:val="Heading3"/>
      </w:pPr>
      <w:r w:rsidRPr="00792B2E">
        <w:t xml:space="preserve">Project Operator must not receive, or agree to receive, any upfront or lump sum or ongoing payment from a counterparty to an Eligible </w:t>
      </w:r>
      <w:r w:rsidR="005659B7">
        <w:t>Bilateral</w:t>
      </w:r>
      <w:r w:rsidR="005659B7" w:rsidRPr="005D705C">
        <w:t xml:space="preserve"> </w:t>
      </w:r>
      <w:r w:rsidRPr="00792B2E">
        <w:t>Contract for the p</w:t>
      </w:r>
      <w:r w:rsidRPr="005D705C">
        <w:t>urposes of, or that has the effect of, reducing the contract price that Project</w:t>
      </w:r>
      <w:r>
        <w:t xml:space="preserve"> Operator is entitled to receive under that Eligible </w:t>
      </w:r>
      <w:r w:rsidR="005659B7">
        <w:t>Bilateral</w:t>
      </w:r>
      <w:r w:rsidR="005659B7" w:rsidRPr="005D705C">
        <w:t xml:space="preserve"> </w:t>
      </w:r>
      <w:r>
        <w:t xml:space="preserve">Contract. </w:t>
      </w:r>
      <w:bookmarkEnd w:id="3312"/>
    </w:p>
    <w:p w14:paraId="6D6E02A4" w14:textId="77777777" w:rsidR="007E50D1" w:rsidRDefault="2C388DF0" w:rsidP="0058045D">
      <w:pPr>
        <w:pStyle w:val="Heading2"/>
      </w:pPr>
      <w:bookmarkStart w:id="3317" w:name="_Toc167471169"/>
      <w:bookmarkStart w:id="3318" w:name="_Toc167473578"/>
      <w:bookmarkStart w:id="3319" w:name="_Toc167474231"/>
      <w:bookmarkStart w:id="3320" w:name="_Toc167911293"/>
      <w:bookmarkStart w:id="3321" w:name="_Toc167471170"/>
      <w:bookmarkStart w:id="3322" w:name="_Toc167473579"/>
      <w:bookmarkStart w:id="3323" w:name="_Toc167474232"/>
      <w:bookmarkStart w:id="3324" w:name="_Toc167911294"/>
      <w:bookmarkStart w:id="3325" w:name="_Ref166503827"/>
      <w:bookmarkStart w:id="3326" w:name="_Toc207309628"/>
      <w:bookmarkEnd w:id="3313"/>
      <w:bookmarkEnd w:id="3317"/>
      <w:bookmarkEnd w:id="3318"/>
      <w:bookmarkEnd w:id="3319"/>
      <w:bookmarkEnd w:id="3320"/>
      <w:bookmarkEnd w:id="3321"/>
      <w:bookmarkEnd w:id="3322"/>
      <w:bookmarkEnd w:id="3323"/>
      <w:bookmarkEnd w:id="3324"/>
      <w:r>
        <w:t xml:space="preserve">Amendment to Eligible </w:t>
      </w:r>
      <w:r w:rsidR="00420800">
        <w:t xml:space="preserve">Bilateral </w:t>
      </w:r>
      <w:r>
        <w:t>Contract</w:t>
      </w:r>
      <w:bookmarkEnd w:id="3325"/>
      <w:bookmarkEnd w:id="3326"/>
    </w:p>
    <w:p w14:paraId="30684F48" w14:textId="33756206" w:rsidR="004C00AB" w:rsidRPr="005D705C" w:rsidRDefault="004C00AB" w:rsidP="0058045D">
      <w:pPr>
        <w:pStyle w:val="Heading3"/>
        <w:numPr>
          <w:ilvl w:val="0"/>
          <w:numId w:val="0"/>
        </w:numPr>
        <w:ind w:left="737"/>
      </w:pPr>
      <w:bookmarkStart w:id="3327" w:name="_Ref163567737"/>
      <w:bookmarkEnd w:id="3314"/>
      <w:bookmarkEnd w:id="3315"/>
      <w:bookmarkEnd w:id="3316"/>
      <w:r>
        <w:t>If Project Operator amends or agree</w:t>
      </w:r>
      <w:r w:rsidR="00B93F56">
        <w:t>s</w:t>
      </w:r>
      <w:r>
        <w:t xml:space="preserve"> to amend an Eligible </w:t>
      </w:r>
      <w:r w:rsidR="00420800">
        <w:t xml:space="preserve">Bilateral </w:t>
      </w:r>
      <w:r>
        <w:t xml:space="preserve">Contract </w:t>
      </w:r>
      <w:r w:rsidR="009241CC">
        <w:t xml:space="preserve">(including any transfer </w:t>
      </w:r>
      <w:r w:rsidR="008B53F4">
        <w:t xml:space="preserve">of an </w:t>
      </w:r>
      <w:r w:rsidR="009241CC" w:rsidRPr="005D705C">
        <w:t xml:space="preserve">Eligible </w:t>
      </w:r>
      <w:r w:rsidR="00F71EA0">
        <w:t>Bilateral</w:t>
      </w:r>
      <w:r w:rsidR="00F71EA0" w:rsidRPr="005D705C" w:rsidDel="00F71EA0">
        <w:t xml:space="preserve"> </w:t>
      </w:r>
      <w:r w:rsidR="009241CC" w:rsidRPr="005D705C">
        <w:t xml:space="preserve">Contract) </w:t>
      </w:r>
      <w:r w:rsidRPr="005D705C">
        <w:t>after the date of</w:t>
      </w:r>
      <w:r w:rsidR="00B93F56" w:rsidRPr="005D705C">
        <w:t xml:space="preserve"> Project Operator’s notice under </w:t>
      </w:r>
      <w:r w:rsidR="007E50D1" w:rsidRPr="005D705C">
        <w:t>clause</w:t>
      </w:r>
      <w:r w:rsidR="00807884" w:rsidRPr="005D705C">
        <w:t xml:space="preserve"> </w:t>
      </w:r>
      <w:r w:rsidR="00807884" w:rsidRPr="005D705C">
        <w:fldChar w:fldCharType="begin"/>
      </w:r>
      <w:r w:rsidR="00807884" w:rsidRPr="005D705C">
        <w:instrText xml:space="preserve"> REF _Ref139385534 \w \h </w:instrText>
      </w:r>
      <w:r w:rsidR="00403BC1" w:rsidRPr="005D705C">
        <w:instrText xml:space="preserve"> \* MERGEFORMAT </w:instrText>
      </w:r>
      <w:r w:rsidR="00807884" w:rsidRPr="005D705C">
        <w:fldChar w:fldCharType="separate"/>
      </w:r>
      <w:r w:rsidR="002E5C6A">
        <w:t>15.2(a)</w:t>
      </w:r>
      <w:r w:rsidR="00807884" w:rsidRPr="005D705C">
        <w:fldChar w:fldCharType="end"/>
      </w:r>
      <w:r w:rsidR="00807884" w:rsidRPr="005D705C">
        <w:t xml:space="preserve"> (“</w:t>
      </w:r>
      <w:r w:rsidR="00807884" w:rsidRPr="005D705C">
        <w:fldChar w:fldCharType="begin"/>
      </w:r>
      <w:r w:rsidR="00807884" w:rsidRPr="005D705C">
        <w:instrText xml:space="preserve">  REF _Ref166243409 \h </w:instrText>
      </w:r>
      <w:r w:rsidR="00403BC1" w:rsidRPr="005D705C">
        <w:instrText xml:space="preserve"> \* MERGEFORMAT </w:instrText>
      </w:r>
      <w:r w:rsidR="00807884" w:rsidRPr="005D705C">
        <w:fldChar w:fldCharType="separate"/>
      </w:r>
      <w:r w:rsidR="002E5C6A" w:rsidRPr="005D705C">
        <w:t xml:space="preserve">Notification of </w:t>
      </w:r>
      <w:r w:rsidR="002E5C6A">
        <w:t>Bilateral</w:t>
      </w:r>
      <w:r w:rsidR="002E5C6A" w:rsidRPr="005D705C">
        <w:t xml:space="preserve"> Contract</w:t>
      </w:r>
      <w:r w:rsidR="00807884" w:rsidRPr="005D705C">
        <w:fldChar w:fldCharType="end"/>
      </w:r>
      <w:r w:rsidR="00807884" w:rsidRPr="005D705C">
        <w:t>”)</w:t>
      </w:r>
      <w:r w:rsidRPr="005D705C">
        <w:t>, then:</w:t>
      </w:r>
      <w:bookmarkEnd w:id="3327"/>
    </w:p>
    <w:p w14:paraId="2CB640D1" w14:textId="77777777" w:rsidR="009C6907" w:rsidRPr="005D705C" w:rsidRDefault="2C388DF0" w:rsidP="0058045D">
      <w:pPr>
        <w:pStyle w:val="Heading3"/>
      </w:pPr>
      <w:bookmarkStart w:id="3328" w:name="_Ref163721632"/>
      <w:r w:rsidRPr="005D705C">
        <w:t>within 10 Business Days after that amendment, Project Operator must provide to the Commonwealth a notice setting out:</w:t>
      </w:r>
      <w:bookmarkEnd w:id="3328"/>
    </w:p>
    <w:p w14:paraId="66E16C96" w14:textId="77777777" w:rsidR="008B53F4" w:rsidRPr="005D705C" w:rsidRDefault="2C388DF0" w:rsidP="0058045D">
      <w:pPr>
        <w:pStyle w:val="Heading4"/>
      </w:pPr>
      <w:r w:rsidRPr="005D705C">
        <w:t xml:space="preserve">all relevant details of the amendment and the reason(s) for the amendment; </w:t>
      </w:r>
    </w:p>
    <w:p w14:paraId="710FAE73" w14:textId="52A9809A" w:rsidR="00B93F56" w:rsidRPr="005D705C" w:rsidRDefault="2C388DF0" w:rsidP="0058045D">
      <w:pPr>
        <w:pStyle w:val="Heading4"/>
      </w:pPr>
      <w:r w:rsidRPr="005D705C">
        <w:t xml:space="preserve">updates to the information initially provided to the Commonwealth under clause </w:t>
      </w:r>
      <w:r w:rsidR="00B93F56" w:rsidRPr="005D705C">
        <w:fldChar w:fldCharType="begin"/>
      </w:r>
      <w:r w:rsidR="00B93F56" w:rsidRPr="005D705C">
        <w:instrText xml:space="preserve"> REF _Ref139385534 \w \h </w:instrText>
      </w:r>
      <w:r w:rsidR="005D705C">
        <w:instrText xml:space="preserve"> \* MERGEFORMAT </w:instrText>
      </w:r>
      <w:r w:rsidR="00B93F56" w:rsidRPr="005D705C">
        <w:fldChar w:fldCharType="separate"/>
      </w:r>
      <w:r w:rsidR="002E5C6A">
        <w:t>15.2(a)</w:t>
      </w:r>
      <w:r w:rsidR="00B93F56" w:rsidRPr="005D705C">
        <w:fldChar w:fldCharType="end"/>
      </w:r>
      <w:r w:rsidRPr="005D705C">
        <w:t xml:space="preserve">; </w:t>
      </w:r>
    </w:p>
    <w:p w14:paraId="01A46A91" w14:textId="77777777" w:rsidR="004C00AB" w:rsidRDefault="2C388DF0" w:rsidP="0058045D">
      <w:pPr>
        <w:pStyle w:val="Heading4"/>
      </w:pPr>
      <w:bookmarkStart w:id="3329" w:name="_Ref163721573"/>
      <w:r w:rsidRPr="005D705C">
        <w:t xml:space="preserve">whether or not the contract continues to qualify as an Eligible </w:t>
      </w:r>
      <w:r w:rsidR="00F71EA0">
        <w:t>Bilateral</w:t>
      </w:r>
      <w:r w:rsidR="00F71EA0" w:rsidRPr="005D705C">
        <w:t xml:space="preserve"> </w:t>
      </w:r>
      <w:r w:rsidRPr="005D705C">
        <w:t>Contract (including sufficient supporting</w:t>
      </w:r>
      <w:r>
        <w:t xml:space="preserve"> details and evidence for the Commonwealth to verify whether the contract continues to qualify as an Eligible </w:t>
      </w:r>
      <w:r w:rsidR="00D43F30">
        <w:t xml:space="preserve">Bilateral </w:t>
      </w:r>
      <w:r>
        <w:t>Contract)</w:t>
      </w:r>
      <w:bookmarkStart w:id="3330" w:name="_Ref163567739"/>
      <w:r>
        <w:t>;</w:t>
      </w:r>
      <w:bookmarkEnd w:id="3330"/>
      <w:r>
        <w:t xml:space="preserve"> and</w:t>
      </w:r>
      <w:bookmarkEnd w:id="3329"/>
    </w:p>
    <w:p w14:paraId="1B98E8A9" w14:textId="58BBF584" w:rsidR="003116ED" w:rsidRDefault="003116ED" w:rsidP="00D9202B">
      <w:pPr>
        <w:pStyle w:val="Heading4"/>
      </w:pPr>
      <w:r>
        <w:t xml:space="preserve">certification by a director of Project Operator that the information contained in the notice from Project Operator to the Commonwealth under this paragraph </w:t>
      </w:r>
      <w:r>
        <w:fldChar w:fldCharType="begin"/>
      </w:r>
      <w:r>
        <w:instrText xml:space="preserve"> REF _Ref163721632 \n \h </w:instrText>
      </w:r>
      <w:r>
        <w:fldChar w:fldCharType="separate"/>
      </w:r>
      <w:r w:rsidR="002E5C6A">
        <w:t>(a)</w:t>
      </w:r>
      <w:r>
        <w:fldChar w:fldCharType="end"/>
      </w:r>
      <w:r>
        <w:t xml:space="preserve"> is true and correct,</w:t>
      </w:r>
    </w:p>
    <w:p w14:paraId="542266C6" w14:textId="77777777" w:rsidR="003116ED" w:rsidRDefault="003116ED" w:rsidP="0058045D">
      <w:pPr>
        <w:pStyle w:val="Heading4"/>
        <w:numPr>
          <w:ilvl w:val="0"/>
          <w:numId w:val="0"/>
        </w:numPr>
        <w:ind w:left="1474"/>
      </w:pPr>
      <w:r>
        <w:t>in a form reasonably requested by the Commonwealth; and</w:t>
      </w:r>
    </w:p>
    <w:p w14:paraId="46CD94EE" w14:textId="09B34829" w:rsidR="00BE7491" w:rsidRDefault="2C388DF0" w:rsidP="0058045D">
      <w:pPr>
        <w:pStyle w:val="Heading3"/>
      </w:pPr>
      <w:bookmarkStart w:id="3331" w:name="_Ref166239438"/>
      <w:r w:rsidRPr="008E6FF4">
        <w:t xml:space="preserve">within </w:t>
      </w:r>
      <w:r w:rsidR="005A721A">
        <w:t>3</w:t>
      </w:r>
      <w:r w:rsidR="005A7D8F">
        <w:t xml:space="preserve">0 </w:t>
      </w:r>
      <w:r>
        <w:t xml:space="preserve">Business Days after the later of receiving the information described in paragraph </w:t>
      </w:r>
      <w:r w:rsidR="008434C3">
        <w:fldChar w:fldCharType="begin"/>
      </w:r>
      <w:r w:rsidR="008434C3">
        <w:instrText xml:space="preserve"> REF _Ref163721632 \n \h </w:instrText>
      </w:r>
      <w:r w:rsidR="008434C3">
        <w:fldChar w:fldCharType="separate"/>
      </w:r>
      <w:r w:rsidR="002E5C6A">
        <w:t>(a)</w:t>
      </w:r>
      <w:r w:rsidR="008434C3">
        <w:fldChar w:fldCharType="end"/>
      </w:r>
      <w:r>
        <w:t xml:space="preserve"> and receiving any further information requested by the Commonwealth, the Commonwealth must notify Project Operator of whether:</w:t>
      </w:r>
      <w:bookmarkEnd w:id="3331"/>
    </w:p>
    <w:p w14:paraId="57D74C45" w14:textId="70BAF97D" w:rsidR="009C6907" w:rsidRDefault="2C388DF0" w:rsidP="0058045D">
      <w:pPr>
        <w:pStyle w:val="Heading4"/>
      </w:pPr>
      <w:r w:rsidRPr="005D705C">
        <w:t xml:space="preserve">the terms </w:t>
      </w:r>
      <w:r w:rsidR="00925826" w:rsidRPr="00792B2E">
        <w:t>(</w:t>
      </w:r>
      <w:r w:rsidR="00DB331F" w:rsidRPr="00792B2E">
        <w:t xml:space="preserve">including the contract </w:t>
      </w:r>
      <w:r w:rsidR="00925826" w:rsidRPr="00792B2E">
        <w:t>price and volume)</w:t>
      </w:r>
      <w:r w:rsidR="00925826" w:rsidRPr="005D705C">
        <w:t xml:space="preserve"> </w:t>
      </w:r>
      <w:r w:rsidRPr="005D705C">
        <w:t xml:space="preserve">of the Eligible </w:t>
      </w:r>
      <w:r w:rsidR="00F71EA0">
        <w:t>Bilateral</w:t>
      </w:r>
      <w:r w:rsidR="00F71EA0" w:rsidRPr="005D705C" w:rsidDel="00F71EA0">
        <w:t xml:space="preserve"> </w:t>
      </w:r>
      <w:r w:rsidRPr="005D705C">
        <w:t>Contract</w:t>
      </w:r>
      <w:r>
        <w:t xml:space="preserve"> as initially notified to the Commonwealth under clause </w:t>
      </w:r>
      <w:r w:rsidR="00BE7491">
        <w:fldChar w:fldCharType="begin"/>
      </w:r>
      <w:r w:rsidR="00BE7491">
        <w:instrText xml:space="preserve"> REF _Ref139385534 \w \h </w:instrText>
      </w:r>
      <w:r w:rsidR="005D705C">
        <w:instrText xml:space="preserve"> \* MERGEFORMAT </w:instrText>
      </w:r>
      <w:r w:rsidR="00BE7491">
        <w:fldChar w:fldCharType="separate"/>
      </w:r>
      <w:r w:rsidR="002E5C6A">
        <w:t>15.2(a)</w:t>
      </w:r>
      <w:r w:rsidR="00BE7491">
        <w:fldChar w:fldCharType="end"/>
      </w:r>
      <w:r>
        <w:t xml:space="preserve"> will continue to apply for the contract tenor despite the amendment;</w:t>
      </w:r>
    </w:p>
    <w:p w14:paraId="7995DCC9" w14:textId="7DEA95F8" w:rsidR="00BE7491" w:rsidRDefault="2C388DF0" w:rsidP="0058045D">
      <w:pPr>
        <w:pStyle w:val="Heading4"/>
      </w:pPr>
      <w:bookmarkStart w:id="3332" w:name="_Ref166239439"/>
      <w:r>
        <w:t xml:space="preserve">the updated terms of the Eligible </w:t>
      </w:r>
      <w:r w:rsidR="00D43F30">
        <w:t xml:space="preserve">Bilateral </w:t>
      </w:r>
      <w:r>
        <w:t xml:space="preserve">Contract as notified to the Commonwealth under paragraph </w:t>
      </w:r>
      <w:r w:rsidR="00BE7491">
        <w:fldChar w:fldCharType="begin"/>
      </w:r>
      <w:r w:rsidR="00BE7491">
        <w:instrText xml:space="preserve"> REF _Ref163721632 \n \h </w:instrText>
      </w:r>
      <w:r w:rsidR="00BE7491">
        <w:fldChar w:fldCharType="separate"/>
      </w:r>
      <w:r w:rsidR="002E5C6A">
        <w:t>(a)</w:t>
      </w:r>
      <w:r w:rsidR="00BE7491">
        <w:fldChar w:fldCharType="end"/>
      </w:r>
      <w:r>
        <w:t xml:space="preserve"> will apply from the date of the amendment for the remaining contract tenor; or</w:t>
      </w:r>
      <w:bookmarkEnd w:id="3332"/>
      <w:r>
        <w:t xml:space="preserve"> </w:t>
      </w:r>
    </w:p>
    <w:p w14:paraId="0544168A" w14:textId="1442206B" w:rsidR="00BF6454" w:rsidRDefault="2C388DF0" w:rsidP="0058045D">
      <w:pPr>
        <w:pStyle w:val="Heading4"/>
      </w:pPr>
      <w:r>
        <w:t xml:space="preserve">the amended contract will be audited pursuant to clause </w:t>
      </w:r>
      <w:r w:rsidR="005849B1">
        <w:fldChar w:fldCharType="begin"/>
      </w:r>
      <w:r w:rsidR="005849B1">
        <w:instrText xml:space="preserve"> REF _Ref166245025 \w \h </w:instrText>
      </w:r>
      <w:r w:rsidR="005849B1">
        <w:fldChar w:fldCharType="separate"/>
      </w:r>
      <w:r w:rsidR="002E5C6A">
        <w:t>15.4</w:t>
      </w:r>
      <w:r w:rsidR="005849B1">
        <w:fldChar w:fldCharType="end"/>
      </w:r>
      <w:r>
        <w:t xml:space="preserve"> (“</w:t>
      </w:r>
      <w:r w:rsidR="005849B1">
        <w:fldChar w:fldCharType="begin"/>
      </w:r>
      <w:r w:rsidR="005849B1">
        <w:instrText xml:space="preserve">  REF _Ref166245025 \h </w:instrText>
      </w:r>
      <w:r w:rsidR="005849B1">
        <w:fldChar w:fldCharType="separate"/>
      </w:r>
      <w:r w:rsidR="002E5C6A">
        <w:t xml:space="preserve">Verification of Eligible </w:t>
      </w:r>
      <w:r w:rsidR="002E5C6A" w:rsidRPr="000B6F7D">
        <w:t>Bilateral</w:t>
      </w:r>
      <w:r w:rsidR="002E5C6A" w:rsidRPr="000B6F7D" w:rsidDel="000B6F7D">
        <w:t xml:space="preserve"> </w:t>
      </w:r>
      <w:r w:rsidR="002E5C6A">
        <w:t>Contracts</w:t>
      </w:r>
      <w:r w:rsidR="005849B1">
        <w:fldChar w:fldCharType="end"/>
      </w:r>
      <w:r>
        <w:t>”).</w:t>
      </w:r>
    </w:p>
    <w:p w14:paraId="20216801" w14:textId="77777777" w:rsidR="00A443B5" w:rsidDel="007E086D" w:rsidRDefault="2C388DF0" w:rsidP="0058045D">
      <w:pPr>
        <w:pStyle w:val="Heading2"/>
      </w:pPr>
      <w:bookmarkStart w:id="3333" w:name="_Ref166245025"/>
      <w:bookmarkStart w:id="3334" w:name="_Toc207309629"/>
      <w:r>
        <w:t xml:space="preserve">Verification of Eligible </w:t>
      </w:r>
      <w:r w:rsidR="000B6F7D" w:rsidRPr="000B6F7D">
        <w:t>Bilateral</w:t>
      </w:r>
      <w:r w:rsidR="000B6F7D" w:rsidRPr="000B6F7D" w:rsidDel="000B6F7D">
        <w:t xml:space="preserve"> </w:t>
      </w:r>
      <w:r>
        <w:t>Contracts</w:t>
      </w:r>
      <w:bookmarkEnd w:id="3333"/>
      <w:bookmarkEnd w:id="3334"/>
    </w:p>
    <w:p w14:paraId="3C9FA6DC" w14:textId="6EDCA7B6" w:rsidR="003C78D3" w:rsidRDefault="2C388DF0" w:rsidP="0058045D">
      <w:pPr>
        <w:pStyle w:val="Heading3"/>
      </w:pPr>
      <w:bookmarkStart w:id="3335" w:name="_Ref163809904"/>
      <w:r>
        <w:t xml:space="preserve">The Commonwealth may, at any time after receiving the information described in clause </w:t>
      </w:r>
      <w:r w:rsidR="00A443B5">
        <w:fldChar w:fldCharType="begin"/>
      </w:r>
      <w:r w:rsidR="00A443B5">
        <w:instrText xml:space="preserve"> REF _Ref139385534 \w \h </w:instrText>
      </w:r>
      <w:r w:rsidR="00A443B5">
        <w:fldChar w:fldCharType="separate"/>
      </w:r>
      <w:r w:rsidR="002E5C6A">
        <w:t>15.2(a)</w:t>
      </w:r>
      <w:r w:rsidR="00A443B5">
        <w:fldChar w:fldCharType="end"/>
      </w:r>
      <w:r>
        <w:t xml:space="preserve"> (“</w:t>
      </w:r>
      <w:r w:rsidR="00A443B5" w:rsidRPr="005D705C">
        <w:fldChar w:fldCharType="begin"/>
      </w:r>
      <w:r w:rsidR="00A443B5" w:rsidRPr="005D705C">
        <w:instrText xml:space="preserve">  REF _Ref166243409 \h </w:instrText>
      </w:r>
      <w:r w:rsidR="005D705C">
        <w:instrText xml:space="preserve"> \* MERGEFORMAT </w:instrText>
      </w:r>
      <w:r w:rsidR="00A443B5" w:rsidRPr="005D705C">
        <w:fldChar w:fldCharType="separate"/>
      </w:r>
      <w:r w:rsidR="002E5C6A" w:rsidRPr="005D705C">
        <w:t xml:space="preserve">Notification of </w:t>
      </w:r>
      <w:r w:rsidR="002E5C6A">
        <w:t>Bilateral</w:t>
      </w:r>
      <w:r w:rsidR="002E5C6A" w:rsidRPr="005D705C">
        <w:t xml:space="preserve"> Contract</w:t>
      </w:r>
      <w:r w:rsidR="00A443B5" w:rsidRPr="005D705C">
        <w:fldChar w:fldCharType="end"/>
      </w:r>
      <w:r w:rsidRPr="005D705C">
        <w:t>”)</w:t>
      </w:r>
      <w:r>
        <w:t xml:space="preserve"> or </w:t>
      </w:r>
      <w:r w:rsidR="00A443B5">
        <w:fldChar w:fldCharType="begin"/>
      </w:r>
      <w:r w:rsidR="00A443B5">
        <w:instrText xml:space="preserve"> REF _Ref163721632 \w \h </w:instrText>
      </w:r>
      <w:r w:rsidR="00A443B5">
        <w:fldChar w:fldCharType="separate"/>
      </w:r>
      <w:r w:rsidR="002E5C6A">
        <w:t>15.3(a)</w:t>
      </w:r>
      <w:r w:rsidR="00A443B5">
        <w:fldChar w:fldCharType="end"/>
      </w:r>
      <w:r>
        <w:t xml:space="preserve"> (“</w:t>
      </w:r>
      <w:r w:rsidR="00A443B5">
        <w:fldChar w:fldCharType="begin"/>
      </w:r>
      <w:r w:rsidR="00A443B5">
        <w:instrText xml:space="preserve"> REF _Ref166503827 \h </w:instrText>
      </w:r>
      <w:r w:rsidR="00A443B5">
        <w:fldChar w:fldCharType="separate"/>
      </w:r>
      <w:r w:rsidR="002E5C6A">
        <w:t>Amendment to Eligible Bilateral Contract</w:t>
      </w:r>
      <w:r w:rsidR="00A443B5">
        <w:fldChar w:fldCharType="end"/>
      </w:r>
      <w:r>
        <w:t xml:space="preserve">”), and having regard to any guidance provided by it pursuant to clause </w:t>
      </w:r>
      <w:r w:rsidR="00A443B5">
        <w:fldChar w:fldCharType="begin"/>
      </w:r>
      <w:r w:rsidR="00A443B5">
        <w:instrText xml:space="preserve"> REF _Ref166243254 \w \h </w:instrText>
      </w:r>
      <w:r w:rsidR="00A443B5">
        <w:fldChar w:fldCharType="separate"/>
      </w:r>
      <w:r w:rsidR="002E5C6A">
        <w:t>15.1(d)</w:t>
      </w:r>
      <w:r w:rsidR="00A443B5">
        <w:fldChar w:fldCharType="end"/>
      </w:r>
      <w:r>
        <w:t xml:space="preserve"> (“</w:t>
      </w:r>
      <w:r w:rsidR="00A443B5">
        <w:fldChar w:fldCharType="begin"/>
      </w:r>
      <w:r w:rsidR="00A443B5">
        <w:instrText xml:space="preserve">  REF _Ref166164634 \h </w:instrText>
      </w:r>
      <w:r w:rsidR="00A443B5">
        <w:fldChar w:fldCharType="separate"/>
      </w:r>
      <w:r w:rsidR="002E5C6A">
        <w:t>Eligibility requirements</w:t>
      </w:r>
      <w:r w:rsidR="00A443B5">
        <w:fldChar w:fldCharType="end"/>
      </w:r>
      <w:r>
        <w:t xml:space="preserve">”), verify whether the contract as notified by Project Operator is an Eligible </w:t>
      </w:r>
      <w:r w:rsidR="00D43F30">
        <w:t xml:space="preserve">Bilateral </w:t>
      </w:r>
      <w:r>
        <w:t xml:space="preserve">Contract in accordance with clause </w:t>
      </w:r>
      <w:r w:rsidR="00A443B5">
        <w:fldChar w:fldCharType="begin"/>
      </w:r>
      <w:r w:rsidR="00A443B5">
        <w:instrText xml:space="preserve"> REF _Ref149848578 \w \h </w:instrText>
      </w:r>
      <w:r w:rsidR="00A443B5">
        <w:fldChar w:fldCharType="separate"/>
      </w:r>
      <w:r w:rsidR="002E5C6A">
        <w:t>32.4</w:t>
      </w:r>
      <w:r w:rsidR="00A443B5">
        <w:fldChar w:fldCharType="end"/>
      </w:r>
      <w:r>
        <w:t xml:space="preserve"> (“</w:t>
      </w:r>
      <w:r w:rsidR="00A443B5">
        <w:fldChar w:fldCharType="begin"/>
      </w:r>
      <w:r w:rsidR="00A443B5">
        <w:instrText xml:space="preserve">  REF _Ref149848578 \h </w:instrText>
      </w:r>
      <w:r w:rsidR="00A443B5">
        <w:fldChar w:fldCharType="separate"/>
      </w:r>
      <w:r w:rsidR="002E5C6A">
        <w:t>Right to access and audit</w:t>
      </w:r>
      <w:r w:rsidR="00A443B5">
        <w:fldChar w:fldCharType="end"/>
      </w:r>
      <w:r>
        <w:t>”).</w:t>
      </w:r>
      <w:bookmarkEnd w:id="3335"/>
    </w:p>
    <w:p w14:paraId="53D11E1D" w14:textId="0CB454CC" w:rsidR="000F0FDC" w:rsidRDefault="00A443B5" w:rsidP="0058045D">
      <w:pPr>
        <w:pStyle w:val="Heading3"/>
      </w:pPr>
      <w:bookmarkStart w:id="3336" w:name="_Ref164845642"/>
      <w:r>
        <w:t>If</w:t>
      </w:r>
      <w:r w:rsidR="00671E9E">
        <w:t xml:space="preserve"> the Commonwealth undertakes a </w:t>
      </w:r>
      <w:r w:rsidR="00671E9E" w:rsidRPr="005D705C">
        <w:t xml:space="preserve">verification and </w:t>
      </w:r>
      <w:r w:rsidR="00CC05B7" w:rsidRPr="005D705C">
        <w:t>determines</w:t>
      </w:r>
      <w:r w:rsidR="00671E9E" w:rsidRPr="005D705C">
        <w:t xml:space="preserve"> (acting reasonably) that a contract notified </w:t>
      </w:r>
      <w:r w:rsidR="002070D4" w:rsidRPr="005D705C">
        <w:t xml:space="preserve">by Project Operator </w:t>
      </w:r>
      <w:r w:rsidR="00671E9E" w:rsidRPr="005D705C">
        <w:t xml:space="preserve">as an Eligible </w:t>
      </w:r>
      <w:r w:rsidR="00D43F30">
        <w:t xml:space="preserve">Bilateral </w:t>
      </w:r>
      <w:r w:rsidR="00671E9E" w:rsidRPr="005D705C">
        <w:t xml:space="preserve">Contract </w:t>
      </w:r>
      <w:r w:rsidR="002070D4" w:rsidRPr="005D705C">
        <w:t xml:space="preserve">under clause </w:t>
      </w:r>
      <w:r w:rsidR="002070D4" w:rsidRPr="005D705C">
        <w:fldChar w:fldCharType="begin"/>
      </w:r>
      <w:r w:rsidR="002070D4" w:rsidRPr="005D705C">
        <w:instrText xml:space="preserve"> REF _Ref139385534 \w \h </w:instrText>
      </w:r>
      <w:r w:rsidR="00091412" w:rsidRPr="00792B2E">
        <w:instrText xml:space="preserve"> \* MERGEFORMAT </w:instrText>
      </w:r>
      <w:r w:rsidR="002070D4" w:rsidRPr="005D705C">
        <w:fldChar w:fldCharType="separate"/>
      </w:r>
      <w:r w:rsidR="002E5C6A">
        <w:t>15.2(a)</w:t>
      </w:r>
      <w:r w:rsidR="002070D4" w:rsidRPr="005D705C">
        <w:fldChar w:fldCharType="end"/>
      </w:r>
      <w:r w:rsidR="002070D4" w:rsidRPr="005D705C">
        <w:t xml:space="preserve"> </w:t>
      </w:r>
      <w:r w:rsidR="006733E4" w:rsidRPr="005D705C">
        <w:t>(“</w:t>
      </w:r>
      <w:r w:rsidR="006733E4" w:rsidRPr="005D705C">
        <w:fldChar w:fldCharType="begin"/>
      </w:r>
      <w:r w:rsidR="006733E4" w:rsidRPr="005D705C">
        <w:instrText xml:space="preserve">  REF _Ref166243409 \h </w:instrText>
      </w:r>
      <w:r w:rsidR="00091412" w:rsidRPr="00792B2E">
        <w:instrText xml:space="preserve"> \* MERGEFORMAT </w:instrText>
      </w:r>
      <w:r w:rsidR="006733E4" w:rsidRPr="005D705C">
        <w:fldChar w:fldCharType="separate"/>
      </w:r>
      <w:r w:rsidR="002E5C6A" w:rsidRPr="005D705C">
        <w:t xml:space="preserve">Notification of </w:t>
      </w:r>
      <w:r w:rsidR="002E5C6A">
        <w:t>Bilateral</w:t>
      </w:r>
      <w:r w:rsidR="002E5C6A" w:rsidRPr="005D705C">
        <w:t xml:space="preserve"> Contract</w:t>
      </w:r>
      <w:r w:rsidR="006733E4" w:rsidRPr="005D705C">
        <w:fldChar w:fldCharType="end"/>
      </w:r>
      <w:r w:rsidR="006733E4" w:rsidRPr="005D705C">
        <w:t xml:space="preserve">”) </w:t>
      </w:r>
      <w:r w:rsidR="002070D4" w:rsidRPr="005D705C">
        <w:t>is</w:t>
      </w:r>
      <w:r w:rsidR="00CC05B7" w:rsidRPr="005D705C">
        <w:t xml:space="preserve"> not</w:t>
      </w:r>
      <w:r w:rsidR="002070D4" w:rsidRPr="005D705C">
        <w:t xml:space="preserve"> an</w:t>
      </w:r>
      <w:r w:rsidR="002070D4">
        <w:t xml:space="preserve"> Eligible </w:t>
      </w:r>
      <w:r w:rsidR="00D43F30">
        <w:t xml:space="preserve">Bilateral </w:t>
      </w:r>
      <w:r w:rsidR="002070D4">
        <w:t>Contract,</w:t>
      </w:r>
      <w:r>
        <w:t xml:space="preserve"> then</w:t>
      </w:r>
      <w:r w:rsidR="00C45860" w:rsidRPr="00C45860">
        <w:t xml:space="preserve"> </w:t>
      </w:r>
      <w:r w:rsidR="00C45860">
        <w:t xml:space="preserve">the contract is deemed to not be an Eligible </w:t>
      </w:r>
      <w:r w:rsidR="00D43F30">
        <w:t xml:space="preserve">Bilateral </w:t>
      </w:r>
      <w:r w:rsidR="00C45860">
        <w:t>Contract from the later of</w:t>
      </w:r>
      <w:r w:rsidR="000F0FDC">
        <w:t>:</w:t>
      </w:r>
      <w:bookmarkEnd w:id="3336"/>
    </w:p>
    <w:p w14:paraId="187D105C" w14:textId="2B781820" w:rsidR="00671E9E" w:rsidRPr="005D705C" w:rsidRDefault="00671E9E" w:rsidP="0058045D">
      <w:pPr>
        <w:pStyle w:val="Heading4"/>
      </w:pPr>
      <w:r>
        <w:t xml:space="preserve">the </w:t>
      </w:r>
      <w:r w:rsidR="000F0FDC">
        <w:t xml:space="preserve">date of Project Operator’s notice under clause </w:t>
      </w:r>
      <w:r w:rsidR="000F0FDC">
        <w:fldChar w:fldCharType="begin"/>
      </w:r>
      <w:r w:rsidR="000F0FDC">
        <w:instrText xml:space="preserve"> REF _Ref139385534 \w \h </w:instrText>
      </w:r>
      <w:r w:rsidR="000F0FDC">
        <w:fldChar w:fldCharType="separate"/>
      </w:r>
      <w:r w:rsidR="002E5C6A">
        <w:t>15.2(a)</w:t>
      </w:r>
      <w:r w:rsidR="000F0FDC">
        <w:fldChar w:fldCharType="end"/>
      </w:r>
      <w:r w:rsidR="000F0FDC">
        <w:t xml:space="preserve"> or </w:t>
      </w:r>
      <w:r w:rsidR="000F0FDC">
        <w:fldChar w:fldCharType="begin"/>
      </w:r>
      <w:r w:rsidR="000F0FDC">
        <w:instrText xml:space="preserve"> REF _Ref163721632 \w \h </w:instrText>
      </w:r>
      <w:r w:rsidR="000F0FDC">
        <w:fldChar w:fldCharType="separate"/>
      </w:r>
      <w:r w:rsidR="002E5C6A">
        <w:t>15.3(a)</w:t>
      </w:r>
      <w:r w:rsidR="000F0FDC">
        <w:fldChar w:fldCharType="end"/>
      </w:r>
      <w:r w:rsidR="000F0FDC">
        <w:t xml:space="preserve"> </w:t>
      </w:r>
      <w:r w:rsidR="006733E4">
        <w:t>(“</w:t>
      </w:r>
      <w:r w:rsidR="006733E4">
        <w:fldChar w:fldCharType="begin"/>
      </w:r>
      <w:r w:rsidR="006733E4">
        <w:instrText xml:space="preserve"> REF _Ref166503827 \h </w:instrText>
      </w:r>
      <w:r w:rsidR="006733E4">
        <w:fldChar w:fldCharType="separate"/>
      </w:r>
      <w:r w:rsidR="002E5C6A">
        <w:t>Amendment to Eligible Bilateral Contract</w:t>
      </w:r>
      <w:r w:rsidR="006733E4">
        <w:fldChar w:fldCharType="end"/>
      </w:r>
      <w:r w:rsidR="006733E4">
        <w:t xml:space="preserve">”) </w:t>
      </w:r>
      <w:r w:rsidR="000F0FDC">
        <w:t>(as applicable</w:t>
      </w:r>
      <w:r w:rsidR="000F0FDC" w:rsidRPr="005D705C">
        <w:t>)</w:t>
      </w:r>
      <w:r w:rsidRPr="005D705C">
        <w:t xml:space="preserve">; and </w:t>
      </w:r>
    </w:p>
    <w:p w14:paraId="10E95A63" w14:textId="557D596D" w:rsidR="00A443B5" w:rsidRPr="005D705C" w:rsidRDefault="00671E9E" w:rsidP="0058045D">
      <w:pPr>
        <w:pStyle w:val="Heading4"/>
      </w:pPr>
      <w:r w:rsidRPr="005D705C">
        <w:t xml:space="preserve">the date that is </w:t>
      </w:r>
      <w:r w:rsidR="00D643A7">
        <w:t>two (</w:t>
      </w:r>
      <w:r w:rsidRPr="00792B2E">
        <w:t>2</w:t>
      </w:r>
      <w:r w:rsidR="00D643A7">
        <w:t>)</w:t>
      </w:r>
      <w:r w:rsidRPr="005D705C">
        <w:t xml:space="preserve"> years prior to the </w:t>
      </w:r>
      <w:r w:rsidR="00CC05B7" w:rsidRPr="005D705C">
        <w:t xml:space="preserve">Commonwealth determining that the contract is not an Eligible </w:t>
      </w:r>
      <w:r w:rsidR="00D43F30">
        <w:t xml:space="preserve">Bilateral </w:t>
      </w:r>
      <w:r w:rsidR="00CC05B7" w:rsidRPr="005D705C">
        <w:t>Contract</w:t>
      </w:r>
      <w:r w:rsidR="00A443B5" w:rsidRPr="005D705C">
        <w:t>.</w:t>
      </w:r>
      <w:r w:rsidR="00CC05B7" w:rsidRPr="005D705C">
        <w:t xml:space="preserve"> </w:t>
      </w:r>
    </w:p>
    <w:p w14:paraId="633D4DF2" w14:textId="77777777" w:rsidR="00FF0D97" w:rsidRPr="005D705C" w:rsidRDefault="2C388DF0" w:rsidP="0058045D">
      <w:pPr>
        <w:pStyle w:val="Heading2"/>
      </w:pPr>
      <w:bookmarkStart w:id="3337" w:name="_Ref163567140"/>
      <w:bookmarkStart w:id="3338" w:name="_Toc207309630"/>
      <w:r w:rsidRPr="005D705C">
        <w:t xml:space="preserve">Application of Eligible </w:t>
      </w:r>
      <w:r w:rsidR="000B6F7D">
        <w:t>Bilateral</w:t>
      </w:r>
      <w:r w:rsidR="000B6F7D" w:rsidRPr="005D705C">
        <w:t xml:space="preserve"> </w:t>
      </w:r>
      <w:r w:rsidRPr="005D705C">
        <w:t>Contract</w:t>
      </w:r>
      <w:bookmarkEnd w:id="3337"/>
      <w:bookmarkEnd w:id="3338"/>
    </w:p>
    <w:p w14:paraId="41E42FC8" w14:textId="54095B45" w:rsidR="004022ED" w:rsidRPr="00792B2E" w:rsidRDefault="00124043" w:rsidP="00B83C04">
      <w:pPr>
        <w:pStyle w:val="Heading3"/>
        <w:numPr>
          <w:ilvl w:val="0"/>
          <w:numId w:val="0"/>
        </w:numPr>
        <w:ind w:left="737"/>
      </w:pPr>
      <w:bookmarkStart w:id="3339" w:name="_Ref163566788"/>
      <w:r>
        <w:t xml:space="preserve">Subject to </w:t>
      </w:r>
      <w:r w:rsidRPr="00AD4C09">
        <w:t>clause</w:t>
      </w:r>
      <w:r w:rsidR="000A59F8" w:rsidRPr="00AD4C09">
        <w:t>s</w:t>
      </w:r>
      <w:r>
        <w:t xml:space="preserve"> </w:t>
      </w:r>
      <w:r>
        <w:fldChar w:fldCharType="begin"/>
      </w:r>
      <w:r>
        <w:instrText xml:space="preserve"> REF _Ref168498875 \w \h </w:instrText>
      </w:r>
      <w:r>
        <w:fldChar w:fldCharType="separate"/>
      </w:r>
      <w:r w:rsidR="002E5C6A">
        <w:t>15.6(c)</w:t>
      </w:r>
      <w:r>
        <w:fldChar w:fldCharType="end"/>
      </w:r>
      <w:r>
        <w:t xml:space="preserve"> and </w:t>
      </w:r>
      <w:r>
        <w:fldChar w:fldCharType="begin"/>
      </w:r>
      <w:r>
        <w:instrText xml:space="preserve"> REF _Ref168503475 \w \h </w:instrText>
      </w:r>
      <w:r>
        <w:fldChar w:fldCharType="separate"/>
      </w:r>
      <w:r w:rsidR="002E5C6A">
        <w:t>15.6(d)</w:t>
      </w:r>
      <w:r>
        <w:fldChar w:fldCharType="end"/>
      </w:r>
      <w:r>
        <w:t xml:space="preserve"> (“</w:t>
      </w:r>
      <w:r>
        <w:fldChar w:fldCharType="begin"/>
      </w:r>
      <w:r>
        <w:instrText xml:space="preserve">  REF _Ref150848459 \h </w:instrText>
      </w:r>
      <w:r>
        <w:fldChar w:fldCharType="separate"/>
      </w:r>
      <w:r w:rsidR="002E5C6A">
        <w:t>Bona fide and arm’s length arrangements</w:t>
      </w:r>
      <w:r>
        <w:fldChar w:fldCharType="end"/>
      </w:r>
      <w:r>
        <w:t>”),</w:t>
      </w:r>
      <w:bookmarkEnd w:id="3339"/>
      <w:r w:rsidR="004B3AD9" w:rsidRPr="005D705C">
        <w:t xml:space="preserve"> </w:t>
      </w:r>
      <w:r w:rsidR="009652BA" w:rsidRPr="005D705C">
        <w:t xml:space="preserve">an Eligible </w:t>
      </w:r>
      <w:r w:rsidR="00F71EA0">
        <w:t>Bilateral</w:t>
      </w:r>
      <w:r w:rsidR="00F71EA0" w:rsidRPr="005D705C" w:rsidDel="00F71EA0">
        <w:t xml:space="preserve"> </w:t>
      </w:r>
      <w:r w:rsidR="009652BA" w:rsidRPr="005D705C">
        <w:t>Contract applies to a</w:t>
      </w:r>
      <w:r w:rsidR="005D705C">
        <w:t xml:space="preserve"> </w:t>
      </w:r>
      <w:r w:rsidR="005A721A">
        <w:t>Trading</w:t>
      </w:r>
      <w:r w:rsidR="005A721A" w:rsidDel="00A5400A">
        <w:t xml:space="preserve"> </w:t>
      </w:r>
      <w:r w:rsidR="005D705C">
        <w:t>Interval</w:t>
      </w:r>
      <w:r w:rsidR="004D3A86" w:rsidRPr="005D705C">
        <w:t xml:space="preserve"> occurring during the tenor of that contract</w:t>
      </w:r>
      <w:r w:rsidR="009652BA" w:rsidRPr="005D705C">
        <w:t xml:space="preserve"> </w:t>
      </w:r>
      <w:r w:rsidR="00111190" w:rsidRPr="005D705C">
        <w:t>if</w:t>
      </w:r>
      <w:r w:rsidR="002C68FC" w:rsidRPr="005D705C">
        <w:t xml:space="preserve"> </w:t>
      </w:r>
      <w:r w:rsidR="004D3A86" w:rsidRPr="005D705C">
        <w:t xml:space="preserve">that Eligible </w:t>
      </w:r>
      <w:r w:rsidR="00F71EA0">
        <w:t>Bilateral</w:t>
      </w:r>
      <w:r w:rsidR="00F71EA0" w:rsidRPr="005D705C" w:rsidDel="00F71EA0">
        <w:t xml:space="preserve"> </w:t>
      </w:r>
      <w:r w:rsidR="004D3A86" w:rsidRPr="005D705C">
        <w:t>Contract</w:t>
      </w:r>
      <w:r w:rsidR="00111190" w:rsidRPr="005D705C">
        <w:t xml:space="preserve"> was notified to the Commonwealth under </w:t>
      </w:r>
      <w:r w:rsidR="00FF0D97" w:rsidRPr="005D705C">
        <w:t xml:space="preserve">clause </w:t>
      </w:r>
      <w:r w:rsidR="00FF0D97" w:rsidRPr="005D705C">
        <w:fldChar w:fldCharType="begin"/>
      </w:r>
      <w:r w:rsidR="00FF0D97" w:rsidRPr="005D705C">
        <w:instrText xml:space="preserve"> REF _Ref139385534 \w \h </w:instrText>
      </w:r>
      <w:r w:rsidR="00671E9E" w:rsidRPr="005D705C">
        <w:instrText xml:space="preserve"> \* MERGEFORMAT </w:instrText>
      </w:r>
      <w:r w:rsidR="00FF0D97" w:rsidRPr="005D705C">
        <w:fldChar w:fldCharType="separate"/>
      </w:r>
      <w:r w:rsidR="002E5C6A">
        <w:t>15.2(a)</w:t>
      </w:r>
      <w:r w:rsidR="00FF0D97" w:rsidRPr="005D705C">
        <w:fldChar w:fldCharType="end"/>
      </w:r>
      <w:r w:rsidR="00FF0D97" w:rsidRPr="005D705C">
        <w:t xml:space="preserve"> (“</w:t>
      </w:r>
      <w:r w:rsidR="00591255" w:rsidRPr="005D705C">
        <w:fldChar w:fldCharType="begin"/>
      </w:r>
      <w:r w:rsidR="00591255" w:rsidRPr="005D705C">
        <w:instrText xml:space="preserve"> REF _Ref166243409 \h </w:instrText>
      </w:r>
      <w:r w:rsidR="00091412" w:rsidRPr="00792B2E">
        <w:instrText xml:space="preserve"> \* MERGEFORMAT </w:instrText>
      </w:r>
      <w:r w:rsidR="00591255" w:rsidRPr="005D705C">
        <w:fldChar w:fldCharType="separate"/>
      </w:r>
      <w:r w:rsidR="002E5C6A" w:rsidRPr="005D705C">
        <w:t xml:space="preserve">Notification of </w:t>
      </w:r>
      <w:r w:rsidR="002E5C6A">
        <w:t>Bilateral</w:t>
      </w:r>
      <w:r w:rsidR="002E5C6A" w:rsidRPr="005D705C">
        <w:t xml:space="preserve"> Contract</w:t>
      </w:r>
      <w:r w:rsidR="00591255" w:rsidRPr="005D705C">
        <w:fldChar w:fldCharType="end"/>
      </w:r>
      <w:r w:rsidR="00FF0D97" w:rsidRPr="005D705C">
        <w:t>”)</w:t>
      </w:r>
      <w:r w:rsidR="00111190" w:rsidRPr="005D705C">
        <w:t xml:space="preserve"> at least </w:t>
      </w:r>
      <w:r w:rsidR="00D643A7">
        <w:t>three (</w:t>
      </w:r>
      <w:r w:rsidR="00111190" w:rsidRPr="005D705C">
        <w:t>3</w:t>
      </w:r>
      <w:r w:rsidR="00D643A7">
        <w:t>)</w:t>
      </w:r>
      <w:r w:rsidR="00111190" w:rsidRPr="005D705C">
        <w:t xml:space="preserve"> months prior to that </w:t>
      </w:r>
      <w:r w:rsidR="00F91B0B">
        <w:t xml:space="preserve">Eligible </w:t>
      </w:r>
      <w:r w:rsidR="00F71EA0">
        <w:t>Bilateral</w:t>
      </w:r>
      <w:r w:rsidR="00F71EA0" w:rsidDel="00F71EA0">
        <w:t xml:space="preserve"> </w:t>
      </w:r>
      <w:r w:rsidR="00F91B0B">
        <w:t>Contract coming into effect</w:t>
      </w:r>
      <w:bookmarkStart w:id="3340" w:name="_Ref168497955"/>
      <w:r w:rsidR="00F91B0B">
        <w:t>.</w:t>
      </w:r>
      <w:bookmarkEnd w:id="3340"/>
      <w:r w:rsidR="00641040">
        <w:t xml:space="preserve"> In its absolute discretion, the Commonwealth may waive the requirement for</w:t>
      </w:r>
      <w:r w:rsidR="00D643A7">
        <w:t xml:space="preserve"> three</w:t>
      </w:r>
      <w:r w:rsidR="00641040">
        <w:t xml:space="preserve"> </w:t>
      </w:r>
      <w:r w:rsidR="00D643A7">
        <w:t>(</w:t>
      </w:r>
      <w:r w:rsidR="00641040">
        <w:t>3</w:t>
      </w:r>
      <w:r w:rsidR="00D643A7">
        <w:t>)</w:t>
      </w:r>
      <w:r w:rsidR="00641040">
        <w:t xml:space="preserve"> months’ notice.</w:t>
      </w:r>
    </w:p>
    <w:p w14:paraId="6A09D097" w14:textId="77777777" w:rsidR="002D6549" w:rsidRPr="0058045D" w:rsidRDefault="2C388DF0" w:rsidP="0058045D">
      <w:pPr>
        <w:pStyle w:val="Heading2"/>
        <w:rPr>
          <w:szCs w:val="18"/>
        </w:rPr>
      </w:pPr>
      <w:bookmarkStart w:id="3341" w:name="_Ref150848459"/>
      <w:bookmarkStart w:id="3342" w:name="_Ref150848758"/>
      <w:bookmarkStart w:id="3343" w:name="_Toc165647484"/>
      <w:bookmarkStart w:id="3344" w:name="_Toc207309631"/>
      <w:r>
        <w:t>Bona fide and arm’s length arrangements</w:t>
      </w:r>
      <w:bookmarkEnd w:id="3341"/>
      <w:bookmarkEnd w:id="3342"/>
      <w:bookmarkEnd w:id="3343"/>
      <w:bookmarkEnd w:id="3344"/>
    </w:p>
    <w:p w14:paraId="15940EE5" w14:textId="210776AD" w:rsidR="003C3225" w:rsidRDefault="2C388DF0" w:rsidP="00314F33">
      <w:pPr>
        <w:pStyle w:val="Heading3"/>
        <w:keepNext/>
      </w:pPr>
      <w:bookmarkStart w:id="3345" w:name="_Ref168498822"/>
      <w:r>
        <w:t xml:space="preserve">Project Operator must not enter into any </w:t>
      </w:r>
      <w:r w:rsidR="000B6F7D">
        <w:t xml:space="preserve">Bilateral </w:t>
      </w:r>
      <w:r>
        <w:t>Contract</w:t>
      </w:r>
      <w:r w:rsidR="00680E90">
        <w:t xml:space="preserve"> or any arrangement regarding Operational Revenue and/or Permitted Costs, in each case which applies during the Support Period</w:t>
      </w:r>
      <w:r w:rsidR="003C3225">
        <w:t>:</w:t>
      </w:r>
      <w:bookmarkEnd w:id="3345"/>
      <w:r>
        <w:t xml:space="preserve"> </w:t>
      </w:r>
    </w:p>
    <w:p w14:paraId="6C0C1917" w14:textId="77777777" w:rsidR="003C3225" w:rsidRDefault="2C388DF0" w:rsidP="00467340">
      <w:pPr>
        <w:pStyle w:val="Heading4"/>
        <w:numPr>
          <w:ilvl w:val="3"/>
          <w:numId w:val="44"/>
        </w:numPr>
      </w:pPr>
      <w:r>
        <w:t>unless that contract or the arrangement is entered into on a bona fide basis and on arm’s length terms</w:t>
      </w:r>
      <w:r w:rsidR="003C3225">
        <w:t xml:space="preserve">; and </w:t>
      </w:r>
    </w:p>
    <w:p w14:paraId="272B8683" w14:textId="22EEFD0E" w:rsidR="00AA31A4" w:rsidRDefault="003C3225" w:rsidP="00467340">
      <w:pPr>
        <w:pStyle w:val="Heading4"/>
        <w:numPr>
          <w:ilvl w:val="3"/>
          <w:numId w:val="44"/>
        </w:numPr>
      </w:pPr>
      <w:bookmarkStart w:id="3346" w:name="_Ref168498823"/>
      <w:bookmarkStart w:id="3347" w:name="_Ref168497895"/>
      <w:r w:rsidRPr="00F701DB">
        <w:t>if</w:t>
      </w:r>
      <w:r w:rsidR="00F701DB">
        <w:t xml:space="preserve"> that contract or the arrangement </w:t>
      </w:r>
      <w:r w:rsidR="00F701DB" w:rsidRPr="00D87FB1">
        <w:t>would</w:t>
      </w:r>
      <w:r w:rsidR="001E2D45">
        <w:t xml:space="preserve"> </w:t>
      </w:r>
      <w:r w:rsidR="00F701DB" w:rsidRPr="00D87FB1">
        <w:t>require Project Operator to</w:t>
      </w:r>
      <w:r w:rsidR="001E2D45">
        <w:t xml:space="preserve"> </w:t>
      </w:r>
      <w:r w:rsidR="00AA31A4">
        <w:t>p</w:t>
      </w:r>
      <w:r w:rsidR="00F701DB" w:rsidRPr="00D87FB1">
        <w:t>hysically or notionally</w:t>
      </w:r>
      <w:r w:rsidR="00C06BCC">
        <w:t xml:space="preserve"> sell or deliver, or otherwise contract in respect of</w:t>
      </w:r>
      <w:r w:rsidR="00AA31A4">
        <w:t>:</w:t>
      </w:r>
      <w:bookmarkEnd w:id="3346"/>
    </w:p>
    <w:p w14:paraId="4BD40C82" w14:textId="43663038" w:rsidR="00AA31A4" w:rsidRDefault="00426460" w:rsidP="00467340">
      <w:pPr>
        <w:pStyle w:val="Heading5"/>
        <w:numPr>
          <w:ilvl w:val="4"/>
          <w:numId w:val="44"/>
        </w:numPr>
      </w:pPr>
      <w:r>
        <w:t>(</w:t>
      </w:r>
      <w:r w:rsidR="00AA31A4">
        <w:t xml:space="preserve">to the extent that </w:t>
      </w:r>
      <w:r w:rsidR="005A721A">
        <w:t xml:space="preserve">the </w:t>
      </w:r>
      <w:r w:rsidR="00AA31A4">
        <w:t>contract or</w:t>
      </w:r>
      <w:r w:rsidR="00C06BCC">
        <w:t xml:space="preserve"> </w:t>
      </w:r>
      <w:r w:rsidR="00AA31A4">
        <w:t>arrangement relates to electricity</w:t>
      </w:r>
      <w:r>
        <w:t xml:space="preserve">) </w:t>
      </w:r>
      <w:r w:rsidR="00F71EA0">
        <w:t>import or export</w:t>
      </w:r>
      <w:r w:rsidR="00F71EA0" w:rsidRPr="00D87FB1">
        <w:t xml:space="preserve">, or otherwise </w:t>
      </w:r>
      <w:r w:rsidR="00F71EA0">
        <w:t xml:space="preserve">contract </w:t>
      </w:r>
      <w:r w:rsidR="00F71EA0" w:rsidRPr="00D87FB1">
        <w:t>in respect of</w:t>
      </w:r>
      <w:r w:rsidR="00F71EA0">
        <w:t xml:space="preserve"> </w:t>
      </w:r>
      <w:r w:rsidRPr="005E7C60">
        <w:t xml:space="preserve">more than 100% of </w:t>
      </w:r>
      <w:r w:rsidR="00F71EA0">
        <w:t xml:space="preserve">the </w:t>
      </w:r>
      <w:r w:rsidR="00F54890">
        <w:t>Storage</w:t>
      </w:r>
      <w:r w:rsidR="00F71EA0">
        <w:t xml:space="preserve"> Capacity</w:t>
      </w:r>
      <w:r w:rsidR="00AB6225">
        <w:t>, Import Capacity or Export Capacity</w:t>
      </w:r>
      <w:r w:rsidR="00AA31A4">
        <w:t>,</w:t>
      </w:r>
      <w:r w:rsidR="001E2D45">
        <w:t xml:space="preserve"> </w:t>
      </w:r>
      <w:r>
        <w:t xml:space="preserve">when taken </w:t>
      </w:r>
      <w:r w:rsidR="001E2D45">
        <w:t xml:space="preserve">together with all other </w:t>
      </w:r>
      <w:r w:rsidR="00F54890">
        <w:t xml:space="preserve">Bilateral </w:t>
      </w:r>
      <w:r w:rsidR="001E2D45">
        <w:t>Contracts that relate to electricity</w:t>
      </w:r>
      <w:r w:rsidR="00AA31A4">
        <w:t xml:space="preserve">; </w:t>
      </w:r>
      <w:r w:rsidR="004E4EF3">
        <w:t xml:space="preserve">or </w:t>
      </w:r>
    </w:p>
    <w:p w14:paraId="14A38B6B" w14:textId="028102F9" w:rsidR="005A721A" w:rsidRDefault="00426460" w:rsidP="00467340">
      <w:pPr>
        <w:pStyle w:val="Heading5"/>
        <w:numPr>
          <w:ilvl w:val="4"/>
          <w:numId w:val="44"/>
        </w:numPr>
      </w:pPr>
      <w:r>
        <w:t>(</w:t>
      </w:r>
      <w:r w:rsidR="00AA31A4">
        <w:t>to the extent that contract or the arrangement relates to Green Products</w:t>
      </w:r>
      <w:r w:rsidR="005A721A">
        <w:t>)</w:t>
      </w:r>
      <w:r w:rsidRPr="00426460">
        <w:t xml:space="preserve"> </w:t>
      </w:r>
      <w:r>
        <w:t xml:space="preserve">more than </w:t>
      </w:r>
      <w:r w:rsidRPr="005E7C60">
        <w:t xml:space="preserve">the number of Green Products able to be created by reference to 100% of </w:t>
      </w:r>
      <w:r w:rsidR="00F54890">
        <w:t>the Storage Capacity</w:t>
      </w:r>
      <w:r w:rsidR="00AB6225">
        <w:t>, Import Capacity or Export Capacity</w:t>
      </w:r>
      <w:r>
        <w:t>, when taken</w:t>
      </w:r>
      <w:r w:rsidR="00AA31A4">
        <w:t xml:space="preserve"> </w:t>
      </w:r>
      <w:r w:rsidR="0097409A">
        <w:t xml:space="preserve">together with all other </w:t>
      </w:r>
      <w:r w:rsidR="00F54890">
        <w:t xml:space="preserve">Bilateral </w:t>
      </w:r>
      <w:r w:rsidR="0097409A">
        <w:t>Contracts that relate to Green Products</w:t>
      </w:r>
      <w:r w:rsidR="00F54890">
        <w:t xml:space="preserve"> </w:t>
      </w:r>
      <w:r w:rsidR="00641040">
        <w:t xml:space="preserve">created by the </w:t>
      </w:r>
      <w:r w:rsidR="005A721A">
        <w:t xml:space="preserve">[Staged] </w:t>
      </w:r>
      <w:r w:rsidR="00641040">
        <w:t>Project</w:t>
      </w:r>
      <w:r w:rsidR="005A721A">
        <w:t>;</w:t>
      </w:r>
      <w:r w:rsidR="005A721A" w:rsidRPr="005A721A">
        <w:t xml:space="preserve"> </w:t>
      </w:r>
      <w:r w:rsidR="005A721A">
        <w:t>or [</w:t>
      </w:r>
      <w:r w:rsidR="005A721A">
        <w:rPr>
          <w:b/>
          <w:i/>
          <w:highlight w:val="lightGray"/>
        </w:rPr>
        <w:t xml:space="preserve">Note: wording in square brackets above </w:t>
      </w:r>
      <w:r w:rsidR="005A721A" w:rsidRPr="005A721A">
        <w:rPr>
          <w:b/>
          <w:bCs/>
          <w:i/>
          <w:iCs/>
          <w:highlight w:val="lightGray"/>
        </w:rPr>
        <w:t>is to be included for all Staged Projects</w:t>
      </w:r>
      <w:r w:rsidR="005A721A" w:rsidRPr="008F660B">
        <w:t>.</w:t>
      </w:r>
      <w:r w:rsidR="005A721A">
        <w:t>]</w:t>
      </w:r>
    </w:p>
    <w:p w14:paraId="5A9DA1F1" w14:textId="77777777" w:rsidR="005A721A" w:rsidRDefault="005A721A" w:rsidP="008F660B">
      <w:pPr>
        <w:pStyle w:val="Heading5"/>
        <w:numPr>
          <w:ilvl w:val="4"/>
          <w:numId w:val="44"/>
        </w:numPr>
      </w:pPr>
      <w:r>
        <w:t xml:space="preserve">(to the extent that contract or arrangement relates to Peak Capacity Credits) more than the number of Peak Capacity Credits assigned to the Project from time to time, when taken together with all other Bilateral Contracts that relate to Peak Capacity Credits created by the [Staged] Project. </w:t>
      </w:r>
      <w:r w:rsidRPr="008F660B">
        <w:rPr>
          <w:highlight w:val="lightGray"/>
        </w:rPr>
        <w:t>[</w:t>
      </w:r>
      <w:r w:rsidRPr="005A721A">
        <w:rPr>
          <w:b/>
          <w:bCs/>
          <w:i/>
          <w:iCs/>
          <w:highlight w:val="lightGray"/>
        </w:rPr>
        <w:t>Note: wording in square brackets above is to be included for all Staged Projects</w:t>
      </w:r>
      <w:r w:rsidRPr="008F660B">
        <w:rPr>
          <w:highlight w:val="lightGray"/>
        </w:rPr>
        <w:t>.]</w:t>
      </w:r>
    </w:p>
    <w:bookmarkEnd w:id="3347"/>
    <w:p w14:paraId="4AE5A072" w14:textId="2F1E7376" w:rsidR="00A62FFF" w:rsidRPr="00F701DB" w:rsidRDefault="00A62FFF" w:rsidP="005A721A">
      <w:pPr>
        <w:pStyle w:val="Heading5"/>
        <w:numPr>
          <w:ilvl w:val="0"/>
          <w:numId w:val="0"/>
        </w:numPr>
        <w:ind w:left="2211"/>
      </w:pPr>
      <w:r w:rsidRPr="00AD4C09">
        <w:t>[</w:t>
      </w:r>
      <w:r w:rsidRPr="005A721A">
        <w:rPr>
          <w:b/>
          <w:bCs/>
          <w:i/>
          <w:iCs/>
          <w:highlight w:val="lightGray"/>
        </w:rPr>
        <w:t xml:space="preserve">Note: </w:t>
      </w:r>
      <w:r w:rsidR="003968E6" w:rsidRPr="005A721A">
        <w:rPr>
          <w:b/>
          <w:bCs/>
          <w:i/>
          <w:iCs/>
          <w:highlight w:val="lightGray"/>
        </w:rPr>
        <w:t>see agreement cover note regarding Non-Storage Projects</w:t>
      </w:r>
      <w:r w:rsidRPr="005A721A">
        <w:rPr>
          <w:b/>
          <w:bCs/>
          <w:i/>
          <w:iCs/>
          <w:highlight w:val="lightGray"/>
        </w:rPr>
        <w:t>.</w:t>
      </w:r>
      <w:r w:rsidRPr="00AD4C09">
        <w:t>]</w:t>
      </w:r>
    </w:p>
    <w:p w14:paraId="66490C7B" w14:textId="77777777" w:rsidR="002D6549" w:rsidRPr="00506261" w:rsidRDefault="2C388DF0" w:rsidP="008C038D">
      <w:pPr>
        <w:pStyle w:val="Heading3"/>
        <w:keepNext/>
      </w:pPr>
      <w:r>
        <w:t xml:space="preserve">Project </w:t>
      </w:r>
      <w:r w:rsidRPr="00506261">
        <w:t>Operator acknowledges that:</w:t>
      </w:r>
    </w:p>
    <w:p w14:paraId="1B70A713" w14:textId="1FEE4020" w:rsidR="002D6549" w:rsidRPr="00506261" w:rsidRDefault="2C388DF0" w:rsidP="0058045D">
      <w:pPr>
        <w:pStyle w:val="Heading4"/>
      </w:pPr>
      <w:r w:rsidRPr="00506261">
        <w:t xml:space="preserve">the purpose of this agreement is to provide revenue support during the Support </w:t>
      </w:r>
      <w:r w:rsidR="001816DC" w:rsidRPr="00506261">
        <w:t xml:space="preserve">Period </w:t>
      </w:r>
      <w:r w:rsidRPr="00506261">
        <w:t>to support the development of the Project</w:t>
      </w:r>
      <w:r w:rsidR="001816DC" w:rsidRPr="00506261">
        <w:t xml:space="preserve">, </w:t>
      </w:r>
      <w:r w:rsidR="00932F81">
        <w:t xml:space="preserve">unless Project Operator exercises an option to not receive Support, </w:t>
      </w:r>
      <w:r w:rsidRPr="00506261">
        <w:t>and is not intended to distort the market signals that would otherwise apply to the Project; and</w:t>
      </w:r>
    </w:p>
    <w:p w14:paraId="4BC635F4" w14:textId="5335D592" w:rsidR="00E57466" w:rsidRDefault="2C388DF0" w:rsidP="0058045D">
      <w:pPr>
        <w:pStyle w:val="Heading4"/>
      </w:pPr>
      <w:r w:rsidRPr="00506261">
        <w:t xml:space="preserve">this agreement including this clause </w:t>
      </w:r>
      <w:r w:rsidR="002D6549" w:rsidRPr="00506261">
        <w:fldChar w:fldCharType="begin"/>
      </w:r>
      <w:r w:rsidR="002D6549" w:rsidRPr="00506261">
        <w:instrText xml:space="preserve"> REF _Ref114075749 \w \h </w:instrText>
      </w:r>
      <w:r w:rsidR="001816DC" w:rsidRPr="00792B2E">
        <w:instrText xml:space="preserve"> \* MERGEFORMAT </w:instrText>
      </w:r>
      <w:r w:rsidR="002D6549" w:rsidRPr="00506261">
        <w:fldChar w:fldCharType="separate"/>
      </w:r>
      <w:r w:rsidR="002E5C6A">
        <w:t>15</w:t>
      </w:r>
      <w:r w:rsidR="002D6549" w:rsidRPr="00506261">
        <w:fldChar w:fldCharType="end"/>
      </w:r>
      <w:r w:rsidRPr="00506261">
        <w:t xml:space="preserve"> is to be interpreted and applied consistent with that purpose</w:t>
      </w:r>
      <w:r>
        <w:t>.</w:t>
      </w:r>
    </w:p>
    <w:p w14:paraId="0E10B85F" w14:textId="1D12B6BB" w:rsidR="00944F7B" w:rsidRDefault="00944F7B" w:rsidP="00944F7B">
      <w:pPr>
        <w:pStyle w:val="Heading3"/>
      </w:pPr>
      <w:bookmarkStart w:id="3348" w:name="_Ref168498875"/>
      <w:r>
        <w:t xml:space="preserve">If Project Operator enters into a </w:t>
      </w:r>
      <w:r w:rsidR="00F54890">
        <w:t xml:space="preserve">Bilateral </w:t>
      </w:r>
      <w:r>
        <w:t xml:space="preserve">Contract in contravention of </w:t>
      </w:r>
      <w:r w:rsidR="00564590">
        <w:t>sub</w:t>
      </w:r>
      <w:r>
        <w:t xml:space="preserve">paragraph </w:t>
      </w:r>
      <w:r>
        <w:fldChar w:fldCharType="begin"/>
      </w:r>
      <w:r>
        <w:instrText xml:space="preserve"> REF _Ref168498822 \n \h </w:instrText>
      </w:r>
      <w:r>
        <w:fldChar w:fldCharType="separate"/>
      </w:r>
      <w:r w:rsidR="002E5C6A">
        <w:t>(a)</w:t>
      </w:r>
      <w:r>
        <w:fldChar w:fldCharType="end"/>
      </w:r>
      <w:r>
        <w:fldChar w:fldCharType="begin"/>
      </w:r>
      <w:r>
        <w:instrText xml:space="preserve"> REF _Ref168498823 \n \h </w:instrText>
      </w:r>
      <w:r>
        <w:fldChar w:fldCharType="separate"/>
      </w:r>
      <w:r w:rsidR="002E5C6A">
        <w:t>(ii)</w:t>
      </w:r>
      <w:r>
        <w:fldChar w:fldCharType="end"/>
      </w:r>
      <w:r>
        <w:t xml:space="preserve"> (“</w:t>
      </w:r>
      <w:r w:rsidRPr="00030773">
        <w:rPr>
          <w:b/>
          <w:bCs/>
        </w:rPr>
        <w:t>Over-Contracted Arrangement</w:t>
      </w:r>
      <w:r>
        <w:t>”), then the Commonwealth may (at its discretion) notify Project Operator that</w:t>
      </w:r>
      <w:r w:rsidR="00932F81">
        <w:t>,</w:t>
      </w:r>
      <w:r w:rsidR="00932F81" w:rsidRPr="00932F81">
        <w:t xml:space="preserve"> </w:t>
      </w:r>
      <w:r w:rsidR="00932F81">
        <w:t xml:space="preserve">subject to the remainder of this </w:t>
      </w:r>
      <w:r w:rsidR="00932F81" w:rsidRPr="007C4604">
        <w:t xml:space="preserve">clause </w:t>
      </w:r>
      <w:bookmarkEnd w:id="3348"/>
      <w:r w:rsidR="00351755" w:rsidRPr="007C4604">
        <w:fldChar w:fldCharType="begin"/>
      </w:r>
      <w:r w:rsidR="00351755" w:rsidRPr="007C4604">
        <w:instrText xml:space="preserve"> REF _Ref150848459 \w \h </w:instrText>
      </w:r>
      <w:r w:rsidR="00351755" w:rsidRPr="008F660B">
        <w:instrText xml:space="preserve"> \* MERGEFORMAT </w:instrText>
      </w:r>
      <w:r w:rsidR="00351755" w:rsidRPr="007C4604">
        <w:fldChar w:fldCharType="separate"/>
      </w:r>
      <w:r w:rsidR="002E5C6A">
        <w:t>15.6</w:t>
      </w:r>
      <w:r w:rsidR="00351755" w:rsidRPr="007C4604">
        <w:fldChar w:fldCharType="end"/>
      </w:r>
      <w:r w:rsidR="00612E89">
        <w:t>:</w:t>
      </w:r>
    </w:p>
    <w:p w14:paraId="1E9924A5" w14:textId="75D3A1A1" w:rsidR="00D84C7B" w:rsidRDefault="00C06BCC" w:rsidP="00467340">
      <w:pPr>
        <w:pStyle w:val="Heading4"/>
        <w:numPr>
          <w:ilvl w:val="3"/>
          <w:numId w:val="44"/>
        </w:numPr>
      </w:pPr>
      <w:bookmarkStart w:id="3349" w:name="_Ref168499543"/>
      <w:r>
        <w:t xml:space="preserve">subject to the remainder of this clause </w:t>
      </w:r>
      <w:r>
        <w:fldChar w:fldCharType="begin"/>
      </w:r>
      <w:r>
        <w:instrText xml:space="preserve"> REF _Ref114075749 \n \h </w:instrText>
      </w:r>
      <w:r>
        <w:fldChar w:fldCharType="separate"/>
      </w:r>
      <w:r w:rsidR="002E5C6A">
        <w:t>15</w:t>
      </w:r>
      <w:r>
        <w:fldChar w:fldCharType="end"/>
      </w:r>
      <w:r>
        <w:t xml:space="preserve">, </w:t>
      </w:r>
      <w:r w:rsidR="00944F7B">
        <w:t xml:space="preserve">the Over-Contracted Arrangement may be an Eligible </w:t>
      </w:r>
      <w:r w:rsidR="00F54890">
        <w:t>Bilateral</w:t>
      </w:r>
      <w:r w:rsidR="00F54890" w:rsidDel="00F54890">
        <w:t xml:space="preserve"> </w:t>
      </w:r>
      <w:r w:rsidR="00944F7B">
        <w:t>Contract</w:t>
      </w:r>
      <w:r w:rsidR="0033633B">
        <w:t xml:space="preserve">, in which case paragraph </w:t>
      </w:r>
      <w:r w:rsidR="002C7DFD">
        <w:fldChar w:fldCharType="begin"/>
      </w:r>
      <w:r w:rsidR="002C7DFD">
        <w:instrText xml:space="preserve"> REF _Ref168503475 \n \h </w:instrText>
      </w:r>
      <w:r w:rsidR="002C7DFD">
        <w:fldChar w:fldCharType="separate"/>
      </w:r>
      <w:r w:rsidR="002E5C6A">
        <w:t>(d)</w:t>
      </w:r>
      <w:r w:rsidR="002C7DFD">
        <w:fldChar w:fldCharType="end"/>
      </w:r>
      <w:r w:rsidR="0033633B">
        <w:t xml:space="preserve"> applies; or</w:t>
      </w:r>
      <w:bookmarkEnd w:id="3349"/>
    </w:p>
    <w:p w14:paraId="741F8FE0" w14:textId="57344609" w:rsidR="00944F7B" w:rsidRDefault="00944F7B" w:rsidP="00131021">
      <w:pPr>
        <w:pStyle w:val="Heading4"/>
      </w:pPr>
      <w:bookmarkStart w:id="3350" w:name="_Ref171495154"/>
      <w:bookmarkStart w:id="3351" w:name="_Ref177063315"/>
      <w:r>
        <w:t>the Over-Contracted Arrangement is</w:t>
      </w:r>
      <w:bookmarkEnd w:id="3350"/>
      <w:r w:rsidR="00552781">
        <w:t xml:space="preserve"> a Bilateral Contract or is</w:t>
      </w:r>
      <w:bookmarkStart w:id="3352" w:name="_Ref171495190"/>
      <w:r w:rsidR="0022514D">
        <w:t xml:space="preserve"> </w:t>
      </w:r>
      <w:bookmarkEnd w:id="3352"/>
      <w:r w:rsidR="001C3E0F">
        <w:t>neither an Eligible Bilateral Contract nor a Bilateral Contract for the purposes of this agreement,</w:t>
      </w:r>
      <w:r w:rsidR="00CB1653">
        <w:t xml:space="preserve"> </w:t>
      </w:r>
      <w:r w:rsidR="001C3E0F">
        <w:t>in which case paragraph</w:t>
      </w:r>
      <w:r w:rsidR="00B60F84">
        <w:t xml:space="preserve"> </w:t>
      </w:r>
      <w:r w:rsidR="00B60F84">
        <w:fldChar w:fldCharType="begin"/>
      </w:r>
      <w:r w:rsidR="00B60F84">
        <w:instrText xml:space="preserve"> REF _Ref171496804 \n \h </w:instrText>
      </w:r>
      <w:r w:rsidR="00B60F84">
        <w:fldChar w:fldCharType="separate"/>
      </w:r>
      <w:r w:rsidR="002E5C6A">
        <w:t>(ii)</w:t>
      </w:r>
      <w:r w:rsidR="00B60F84">
        <w:fldChar w:fldCharType="end"/>
      </w:r>
      <w:r w:rsidR="00B60F84">
        <w:t xml:space="preserve"> applies</w:t>
      </w:r>
      <w:r w:rsidR="009C353D">
        <w:t>.</w:t>
      </w:r>
      <w:bookmarkEnd w:id="3351"/>
    </w:p>
    <w:p w14:paraId="79DF7E94" w14:textId="30D084FC" w:rsidR="00944F7B" w:rsidRPr="00714A88" w:rsidRDefault="00944F7B" w:rsidP="00D87FB1">
      <w:pPr>
        <w:pStyle w:val="Heading3"/>
        <w:numPr>
          <w:ilvl w:val="0"/>
          <w:numId w:val="0"/>
        </w:numPr>
        <w:ind w:left="1474"/>
      </w:pPr>
      <w:r>
        <w:t xml:space="preserve">This paragraph </w:t>
      </w:r>
      <w:r w:rsidR="006B450A">
        <w:fldChar w:fldCharType="begin"/>
      </w:r>
      <w:r w:rsidR="006B450A">
        <w:instrText xml:space="preserve"> REF _Ref168498875 \r \h </w:instrText>
      </w:r>
      <w:r w:rsidR="006B450A">
        <w:fldChar w:fldCharType="separate"/>
      </w:r>
      <w:r w:rsidR="002E5C6A">
        <w:t>(c)</w:t>
      </w:r>
      <w:r w:rsidR="006B450A">
        <w:fldChar w:fldCharType="end"/>
      </w:r>
      <w:r>
        <w:t xml:space="preserve"> is without prejudice to </w:t>
      </w:r>
      <w:r w:rsidRPr="00AD5990">
        <w:t>any rights or remedies</w:t>
      </w:r>
      <w:r w:rsidR="00932F81">
        <w:t xml:space="preserve"> that</w:t>
      </w:r>
      <w:r w:rsidRPr="00AD5990">
        <w:t xml:space="preserve"> the Commonwealth may have in relation to matters arising under or in </w:t>
      </w:r>
      <w:r w:rsidRPr="00714A88">
        <w:t xml:space="preserve">connection with this agreement (including under </w:t>
      </w:r>
      <w:r w:rsidR="00E64D20" w:rsidRPr="00714A88">
        <w:t xml:space="preserve">this clause </w:t>
      </w:r>
      <w:r w:rsidR="00E64D20" w:rsidRPr="00714A88">
        <w:fldChar w:fldCharType="begin"/>
      </w:r>
      <w:r w:rsidR="00E64D20" w:rsidRPr="00714A88">
        <w:instrText xml:space="preserve"> REF _Ref114075749 \w \h  \* MERGEFORMAT </w:instrText>
      </w:r>
      <w:r w:rsidR="00E64D20" w:rsidRPr="00714A88">
        <w:fldChar w:fldCharType="separate"/>
      </w:r>
      <w:r w:rsidR="002E5C6A">
        <w:t>15</w:t>
      </w:r>
      <w:r w:rsidR="00E64D20" w:rsidRPr="00714A88">
        <w:fldChar w:fldCharType="end"/>
      </w:r>
      <w:r w:rsidR="00E64D20" w:rsidRPr="00714A88">
        <w:t xml:space="preserve"> and </w:t>
      </w:r>
      <w:r w:rsidRPr="00714A88">
        <w:t xml:space="preserve">clause </w:t>
      </w:r>
      <w:r w:rsidRPr="00714A88">
        <w:fldChar w:fldCharType="begin"/>
      </w:r>
      <w:r w:rsidRPr="00714A88">
        <w:instrText xml:space="preserve"> REF _Ref159420790 \w \h </w:instrText>
      </w:r>
      <w:r w:rsidR="00714A88">
        <w:instrText xml:space="preserve"> \* MERGEFORMAT </w:instrText>
      </w:r>
      <w:r w:rsidRPr="00714A88">
        <w:fldChar w:fldCharType="separate"/>
      </w:r>
      <w:r w:rsidR="002E5C6A">
        <w:t>22.3</w:t>
      </w:r>
      <w:r w:rsidRPr="00714A88">
        <w:fldChar w:fldCharType="end"/>
      </w:r>
      <w:r w:rsidRPr="00714A88">
        <w:t xml:space="preserve"> (“</w:t>
      </w:r>
      <w:r w:rsidRPr="00714A88">
        <w:fldChar w:fldCharType="begin"/>
      </w:r>
      <w:r w:rsidRPr="00714A88">
        <w:instrText xml:space="preserve">  REF _Ref159420790 \h </w:instrText>
      </w:r>
      <w:r w:rsidR="00714A88">
        <w:instrText xml:space="preserve"> \* MERGEFORMAT </w:instrText>
      </w:r>
      <w:r w:rsidRPr="00714A88">
        <w:fldChar w:fldCharType="separate"/>
      </w:r>
      <w:r w:rsidR="002E5C6A" w:rsidRPr="00847C21">
        <w:t>Termination by the Commonwealth for default</w:t>
      </w:r>
      <w:r w:rsidRPr="00714A88">
        <w:fldChar w:fldCharType="end"/>
      </w:r>
      <w:r w:rsidRPr="00714A88">
        <w:t>”)</w:t>
      </w:r>
      <w:r w:rsidR="00E64D20" w:rsidRPr="00714A88">
        <w:t>)</w:t>
      </w:r>
      <w:r w:rsidR="009C353D" w:rsidRPr="00714A88">
        <w:t>.</w:t>
      </w:r>
      <w:r w:rsidRPr="00714A88">
        <w:t xml:space="preserve"> </w:t>
      </w:r>
    </w:p>
    <w:p w14:paraId="3F9AB088" w14:textId="1ACE57A6" w:rsidR="00612E89" w:rsidRDefault="00532302" w:rsidP="0033633B">
      <w:pPr>
        <w:pStyle w:val="Heading3"/>
      </w:pPr>
      <w:bookmarkStart w:id="3353" w:name="_Ref168503475"/>
      <w:r w:rsidRPr="00714A88">
        <w:t xml:space="preserve">In its notice to Project Operator under subparagraph </w:t>
      </w:r>
      <w:r w:rsidR="009A1E8F">
        <w:fldChar w:fldCharType="begin"/>
      </w:r>
      <w:r w:rsidR="009A1E8F">
        <w:instrText xml:space="preserve"> REF _Ref168498875 \r \h </w:instrText>
      </w:r>
      <w:r w:rsidR="009A1E8F">
        <w:fldChar w:fldCharType="separate"/>
      </w:r>
      <w:r w:rsidR="002E5C6A">
        <w:t>(c)</w:t>
      </w:r>
      <w:r w:rsidR="009A1E8F">
        <w:fldChar w:fldCharType="end"/>
      </w:r>
      <w:r w:rsidRPr="00714A88">
        <w:fldChar w:fldCharType="begin"/>
      </w:r>
      <w:r w:rsidRPr="00714A88">
        <w:instrText xml:space="preserve"> REF _Ref168499543 \n \h </w:instrText>
      </w:r>
      <w:r w:rsidR="00D238B0" w:rsidRPr="008E4A1B">
        <w:instrText xml:space="preserve"> \* MERGEFORMAT </w:instrText>
      </w:r>
      <w:r w:rsidRPr="00714A88">
        <w:fldChar w:fldCharType="separate"/>
      </w:r>
      <w:r w:rsidR="002E5C6A">
        <w:t>(i)</w:t>
      </w:r>
      <w:r w:rsidRPr="00714A88">
        <w:fldChar w:fldCharType="end"/>
      </w:r>
      <w:r w:rsidRPr="00714A88">
        <w:t xml:space="preserve">, the Commonwealth must set out </w:t>
      </w:r>
      <w:r w:rsidR="00612E89">
        <w:t>(as the context requires):</w:t>
      </w:r>
    </w:p>
    <w:p w14:paraId="0E07FDDD" w14:textId="22BA579D" w:rsidR="00CC4CE1" w:rsidRPr="00714A88" w:rsidRDefault="00CC4CE1" w:rsidP="008F660B">
      <w:pPr>
        <w:pStyle w:val="Heading4"/>
      </w:pPr>
      <w:r w:rsidRPr="00714A88">
        <w:t xml:space="preserve">its proposed treatment of the Eligible </w:t>
      </w:r>
      <w:r w:rsidR="00D238B0" w:rsidRPr="00714A88">
        <w:t>Bilateral</w:t>
      </w:r>
      <w:r w:rsidR="00D238B0" w:rsidRPr="008E4A1B" w:rsidDel="00D238B0">
        <w:t xml:space="preserve"> </w:t>
      </w:r>
      <w:r w:rsidRPr="00714A88">
        <w:t>Contract</w:t>
      </w:r>
      <w:r w:rsidR="00B60F84">
        <w:t xml:space="preserve"> (or any other Eligible Bilateral Contract)</w:t>
      </w:r>
      <w:r w:rsidRPr="00714A88">
        <w:t xml:space="preserve"> for </w:t>
      </w:r>
      <w:r w:rsidR="00932F81">
        <w:t xml:space="preserve">Trading </w:t>
      </w:r>
      <w:r w:rsidRPr="00714A88">
        <w:t>Intervals to which the Over-Contracted Arrangement applies</w:t>
      </w:r>
      <w:r w:rsidR="00144B78" w:rsidRPr="00714A88">
        <w:t xml:space="preserve"> (“</w:t>
      </w:r>
      <w:r w:rsidR="00144B78" w:rsidRPr="00714A88">
        <w:rPr>
          <w:b/>
          <w:bCs/>
        </w:rPr>
        <w:t xml:space="preserve">Over-Contracted </w:t>
      </w:r>
      <w:r w:rsidR="00932F81">
        <w:rPr>
          <w:b/>
          <w:bCs/>
        </w:rPr>
        <w:t xml:space="preserve">Trading </w:t>
      </w:r>
      <w:r w:rsidR="00144B78" w:rsidRPr="00714A88">
        <w:rPr>
          <w:b/>
          <w:bCs/>
        </w:rPr>
        <w:t>Intervals</w:t>
      </w:r>
      <w:r w:rsidR="00144B78" w:rsidRPr="00714A88">
        <w:t>”)</w:t>
      </w:r>
      <w:r w:rsidRPr="00714A88">
        <w:t>, which may include</w:t>
      </w:r>
      <w:r w:rsidR="00D539AE" w:rsidRPr="00714A88">
        <w:t xml:space="preserve"> </w:t>
      </w:r>
      <w:r w:rsidR="00A82537">
        <w:t xml:space="preserve">a notification </w:t>
      </w:r>
      <w:r w:rsidR="00D539AE" w:rsidRPr="00714A88">
        <w:t xml:space="preserve">that, for the purposes of determining </w:t>
      </w:r>
      <w:r w:rsidR="002E2CAB">
        <w:t>Net Operational Revenue</w:t>
      </w:r>
      <w:r w:rsidRPr="00714A88">
        <w:t>:</w:t>
      </w:r>
      <w:bookmarkEnd w:id="3353"/>
      <w:r w:rsidRPr="00714A88">
        <w:t xml:space="preserve"> </w:t>
      </w:r>
    </w:p>
    <w:p w14:paraId="63A2B1C5" w14:textId="0BFF7C45" w:rsidR="0033633B" w:rsidRPr="00714A88" w:rsidRDefault="00CC4CE1" w:rsidP="00E56908">
      <w:pPr>
        <w:pStyle w:val="Heading5"/>
        <w:numPr>
          <w:ilvl w:val="4"/>
          <w:numId w:val="44"/>
        </w:numPr>
      </w:pPr>
      <w:r w:rsidRPr="00714A88">
        <w:t>all or a specified part of</w:t>
      </w:r>
      <w:r w:rsidR="00D539AE" w:rsidRPr="00714A88">
        <w:t xml:space="preserve"> the Notional Quantity </w:t>
      </w:r>
      <w:r w:rsidR="00932F81">
        <w:t>which</w:t>
      </w:r>
      <w:r w:rsidR="00932F81" w:rsidRPr="00714A88">
        <w:t xml:space="preserve"> </w:t>
      </w:r>
      <w:r w:rsidR="00D539AE" w:rsidRPr="00714A88">
        <w:t xml:space="preserve">is subject to </w:t>
      </w:r>
      <w:r w:rsidR="002730AC" w:rsidRPr="008E4A1B">
        <w:t xml:space="preserve">all or part of </w:t>
      </w:r>
      <w:r w:rsidR="00144B78" w:rsidRPr="00714A88">
        <w:t xml:space="preserve">that </w:t>
      </w:r>
      <w:r w:rsidR="00D539AE" w:rsidRPr="00714A88">
        <w:t xml:space="preserve">Over-Contracted Arrangement is deemed not to be subject to an Eligible </w:t>
      </w:r>
      <w:r w:rsidR="00D238B0" w:rsidRPr="008E4A1B">
        <w:t>Bilateral</w:t>
      </w:r>
      <w:r w:rsidR="00D238B0" w:rsidRPr="008E4A1B" w:rsidDel="00D238B0">
        <w:t xml:space="preserve"> </w:t>
      </w:r>
      <w:r w:rsidR="00D539AE" w:rsidRPr="00714A88">
        <w:t>Contract</w:t>
      </w:r>
      <w:r w:rsidR="005E7AFD">
        <w:t xml:space="preserve"> (but is subject to a Bilateral Contract)</w:t>
      </w:r>
      <w:r w:rsidR="00C200F1" w:rsidRPr="008E4A1B">
        <w:t xml:space="preserve"> for a particular period or periods</w:t>
      </w:r>
      <w:r w:rsidR="00122396">
        <w:t xml:space="preserve"> (in which case, the Commonwealth must also specify one or more proportions to apply under subparagraph (b) of the definition of Notional Quantity in</w:t>
      </w:r>
      <w:r w:rsidR="00932F81">
        <w:t xml:space="preserve"> item </w:t>
      </w:r>
      <w:r w:rsidR="00532FFE">
        <w:fldChar w:fldCharType="begin"/>
      </w:r>
      <w:r w:rsidR="00532FFE">
        <w:instrText xml:space="preserve"> REF _Ref204243867 \n \h </w:instrText>
      </w:r>
      <w:r w:rsidR="00532FFE">
        <w:fldChar w:fldCharType="separate"/>
      </w:r>
      <w:r w:rsidR="002E5C6A">
        <w:t>3.8</w:t>
      </w:r>
      <w:r w:rsidR="00532FFE">
        <w:fldChar w:fldCharType="end"/>
      </w:r>
      <w:r w:rsidR="00122396">
        <w:t xml:space="preserve"> of </w:t>
      </w:r>
      <w:r w:rsidR="00122396">
        <w:fldChar w:fldCharType="begin"/>
      </w:r>
      <w:r w:rsidR="00122396">
        <w:instrText xml:space="preserve"> REF _Ref103257737 \n \h </w:instrText>
      </w:r>
      <w:r w:rsidR="00122396">
        <w:fldChar w:fldCharType="separate"/>
      </w:r>
      <w:r w:rsidR="002E5C6A">
        <w:t>Schedule 1</w:t>
      </w:r>
      <w:r w:rsidR="00122396">
        <w:fldChar w:fldCharType="end"/>
      </w:r>
      <w:r w:rsidR="00122396">
        <w:t xml:space="preserve"> in respect of that particular period or periods for the purposes of the calculation of the Notional Quantity in accordance with</w:t>
      </w:r>
      <w:r w:rsidR="0055737A">
        <w:t xml:space="preserve"> that</w:t>
      </w:r>
      <w:r w:rsidR="00122396">
        <w:t xml:space="preserve"> section</w:t>
      </w:r>
      <w:r w:rsidR="0055737A">
        <w:t>)</w:t>
      </w:r>
      <w:r w:rsidR="00D539AE" w:rsidRPr="00714A88">
        <w:t>;</w:t>
      </w:r>
      <w:r w:rsidR="00D6429C" w:rsidRPr="00714A88">
        <w:t xml:space="preserve"> and/or</w:t>
      </w:r>
    </w:p>
    <w:p w14:paraId="738AAC07" w14:textId="1908EB49" w:rsidR="0033633B" w:rsidRPr="00714A88" w:rsidRDefault="00144B78" w:rsidP="00E56908">
      <w:pPr>
        <w:pStyle w:val="Heading5"/>
        <w:numPr>
          <w:ilvl w:val="4"/>
          <w:numId w:val="44"/>
        </w:numPr>
      </w:pPr>
      <w:r w:rsidRPr="00714A88">
        <w:t xml:space="preserve">all or a specified part of the Notional Quantity </w:t>
      </w:r>
      <w:r w:rsidR="00932F81">
        <w:t>which</w:t>
      </w:r>
      <w:r w:rsidR="00932F81" w:rsidRPr="00714A88">
        <w:t xml:space="preserve"> </w:t>
      </w:r>
      <w:r w:rsidRPr="00714A88">
        <w:t xml:space="preserve">is subject to any other Eligible </w:t>
      </w:r>
      <w:r w:rsidR="00D238B0" w:rsidRPr="008E4A1B">
        <w:t>Bilateral</w:t>
      </w:r>
      <w:r w:rsidR="00D238B0" w:rsidRPr="008E4A1B" w:rsidDel="00D238B0">
        <w:t xml:space="preserve"> </w:t>
      </w:r>
      <w:r w:rsidRPr="00714A88">
        <w:t xml:space="preserve">Contract that applies </w:t>
      </w:r>
      <w:r w:rsidR="00932F81">
        <w:t>the Over-Contracted Trading Intervals</w:t>
      </w:r>
      <w:r w:rsidRPr="00714A88">
        <w:t xml:space="preserve"> is </w:t>
      </w:r>
      <w:r w:rsidR="00D6429C" w:rsidRPr="00714A88">
        <w:t xml:space="preserve">deemed not to be </w:t>
      </w:r>
      <w:r w:rsidR="00932F81">
        <w:t xml:space="preserve">subject to </w:t>
      </w:r>
      <w:r w:rsidR="00D6429C" w:rsidRPr="00714A88">
        <w:t xml:space="preserve">an Eligible </w:t>
      </w:r>
      <w:r w:rsidR="00D238B0" w:rsidRPr="008E4A1B">
        <w:t>Bilateral</w:t>
      </w:r>
      <w:r w:rsidR="00D238B0" w:rsidRPr="008E4A1B" w:rsidDel="00D238B0">
        <w:t xml:space="preserve"> </w:t>
      </w:r>
      <w:r w:rsidR="00D6429C" w:rsidRPr="00714A88">
        <w:t>Contract</w:t>
      </w:r>
      <w:r w:rsidR="005E7AFD">
        <w:t xml:space="preserve"> (but is </w:t>
      </w:r>
      <w:r w:rsidR="00932F81">
        <w:t xml:space="preserve">subject to </w:t>
      </w:r>
      <w:r w:rsidR="005E7AFD">
        <w:t xml:space="preserve">a Bilateral Contract) for </w:t>
      </w:r>
      <w:r w:rsidR="00932F81">
        <w:t xml:space="preserve">a particular </w:t>
      </w:r>
      <w:r w:rsidR="005E7AFD">
        <w:t>period or periods</w:t>
      </w:r>
      <w:r w:rsidR="0055737A">
        <w:t xml:space="preserve"> (in which case, the Commonwealth must also specify one or more proportions to apply under subparagraph</w:t>
      </w:r>
      <w:r w:rsidR="00510B57">
        <w:t> </w:t>
      </w:r>
      <w:r w:rsidR="0055737A">
        <w:t xml:space="preserve">(b) of the definition of Notional Quantity in </w:t>
      </w:r>
      <w:r w:rsidR="00532FFE">
        <w:t xml:space="preserve">item </w:t>
      </w:r>
      <w:r w:rsidR="00532FFE">
        <w:fldChar w:fldCharType="begin"/>
      </w:r>
      <w:r w:rsidR="00532FFE">
        <w:instrText xml:space="preserve"> REF _Ref204243867 \n \h </w:instrText>
      </w:r>
      <w:r w:rsidR="00532FFE">
        <w:fldChar w:fldCharType="separate"/>
      </w:r>
      <w:r w:rsidR="002E5C6A">
        <w:t>3.8</w:t>
      </w:r>
      <w:r w:rsidR="00532FFE">
        <w:fldChar w:fldCharType="end"/>
      </w:r>
      <w:r w:rsidR="0055737A">
        <w:t xml:space="preserve"> of </w:t>
      </w:r>
      <w:r w:rsidR="0055737A">
        <w:fldChar w:fldCharType="begin"/>
      </w:r>
      <w:r w:rsidR="0055737A">
        <w:instrText xml:space="preserve"> REF _Ref103257737 \n \h </w:instrText>
      </w:r>
      <w:r w:rsidR="0055737A">
        <w:fldChar w:fldCharType="separate"/>
      </w:r>
      <w:r w:rsidR="002E5C6A">
        <w:t>Schedule 1</w:t>
      </w:r>
      <w:r w:rsidR="0055737A">
        <w:fldChar w:fldCharType="end"/>
      </w:r>
      <w:r w:rsidR="0055737A">
        <w:t xml:space="preserve"> in respect of that particular period or periods for the purposes of the calculation of the Notional Quantity for that Bilateral Contract in accordance with that section)</w:t>
      </w:r>
      <w:r w:rsidR="00D6429C" w:rsidRPr="00714A88">
        <w:t>,</w:t>
      </w:r>
    </w:p>
    <w:p w14:paraId="29F6841A" w14:textId="77777777" w:rsidR="003E7578" w:rsidRPr="00684105" w:rsidRDefault="00D6429C" w:rsidP="008F660B">
      <w:pPr>
        <w:pStyle w:val="Heading4"/>
        <w:numPr>
          <w:ilvl w:val="0"/>
          <w:numId w:val="0"/>
        </w:numPr>
        <w:ind w:left="1474" w:firstLine="737"/>
      </w:pPr>
      <w:r w:rsidRPr="00684105">
        <w:t>such that</w:t>
      </w:r>
      <w:r w:rsidR="003E7578" w:rsidRPr="00684105">
        <w:t>:</w:t>
      </w:r>
    </w:p>
    <w:p w14:paraId="7136A126" w14:textId="29478F8D" w:rsidR="003E7578" w:rsidRPr="00684105" w:rsidRDefault="00E64D20" w:rsidP="008F660B">
      <w:pPr>
        <w:pStyle w:val="Heading5"/>
        <w:numPr>
          <w:ilvl w:val="4"/>
          <w:numId w:val="44"/>
        </w:numPr>
      </w:pPr>
      <w:r w:rsidRPr="00684105">
        <w:t xml:space="preserve">the </w:t>
      </w:r>
      <w:r w:rsidR="00D6429C" w:rsidRPr="00684105">
        <w:t xml:space="preserve">Notional Quantity that is subject to </w:t>
      </w:r>
      <w:r w:rsidRPr="00684105">
        <w:t xml:space="preserve">all </w:t>
      </w:r>
      <w:r w:rsidR="00D6429C" w:rsidRPr="00684105">
        <w:t xml:space="preserve">Eligible </w:t>
      </w:r>
      <w:r w:rsidR="002E2CAB">
        <w:t>Bilateral</w:t>
      </w:r>
      <w:r w:rsidR="002E2CAB" w:rsidRPr="00684105">
        <w:t xml:space="preserve"> </w:t>
      </w:r>
      <w:r w:rsidR="00D6429C" w:rsidRPr="00684105">
        <w:t xml:space="preserve">Contracts </w:t>
      </w:r>
      <w:r w:rsidR="003E7578" w:rsidRPr="00684105">
        <w:t xml:space="preserve">relating to electricity </w:t>
      </w:r>
      <w:r w:rsidRPr="00684105">
        <w:t>that appl</w:t>
      </w:r>
      <w:r w:rsidR="00510B57">
        <w:t>ies</w:t>
      </w:r>
      <w:r w:rsidRPr="00684105">
        <w:t xml:space="preserve"> in respect of </w:t>
      </w:r>
      <w:r w:rsidR="00B83C04" w:rsidRPr="00684105">
        <w:t xml:space="preserve">an </w:t>
      </w:r>
      <w:r w:rsidR="004F0E96" w:rsidRPr="00684105">
        <w:t xml:space="preserve">Over-Contracted </w:t>
      </w:r>
      <w:r w:rsidR="00932F81">
        <w:t xml:space="preserve">Trading </w:t>
      </w:r>
      <w:r w:rsidR="004F0E96" w:rsidRPr="00684105">
        <w:t xml:space="preserve">Interval is equal to </w:t>
      </w:r>
      <w:r w:rsidR="004E1340" w:rsidRPr="00684105">
        <w:t xml:space="preserve">or less than </w:t>
      </w:r>
      <w:r w:rsidR="003E7578" w:rsidRPr="00684105">
        <w:t xml:space="preserve">100% of the </w:t>
      </w:r>
      <w:r w:rsidR="00932F81">
        <w:t xml:space="preserve">aggregate </w:t>
      </w:r>
      <w:r w:rsidR="003E7578" w:rsidRPr="00684105">
        <w:t>Notional Quantity; and</w:t>
      </w:r>
    </w:p>
    <w:p w14:paraId="57D1287D" w14:textId="706FFD4A" w:rsidR="00491E27" w:rsidRDefault="003E7578" w:rsidP="008F660B">
      <w:pPr>
        <w:pStyle w:val="Heading5"/>
      </w:pPr>
      <w:r w:rsidRPr="00491E27">
        <w:t xml:space="preserve">the Notional Quantity that is subject to all Eligible </w:t>
      </w:r>
      <w:r w:rsidR="002E2CAB">
        <w:t>Bilateral</w:t>
      </w:r>
      <w:r w:rsidR="002E2CAB" w:rsidRPr="00491E27" w:rsidDel="002E2CAB">
        <w:t xml:space="preserve"> </w:t>
      </w:r>
      <w:r w:rsidRPr="00491E27">
        <w:t>Contracts relating to Green Products that appl</w:t>
      </w:r>
      <w:r w:rsidR="00510B57">
        <w:t>ies</w:t>
      </w:r>
      <w:r w:rsidRPr="00491E27">
        <w:t xml:space="preserve"> in respect of an Over-Contracted </w:t>
      </w:r>
      <w:r w:rsidR="00932F81">
        <w:t xml:space="preserve">Trading </w:t>
      </w:r>
      <w:r w:rsidRPr="00491E27">
        <w:t xml:space="preserve">Interval is equal to </w:t>
      </w:r>
      <w:r w:rsidR="004E1340" w:rsidRPr="00491E27">
        <w:t xml:space="preserve">or less than </w:t>
      </w:r>
      <w:r w:rsidRPr="00491E27">
        <w:t xml:space="preserve">100% of the </w:t>
      </w:r>
      <w:r w:rsidR="00932F81">
        <w:t xml:space="preserve">aggregate </w:t>
      </w:r>
      <w:r w:rsidRPr="00491E27">
        <w:t>Notional Quantity</w:t>
      </w:r>
      <w:r w:rsidR="00612E89">
        <w:t>; and</w:t>
      </w:r>
    </w:p>
    <w:p w14:paraId="0E0B1CA7" w14:textId="23BE29DC" w:rsidR="00CB1653" w:rsidRPr="00714A88" w:rsidRDefault="00CB1653" w:rsidP="00D9202B">
      <w:pPr>
        <w:pStyle w:val="Heading4"/>
        <w:keepNext/>
      </w:pPr>
      <w:bookmarkStart w:id="3354" w:name="_Ref171496804"/>
      <w:r w:rsidRPr="00714A88">
        <w:t>its proposed treatment of the Bilateral</w:t>
      </w:r>
      <w:r w:rsidRPr="008E4A1B" w:rsidDel="00D238B0">
        <w:t xml:space="preserve"> </w:t>
      </w:r>
      <w:r w:rsidRPr="00714A88">
        <w:t xml:space="preserve">Contract for </w:t>
      </w:r>
      <w:r w:rsidRPr="0076796C">
        <w:t xml:space="preserve">Over-Contracted </w:t>
      </w:r>
      <w:r w:rsidR="00FD12C2">
        <w:t>Trading</w:t>
      </w:r>
      <w:r w:rsidR="00FD12C2" w:rsidRPr="0076796C">
        <w:t xml:space="preserve"> </w:t>
      </w:r>
      <w:r w:rsidRPr="0076796C">
        <w:t>Intervals</w:t>
      </w:r>
      <w:r w:rsidRPr="00714A88">
        <w:t xml:space="preserve">, which may include that, for the purposes of determining </w:t>
      </w:r>
      <w:r>
        <w:t>Net Operational Revenue</w:t>
      </w:r>
      <w:r w:rsidRPr="00714A88">
        <w:t>:</w:t>
      </w:r>
      <w:bookmarkEnd w:id="3354"/>
      <w:r w:rsidRPr="00714A88">
        <w:t xml:space="preserve"> </w:t>
      </w:r>
    </w:p>
    <w:p w14:paraId="5B56F2F5" w14:textId="6E97BA8F" w:rsidR="00CB1653" w:rsidRPr="00714A88" w:rsidRDefault="00CB1653" w:rsidP="00E56908">
      <w:pPr>
        <w:pStyle w:val="Heading5"/>
        <w:numPr>
          <w:ilvl w:val="4"/>
          <w:numId w:val="44"/>
        </w:numPr>
      </w:pPr>
      <w:r w:rsidRPr="00714A88">
        <w:t xml:space="preserve">all or a specified part of the Notional Quantity </w:t>
      </w:r>
      <w:r w:rsidR="00510B57">
        <w:t>that</w:t>
      </w:r>
      <w:r w:rsidRPr="00714A88">
        <w:t xml:space="preserve"> is subject to </w:t>
      </w:r>
      <w:r w:rsidRPr="008E4A1B">
        <w:t xml:space="preserve">all or part of </w:t>
      </w:r>
      <w:r w:rsidRPr="00714A88">
        <w:t xml:space="preserve">that Over-Contracted Arrangement is deemed not to be subject to a </w:t>
      </w:r>
      <w:r w:rsidRPr="008E4A1B">
        <w:t>Bilateral</w:t>
      </w:r>
      <w:r w:rsidRPr="008E4A1B" w:rsidDel="00D238B0">
        <w:t xml:space="preserve"> </w:t>
      </w:r>
      <w:r w:rsidRPr="00714A88">
        <w:t>Contract</w:t>
      </w:r>
      <w:r w:rsidRPr="008E4A1B">
        <w:t xml:space="preserve"> for a particular period or periods</w:t>
      </w:r>
      <w:r w:rsidR="00ED45B1">
        <w:t xml:space="preserve"> and is to be excluded for all purposes under this agreement</w:t>
      </w:r>
      <w:r w:rsidR="0055737A">
        <w:t xml:space="preserve"> (in which case, the Commonwealth must also specify one or more proportions to apply under subparagraph</w:t>
      </w:r>
      <w:r w:rsidR="00510B57">
        <w:t> </w:t>
      </w:r>
      <w:r w:rsidR="0055737A">
        <w:t xml:space="preserve">(b)(ii) of the definition of Notional Quantity in section </w:t>
      </w:r>
      <w:r w:rsidR="00532FFE">
        <w:fldChar w:fldCharType="begin"/>
      </w:r>
      <w:r w:rsidR="00532FFE">
        <w:instrText xml:space="preserve"> REF _Ref204243867 \n \h </w:instrText>
      </w:r>
      <w:r w:rsidR="00532FFE">
        <w:fldChar w:fldCharType="separate"/>
      </w:r>
      <w:r w:rsidR="002E5C6A">
        <w:t>3.8</w:t>
      </w:r>
      <w:r w:rsidR="00532FFE">
        <w:fldChar w:fldCharType="end"/>
      </w:r>
      <w:r w:rsidR="0055737A">
        <w:t xml:space="preserve"> of </w:t>
      </w:r>
      <w:r w:rsidR="0055737A">
        <w:fldChar w:fldCharType="begin"/>
      </w:r>
      <w:r w:rsidR="0055737A">
        <w:instrText xml:space="preserve"> REF _Ref103257737 \n \h </w:instrText>
      </w:r>
      <w:r w:rsidR="0055737A">
        <w:fldChar w:fldCharType="separate"/>
      </w:r>
      <w:r w:rsidR="002E5C6A">
        <w:t>Schedule 1</w:t>
      </w:r>
      <w:r w:rsidR="0055737A">
        <w:fldChar w:fldCharType="end"/>
      </w:r>
      <w:r w:rsidR="0055737A">
        <w:t xml:space="preserve"> in respect of that particular period or periods for the purposes of the calculation of the Notional Quantity in accordance with that section)</w:t>
      </w:r>
      <w:r w:rsidRPr="00714A88">
        <w:t>; and/or</w:t>
      </w:r>
    </w:p>
    <w:p w14:paraId="31B37500" w14:textId="59E571E7" w:rsidR="00ED45B1" w:rsidRDefault="00CB1653" w:rsidP="008F660B">
      <w:pPr>
        <w:pStyle w:val="Heading5"/>
        <w:numPr>
          <w:ilvl w:val="4"/>
          <w:numId w:val="44"/>
        </w:numPr>
      </w:pPr>
      <w:r w:rsidRPr="00714A88">
        <w:t xml:space="preserve">all or a specified part of the Notional Quantity </w:t>
      </w:r>
      <w:r w:rsidR="00510B57">
        <w:t>that</w:t>
      </w:r>
      <w:r w:rsidRPr="00714A88">
        <w:t xml:space="preserve"> is subject to any other Eligible </w:t>
      </w:r>
      <w:r w:rsidRPr="008E4A1B">
        <w:t>Bilateral</w:t>
      </w:r>
      <w:r w:rsidRPr="008E4A1B" w:rsidDel="00D238B0">
        <w:t xml:space="preserve"> </w:t>
      </w:r>
      <w:r w:rsidRPr="00714A88">
        <w:t xml:space="preserve">Contract </w:t>
      </w:r>
      <w:r w:rsidR="006A1CAF">
        <w:t xml:space="preserve">or Bilateral Contract </w:t>
      </w:r>
      <w:r w:rsidRPr="00714A88">
        <w:t xml:space="preserve">that applies during </w:t>
      </w:r>
      <w:r w:rsidRPr="008E4A1B">
        <w:t>a particular period or periods</w:t>
      </w:r>
      <w:r w:rsidRPr="00714A88">
        <w:t xml:space="preserve"> is deemed not to be</w:t>
      </w:r>
      <w:r w:rsidR="00274478">
        <w:t xml:space="preserve"> subject to</w:t>
      </w:r>
      <w:r w:rsidR="00ED45B1">
        <w:t>:</w:t>
      </w:r>
    </w:p>
    <w:p w14:paraId="4C9C4C3A" w14:textId="77777777" w:rsidR="00ED45B1" w:rsidRDefault="00CB1653" w:rsidP="008F660B">
      <w:pPr>
        <w:pStyle w:val="Heading6"/>
        <w:numPr>
          <w:ilvl w:val="5"/>
          <w:numId w:val="44"/>
        </w:numPr>
      </w:pPr>
      <w:r w:rsidRPr="00714A88">
        <w:t xml:space="preserve">an Eligible </w:t>
      </w:r>
      <w:r w:rsidRPr="008E4A1B">
        <w:t>Bilateral</w:t>
      </w:r>
      <w:r w:rsidRPr="008E4A1B" w:rsidDel="00D238B0">
        <w:t xml:space="preserve"> </w:t>
      </w:r>
      <w:r w:rsidRPr="00714A88">
        <w:t>Contract</w:t>
      </w:r>
      <w:r w:rsidR="00274478">
        <w:t xml:space="preserve"> for a particular period or periods</w:t>
      </w:r>
      <w:r w:rsidR="008773DB">
        <w:t xml:space="preserve"> (in which case paragraph (d)(ii) may apply)</w:t>
      </w:r>
      <w:r w:rsidR="00ED45B1">
        <w:t>; and/or</w:t>
      </w:r>
    </w:p>
    <w:p w14:paraId="232534FF" w14:textId="352FA31F" w:rsidR="00CB1653" w:rsidRPr="00714A88" w:rsidRDefault="00ED45B1" w:rsidP="00E56908">
      <w:pPr>
        <w:pStyle w:val="Heading6"/>
        <w:numPr>
          <w:ilvl w:val="5"/>
          <w:numId w:val="44"/>
        </w:numPr>
      </w:pPr>
      <w:r>
        <w:t xml:space="preserve">a Bilateral </w:t>
      </w:r>
      <w:r w:rsidR="00274478" w:rsidRPr="00714A88">
        <w:t>Contract</w:t>
      </w:r>
      <w:r w:rsidR="00274478" w:rsidRPr="008E4A1B">
        <w:t xml:space="preserve"> for a particular period or periods</w:t>
      </w:r>
      <w:r w:rsidR="00274478">
        <w:t xml:space="preserve"> and is to be excluded for all purposes under this agreement</w:t>
      </w:r>
      <w:r w:rsidR="0055737A">
        <w:t xml:space="preserve"> (in which case, the Commonwealth must also specify one or more proportions to apply under subparagraph</w:t>
      </w:r>
      <w:r w:rsidR="00510B57">
        <w:t> </w:t>
      </w:r>
      <w:r w:rsidR="0055737A">
        <w:t xml:space="preserve">(b)(ii) of the definition of Notional Quantity in section </w:t>
      </w:r>
      <w:r w:rsidR="00532FFE">
        <w:fldChar w:fldCharType="begin"/>
      </w:r>
      <w:r w:rsidR="00532FFE">
        <w:instrText xml:space="preserve"> REF _Ref204243867 \n \h </w:instrText>
      </w:r>
      <w:r w:rsidR="00532FFE">
        <w:fldChar w:fldCharType="separate"/>
      </w:r>
      <w:r w:rsidR="002E5C6A">
        <w:t>3.8</w:t>
      </w:r>
      <w:r w:rsidR="00532FFE">
        <w:fldChar w:fldCharType="end"/>
      </w:r>
      <w:r w:rsidR="0055737A">
        <w:t xml:space="preserve"> of </w:t>
      </w:r>
      <w:r w:rsidR="0055737A">
        <w:fldChar w:fldCharType="begin"/>
      </w:r>
      <w:r w:rsidR="0055737A">
        <w:instrText xml:space="preserve"> REF _Ref103257737 \n \h </w:instrText>
      </w:r>
      <w:r w:rsidR="0055737A">
        <w:fldChar w:fldCharType="separate"/>
      </w:r>
      <w:r w:rsidR="002E5C6A">
        <w:t>Schedule 1</w:t>
      </w:r>
      <w:r w:rsidR="0055737A">
        <w:fldChar w:fldCharType="end"/>
      </w:r>
      <w:r w:rsidR="0055737A">
        <w:t xml:space="preserve"> in respect of that particular period or periods for the purposes of the calculation of the Notional Quantity in accordance with that section)</w:t>
      </w:r>
      <w:r w:rsidR="00CB1653" w:rsidRPr="00714A88">
        <w:t>,</w:t>
      </w:r>
    </w:p>
    <w:p w14:paraId="656EF200" w14:textId="77777777" w:rsidR="00CB1653" w:rsidRPr="00684105" w:rsidRDefault="00CB1653" w:rsidP="008F660B">
      <w:pPr>
        <w:pStyle w:val="Heading4"/>
        <w:numPr>
          <w:ilvl w:val="0"/>
          <w:numId w:val="0"/>
        </w:numPr>
        <w:ind w:left="1474" w:firstLine="737"/>
      </w:pPr>
      <w:r w:rsidRPr="00684105">
        <w:t>such that:</w:t>
      </w:r>
    </w:p>
    <w:p w14:paraId="6C46E242" w14:textId="64757AEB" w:rsidR="00CB1653" w:rsidRPr="00684105" w:rsidRDefault="00CB1653" w:rsidP="008F660B">
      <w:pPr>
        <w:pStyle w:val="Heading5"/>
        <w:numPr>
          <w:ilvl w:val="4"/>
          <w:numId w:val="44"/>
        </w:numPr>
      </w:pPr>
      <w:r w:rsidRPr="00684105">
        <w:t xml:space="preserve">the Notional Quantity that is subject to all Eligible </w:t>
      </w:r>
      <w:r>
        <w:t>Bilateral</w:t>
      </w:r>
      <w:r w:rsidRPr="00684105">
        <w:t xml:space="preserve"> Contracts relating to electricity that apply in respect of an Over-Contracted </w:t>
      </w:r>
      <w:r w:rsidR="00932F81">
        <w:t xml:space="preserve">Trading </w:t>
      </w:r>
      <w:r w:rsidRPr="00684105">
        <w:t xml:space="preserve">Interval is equal to or less than 100% of the </w:t>
      </w:r>
      <w:r w:rsidR="00932F81">
        <w:t xml:space="preserve">aggregate </w:t>
      </w:r>
      <w:r w:rsidRPr="00684105">
        <w:t>Notional Quantity; and</w:t>
      </w:r>
    </w:p>
    <w:p w14:paraId="7662EC45" w14:textId="09F96F0D" w:rsidR="00CB1653" w:rsidRDefault="00CB1653" w:rsidP="008F660B">
      <w:pPr>
        <w:pStyle w:val="Heading5"/>
      </w:pPr>
      <w:r w:rsidRPr="00491E27">
        <w:t xml:space="preserve">the Notional Quantity that is subject to all Eligible </w:t>
      </w:r>
      <w:r>
        <w:t>Bilateral</w:t>
      </w:r>
      <w:r w:rsidRPr="00491E27" w:rsidDel="002E2CAB">
        <w:t xml:space="preserve"> </w:t>
      </w:r>
      <w:r w:rsidRPr="00491E27">
        <w:t xml:space="preserve">Contracts relating to Green Products that apply in respect of an Over-Contracted </w:t>
      </w:r>
      <w:r w:rsidR="00932F81">
        <w:t xml:space="preserve">Trading </w:t>
      </w:r>
      <w:r w:rsidRPr="00491E27">
        <w:t xml:space="preserve">Interval is equal to or less than 100% of the </w:t>
      </w:r>
      <w:r w:rsidR="00932F81">
        <w:t xml:space="preserve">aggregate </w:t>
      </w:r>
      <w:r w:rsidRPr="00491E27">
        <w:t>Notional Quantity</w:t>
      </w:r>
      <w:r w:rsidR="006A1CAF">
        <w:t>.</w:t>
      </w:r>
    </w:p>
    <w:p w14:paraId="3F45A992" w14:textId="20D502E0" w:rsidR="00C06BCC" w:rsidRDefault="00932F81" w:rsidP="00C06BCC">
      <w:pPr>
        <w:pStyle w:val="Heading2"/>
      </w:pPr>
      <w:bookmarkStart w:id="3355" w:name="_Ref194678666"/>
      <w:bookmarkStart w:id="3356" w:name="_Toc196834454"/>
      <w:bookmarkStart w:id="3357" w:name="_Toc207309632"/>
      <w:r>
        <w:t>[</w:t>
      </w:r>
      <w:r w:rsidR="00C06BCC">
        <w:t>Apportionment</w:t>
      </w:r>
      <w:bookmarkEnd w:id="3355"/>
      <w:bookmarkEnd w:id="3356"/>
      <w:bookmarkEnd w:id="3357"/>
    </w:p>
    <w:p w14:paraId="6E154F56" w14:textId="10CADA3D" w:rsidR="00932F81" w:rsidRDefault="00932F81" w:rsidP="00932F81">
      <w:pPr>
        <w:pStyle w:val="Indent2"/>
      </w:pPr>
      <w:r>
        <w:t>[</w:t>
      </w:r>
      <w:r>
        <w:rPr>
          <w:b/>
          <w:bCs/>
          <w:i/>
          <w:iCs/>
          <w:highlight w:val="lightGray"/>
        </w:rPr>
        <w:t xml:space="preserve">Note: this </w:t>
      </w:r>
      <w:r w:rsidRPr="007C4604">
        <w:rPr>
          <w:b/>
          <w:i/>
          <w:highlight w:val="lightGray"/>
        </w:rPr>
        <w:t xml:space="preserve">clause </w:t>
      </w:r>
      <w:r w:rsidR="007B446C" w:rsidRPr="007C4604">
        <w:rPr>
          <w:b/>
          <w:bCs/>
          <w:i/>
          <w:iCs/>
          <w:highlight w:val="lightGray"/>
        </w:rPr>
        <w:fldChar w:fldCharType="begin"/>
      </w:r>
      <w:r w:rsidR="007B446C" w:rsidRPr="007C4604">
        <w:rPr>
          <w:b/>
          <w:bCs/>
          <w:i/>
          <w:iCs/>
          <w:highlight w:val="lightGray"/>
        </w:rPr>
        <w:instrText xml:space="preserve"> REF _Ref194678666 \w \h </w:instrText>
      </w:r>
      <w:r w:rsidR="007B446C" w:rsidRPr="008F660B">
        <w:rPr>
          <w:b/>
          <w:bCs/>
          <w:i/>
          <w:iCs/>
          <w:highlight w:val="lightGray"/>
        </w:rPr>
        <w:instrText xml:space="preserve"> \* MERGEFORMAT </w:instrText>
      </w:r>
      <w:r w:rsidR="007B446C" w:rsidRPr="007C4604">
        <w:rPr>
          <w:b/>
          <w:bCs/>
          <w:i/>
          <w:iCs/>
          <w:highlight w:val="lightGray"/>
        </w:rPr>
      </w:r>
      <w:r w:rsidR="007B446C" w:rsidRPr="007C4604">
        <w:rPr>
          <w:b/>
          <w:bCs/>
          <w:i/>
          <w:iCs/>
          <w:highlight w:val="lightGray"/>
        </w:rPr>
        <w:fldChar w:fldCharType="separate"/>
      </w:r>
      <w:r w:rsidR="002E5C6A">
        <w:rPr>
          <w:b/>
          <w:bCs/>
          <w:i/>
          <w:iCs/>
          <w:highlight w:val="lightGray"/>
        </w:rPr>
        <w:t>15.7</w:t>
      </w:r>
      <w:r w:rsidR="007B446C" w:rsidRPr="007C4604">
        <w:rPr>
          <w:b/>
          <w:bCs/>
          <w:i/>
          <w:iCs/>
          <w:highlight w:val="lightGray"/>
        </w:rPr>
        <w:fldChar w:fldCharType="end"/>
      </w:r>
      <w:r w:rsidR="007B446C">
        <w:rPr>
          <w:b/>
          <w:bCs/>
          <w:i/>
          <w:iCs/>
          <w:highlight w:val="lightGray"/>
        </w:rPr>
        <w:t xml:space="preserve"> </w:t>
      </w:r>
      <w:r>
        <w:rPr>
          <w:b/>
          <w:bCs/>
          <w:i/>
          <w:iCs/>
          <w:highlight w:val="lightGray"/>
        </w:rPr>
        <w:t>is to be included for all Hybrid Projects and all Staged Projects.</w:t>
      </w:r>
      <w:r w:rsidRPr="008F660B">
        <w:rPr>
          <w:highlight w:val="lightGray"/>
        </w:rPr>
        <w:t>]</w:t>
      </w:r>
    </w:p>
    <w:p w14:paraId="4F1B80B7" w14:textId="77777777" w:rsidR="00C06BCC" w:rsidRDefault="00C06BCC" w:rsidP="00233DEF">
      <w:pPr>
        <w:pStyle w:val="Heading3"/>
      </w:pPr>
      <w:bookmarkStart w:id="3358" w:name="_Ref194679001"/>
      <w:r>
        <w:t>Project Operator acknowledges and agrees that:</w:t>
      </w:r>
      <w:bookmarkEnd w:id="3358"/>
    </w:p>
    <w:p w14:paraId="6D25C0C6" w14:textId="2E7BE346" w:rsidR="00C06BCC" w:rsidRDefault="00C06BCC" w:rsidP="00C06BCC">
      <w:pPr>
        <w:pStyle w:val="Heading4"/>
      </w:pPr>
      <w:bookmarkStart w:id="3359" w:name="_Ref194679036"/>
      <w:r>
        <w:t>if this agreement provides</w:t>
      </w:r>
      <w:r w:rsidR="00812DEF">
        <w:t xml:space="preserve"> (either expressly or impliedly)</w:t>
      </w:r>
      <w:r>
        <w:t xml:space="preserve"> that an Apportioned Item be apportioned between two or more projects in accordance with the Apportionment Principles, then Project Operator must carry out the apportionment and apply the Apportionment Principles in good faith and must not engage in any conduct, practice or omission that has the purpose or effect of Gaming the apportionment process or its financial consequences under this agreement;</w:t>
      </w:r>
      <w:bookmarkEnd w:id="3359"/>
    </w:p>
    <w:p w14:paraId="5C615308" w14:textId="77777777" w:rsidR="00C06BCC" w:rsidRDefault="00C06BCC" w:rsidP="00C06BCC">
      <w:pPr>
        <w:pStyle w:val="Heading4"/>
      </w:pPr>
      <w:r>
        <w:t>the purpose of the Apportionment Principles is to ensure that an Apportioned Item is accurately and objectively apportioned between two or more projects; and</w:t>
      </w:r>
    </w:p>
    <w:p w14:paraId="1CBB315A" w14:textId="20E98984" w:rsidR="00C06BCC" w:rsidRDefault="00C06BCC" w:rsidP="00C06BCC">
      <w:pPr>
        <w:pStyle w:val="Heading4"/>
      </w:pPr>
      <w:r>
        <w:t xml:space="preserve">this agreement is to be interpreted and applied consistently with that purpose and any reasonable guidance provided by the Commonwealth in relation to the Apportionment Principles from time to time, including through guidance issued under clause </w:t>
      </w:r>
      <w:r w:rsidR="00333326">
        <w:fldChar w:fldCharType="begin"/>
      </w:r>
      <w:r w:rsidR="00333326">
        <w:instrText xml:space="preserve"> REF _Ref204075815 \n \h </w:instrText>
      </w:r>
      <w:r w:rsidR="00333326">
        <w:fldChar w:fldCharType="separate"/>
      </w:r>
      <w:r w:rsidR="002E5C6A">
        <w:t>37.15</w:t>
      </w:r>
      <w:r w:rsidR="00333326">
        <w:fldChar w:fldCharType="end"/>
      </w:r>
      <w:r w:rsidR="00333326">
        <w:t xml:space="preserve"> </w:t>
      </w:r>
      <w:r>
        <w:t>(“</w:t>
      </w:r>
      <w:r w:rsidR="00333326">
        <w:fldChar w:fldCharType="begin"/>
      </w:r>
      <w:r w:rsidR="00333326">
        <w:instrText xml:space="preserve"> REF _Ref204075826 \h </w:instrText>
      </w:r>
      <w:r w:rsidR="00333326">
        <w:fldChar w:fldCharType="separate"/>
      </w:r>
      <w:r w:rsidR="002E5C6A">
        <w:t>Directions as to management of this agreement</w:t>
      </w:r>
      <w:r w:rsidR="00333326">
        <w:fldChar w:fldCharType="end"/>
      </w:r>
      <w:r>
        <w:t>”).</w:t>
      </w:r>
    </w:p>
    <w:p w14:paraId="5460FC32" w14:textId="3C416D67" w:rsidR="00C06BCC" w:rsidRDefault="00C06BCC" w:rsidP="00C06BCC">
      <w:pPr>
        <w:pStyle w:val="Heading3"/>
      </w:pPr>
      <w:bookmarkStart w:id="3360" w:name="_Ref196386542"/>
      <w:r>
        <w:t xml:space="preserve">Without prejudice to any rights or remedies that the Commonwealth may have in relation to a breach of this clause </w:t>
      </w:r>
      <w:r>
        <w:fldChar w:fldCharType="begin"/>
      </w:r>
      <w:r>
        <w:instrText xml:space="preserve"> REF _Ref194678666 \r \h </w:instrText>
      </w:r>
      <w:r>
        <w:fldChar w:fldCharType="separate"/>
      </w:r>
      <w:r w:rsidR="002E5C6A">
        <w:t>15.7</w:t>
      </w:r>
      <w:r>
        <w:fldChar w:fldCharType="end"/>
      </w:r>
      <w:r>
        <w:t>, if the Commonwealth considers, or an Audit</w:t>
      </w:r>
      <w:r w:rsidR="00BC2BE9">
        <w:t xml:space="preserve"> </w:t>
      </w:r>
      <w:r>
        <w:t xml:space="preserve">under clause </w:t>
      </w:r>
      <w:r>
        <w:fldChar w:fldCharType="begin"/>
      </w:r>
      <w:r>
        <w:instrText xml:space="preserve"> REF _Ref149848578 \r \h </w:instrText>
      </w:r>
      <w:r>
        <w:fldChar w:fldCharType="separate"/>
      </w:r>
      <w:r w:rsidR="002E5C6A">
        <w:t>32.4</w:t>
      </w:r>
      <w:r>
        <w:fldChar w:fldCharType="end"/>
      </w:r>
      <w:r>
        <w:t xml:space="preserve"> (“</w:t>
      </w:r>
      <w:r>
        <w:fldChar w:fldCharType="begin"/>
      </w:r>
      <w:r>
        <w:instrText xml:space="preserve"> REF _Ref149848578 \h </w:instrText>
      </w:r>
      <w:r>
        <w:fldChar w:fldCharType="separate"/>
      </w:r>
      <w:r w:rsidR="002E5C6A">
        <w:t>Right to access and audit</w:t>
      </w:r>
      <w:r>
        <w:fldChar w:fldCharType="end"/>
      </w:r>
      <w:r>
        <w:t xml:space="preserve">”) finds, that the apportionment of Apportioned Items between two or more projects as detailed, or which ought to have been detailed, in a report issued under clause </w:t>
      </w:r>
      <w:r>
        <w:fldChar w:fldCharType="begin"/>
      </w:r>
      <w:r>
        <w:instrText xml:space="preserve"> REF _Ref163828785 \r \h </w:instrText>
      </w:r>
      <w:r>
        <w:fldChar w:fldCharType="separate"/>
      </w:r>
      <w:r w:rsidR="002E5C6A">
        <w:t>12.3</w:t>
      </w:r>
      <w:r>
        <w:fldChar w:fldCharType="end"/>
      </w:r>
      <w:r>
        <w:t xml:space="preserve"> (“</w:t>
      </w:r>
      <w:r>
        <w:fldChar w:fldCharType="begin"/>
      </w:r>
      <w:r>
        <w:instrText xml:space="preserve"> REF _Ref163828785 \h </w:instrText>
      </w:r>
      <w:r>
        <w:fldChar w:fldCharType="separate"/>
      </w:r>
      <w:r w:rsidR="002E5C6A" w:rsidRPr="00F06646">
        <w:t>Revenue reporting</w:t>
      </w:r>
      <w:r>
        <w:fldChar w:fldCharType="end"/>
      </w:r>
      <w:r>
        <w:t>”) is or was not conducted in accordance with the Apportionment Principles ("</w:t>
      </w:r>
      <w:r w:rsidRPr="004337D4">
        <w:rPr>
          <w:b/>
          <w:bCs/>
        </w:rPr>
        <w:t>Incorrect Apportionment</w:t>
      </w:r>
      <w:r>
        <w:t>"), then:</w:t>
      </w:r>
      <w:bookmarkEnd w:id="3360"/>
    </w:p>
    <w:p w14:paraId="27B7F457" w14:textId="41BB2CBB" w:rsidR="00C06BCC" w:rsidRDefault="00C06BCC" w:rsidP="00C06BCC">
      <w:pPr>
        <w:pStyle w:val="Heading4"/>
      </w:pPr>
      <w:bookmarkStart w:id="3361" w:name="_Ref195110280"/>
      <w:r>
        <w:t>the Commonwealth may, acting reasonably, determine a revised apportionment in accordance with the Apportionment Principles (“</w:t>
      </w:r>
      <w:r w:rsidRPr="004337D4">
        <w:rPr>
          <w:b/>
          <w:bCs/>
        </w:rPr>
        <w:t>Revised Apportionment</w:t>
      </w:r>
      <w:r>
        <w:t>”) to supersede the Incorrect Apportionment, provided that the Revised Apportionment occur</w:t>
      </w:r>
      <w:r w:rsidR="00612E89">
        <w:t>s</w:t>
      </w:r>
      <w:r>
        <w:t xml:space="preserve"> no more than </w:t>
      </w:r>
      <w:r w:rsidR="00612E89">
        <w:t>three (</w:t>
      </w:r>
      <w:r>
        <w:t>3</w:t>
      </w:r>
      <w:r w:rsidR="00612E89">
        <w:t>)</w:t>
      </w:r>
      <w:r>
        <w:t xml:space="preserve"> years after the end of the Quarter for which the Apportioned Item was originally apportioned;</w:t>
      </w:r>
      <w:bookmarkEnd w:id="3361"/>
    </w:p>
    <w:p w14:paraId="57256FD7" w14:textId="44A71FDA" w:rsidR="00C06BCC" w:rsidRDefault="00C06BCC" w:rsidP="00C06BCC">
      <w:pPr>
        <w:pStyle w:val="Heading4"/>
      </w:pPr>
      <w:bookmarkStart w:id="3362" w:name="_Ref206493562"/>
      <w:r>
        <w:t xml:space="preserve">in determining a Revised Apportionment under paragraph </w:t>
      </w:r>
      <w:r>
        <w:fldChar w:fldCharType="begin"/>
      </w:r>
      <w:r>
        <w:instrText xml:space="preserve"> REF _Ref195110280 \w \h </w:instrText>
      </w:r>
      <w:r>
        <w:fldChar w:fldCharType="separate"/>
      </w:r>
      <w:r w:rsidR="002E5C6A">
        <w:t>15.7(b)(i)</w:t>
      </w:r>
      <w:r>
        <w:fldChar w:fldCharType="end"/>
      </w:r>
      <w:r>
        <w:t>, the Commonwealth must consult with Project Operator on its proposed Revised Apportionment and give Project Operator at least 20 Business Days to respond to the proposed Revised Apportionment; and</w:t>
      </w:r>
      <w:bookmarkEnd w:id="3362"/>
    </w:p>
    <w:p w14:paraId="52407AD3" w14:textId="64201911" w:rsidR="00C06BCC" w:rsidRDefault="00C06BCC" w:rsidP="00C06BCC">
      <w:pPr>
        <w:pStyle w:val="Heading4"/>
      </w:pPr>
      <w:r>
        <w:t>if</w:t>
      </w:r>
      <w:r w:rsidR="00612E89">
        <w:t xml:space="preserve">, following consultation in accordance with paragraph </w:t>
      </w:r>
      <w:r w:rsidR="00612E89">
        <w:fldChar w:fldCharType="begin"/>
      </w:r>
      <w:r w:rsidR="00612E89">
        <w:instrText xml:space="preserve"> REF _Ref194678666 \r \h </w:instrText>
      </w:r>
      <w:r w:rsidR="00612E89">
        <w:fldChar w:fldCharType="separate"/>
      </w:r>
      <w:r w:rsidR="002E5C6A">
        <w:t>15.7</w:t>
      </w:r>
      <w:r w:rsidR="00612E89">
        <w:fldChar w:fldCharType="end"/>
      </w:r>
      <w:r w:rsidR="00612E89">
        <w:fldChar w:fldCharType="begin"/>
      </w:r>
      <w:r w:rsidR="00612E89">
        <w:instrText xml:space="preserve"> REF _Ref196386542 \r \h </w:instrText>
      </w:r>
      <w:r w:rsidR="00612E89">
        <w:fldChar w:fldCharType="separate"/>
      </w:r>
      <w:r w:rsidR="002E5C6A">
        <w:t>(b)</w:t>
      </w:r>
      <w:r w:rsidR="00612E89">
        <w:fldChar w:fldCharType="end"/>
      </w:r>
      <w:r w:rsidR="00612E89">
        <w:fldChar w:fldCharType="begin"/>
      </w:r>
      <w:r w:rsidR="00612E89">
        <w:instrText xml:space="preserve"> REF _Ref206493562 \r \h </w:instrText>
      </w:r>
      <w:r w:rsidR="00612E89">
        <w:fldChar w:fldCharType="separate"/>
      </w:r>
      <w:r w:rsidR="002E5C6A">
        <w:t>(ii)</w:t>
      </w:r>
      <w:r w:rsidR="00612E89">
        <w:fldChar w:fldCharType="end"/>
      </w:r>
      <w:r>
        <w:t xml:space="preserve"> the Commonwealth determines a Revised Apportionment under paragraph </w:t>
      </w:r>
      <w:r>
        <w:fldChar w:fldCharType="begin"/>
      </w:r>
      <w:r>
        <w:instrText xml:space="preserve"> REF _Ref195110280 \w \h </w:instrText>
      </w:r>
      <w:r>
        <w:fldChar w:fldCharType="separate"/>
      </w:r>
      <w:r w:rsidR="002E5C6A">
        <w:t>15.7(b)(i)</w:t>
      </w:r>
      <w:r>
        <w:fldChar w:fldCharType="end"/>
      </w:r>
      <w:r>
        <w:t xml:space="preserve">, then Project Operator must, in the next Invoice issued under clause </w:t>
      </w:r>
      <w:r>
        <w:fldChar w:fldCharType="begin"/>
      </w:r>
      <w:r>
        <w:instrText xml:space="preserve"> REF _Ref467051310 \r \h </w:instrText>
      </w:r>
      <w:r>
        <w:fldChar w:fldCharType="separate"/>
      </w:r>
      <w:r w:rsidR="002E5C6A">
        <w:t>16.1</w:t>
      </w:r>
      <w:r>
        <w:fldChar w:fldCharType="end"/>
      </w:r>
      <w:r>
        <w:t xml:space="preserve"> (“</w:t>
      </w:r>
      <w:r>
        <w:fldChar w:fldCharType="begin"/>
      </w:r>
      <w:r>
        <w:instrText xml:space="preserve"> REF _Ref467051310 \h </w:instrText>
      </w:r>
      <w:r>
        <w:fldChar w:fldCharType="separate"/>
      </w:r>
      <w:r w:rsidR="002E5C6A">
        <w:t>Billing</w:t>
      </w:r>
      <w:r>
        <w:fldChar w:fldCharType="end"/>
      </w:r>
      <w:r>
        <w:t>”), include an adjustment in respect of the Revised Apportionment.</w:t>
      </w:r>
    </w:p>
    <w:p w14:paraId="0EB4C3D3" w14:textId="0DA90336" w:rsidR="00C06BCC" w:rsidRDefault="00C06BCC" w:rsidP="00C06BCC">
      <w:pPr>
        <w:pStyle w:val="Heading3"/>
      </w:pPr>
      <w:r>
        <w:t xml:space="preserve">If Project Operator disagrees with the Revised Apportionment determined under paragraph </w:t>
      </w:r>
      <w:r>
        <w:fldChar w:fldCharType="begin"/>
      </w:r>
      <w:r>
        <w:instrText xml:space="preserve"> REF _Ref195110280 \w \h </w:instrText>
      </w:r>
      <w:r>
        <w:fldChar w:fldCharType="separate"/>
      </w:r>
      <w:r w:rsidR="002E5C6A">
        <w:t>15.7(b)(i)</w:t>
      </w:r>
      <w:r>
        <w:fldChar w:fldCharType="end"/>
      </w:r>
      <w:r>
        <w:t xml:space="preserve">, it may refer the matter for dispute resolution pursuant to clause </w:t>
      </w:r>
      <w:r>
        <w:fldChar w:fldCharType="begin"/>
      </w:r>
      <w:r>
        <w:instrText xml:space="preserve"> REF _Ref467517745 \r \h </w:instrText>
      </w:r>
      <w:r>
        <w:fldChar w:fldCharType="separate"/>
      </w:r>
      <w:r w:rsidR="002E5C6A">
        <w:t>27</w:t>
      </w:r>
      <w:r>
        <w:fldChar w:fldCharType="end"/>
      </w:r>
      <w:r>
        <w:t xml:space="preserve"> (“</w:t>
      </w:r>
      <w:r>
        <w:fldChar w:fldCharType="begin"/>
      </w:r>
      <w:r>
        <w:instrText xml:space="preserve"> REF _Ref467517745 \h </w:instrText>
      </w:r>
      <w:r>
        <w:fldChar w:fldCharType="separate"/>
      </w:r>
      <w:r w:rsidR="002E5C6A">
        <w:t>Dispute Resolution</w:t>
      </w:r>
      <w:r>
        <w:fldChar w:fldCharType="end"/>
      </w:r>
      <w:r>
        <w:t>”).</w:t>
      </w:r>
    </w:p>
    <w:p w14:paraId="6D017289" w14:textId="1B072543" w:rsidR="00C06BCC" w:rsidRPr="00491E27" w:rsidRDefault="00C06BCC" w:rsidP="00D315FD">
      <w:pPr>
        <w:pStyle w:val="Heading3"/>
      </w:pPr>
      <w:r>
        <w:t xml:space="preserve">A failure to comply with this clause </w:t>
      </w:r>
      <w:r>
        <w:fldChar w:fldCharType="begin"/>
      </w:r>
      <w:r>
        <w:instrText xml:space="preserve"> REF _Ref194678666 \r \h </w:instrText>
      </w:r>
      <w:r>
        <w:fldChar w:fldCharType="separate"/>
      </w:r>
      <w:r w:rsidR="002E5C6A">
        <w:t>15.7</w:t>
      </w:r>
      <w:r>
        <w:fldChar w:fldCharType="end"/>
      </w:r>
      <w:r>
        <w:t xml:space="preserve"> will be deemed a failure to comply in a material respect with an obligation under this agreement for the purposes of clause</w:t>
      </w:r>
      <w:r w:rsidR="00333326">
        <w:t xml:space="preserve"> </w:t>
      </w:r>
      <w:r w:rsidR="00333326">
        <w:fldChar w:fldCharType="begin"/>
      </w:r>
      <w:r w:rsidR="00333326">
        <w:instrText xml:space="preserve"> REF _Ref166078687 \w \h </w:instrText>
      </w:r>
      <w:r w:rsidR="00333326">
        <w:fldChar w:fldCharType="separate"/>
      </w:r>
      <w:r w:rsidR="002E5C6A">
        <w:t>22.3(b)</w:t>
      </w:r>
      <w:r w:rsidR="00333326">
        <w:fldChar w:fldCharType="end"/>
      </w:r>
      <w:r>
        <w:t>.</w:t>
      </w:r>
      <w:r w:rsidR="00612E89">
        <w:t>]</w:t>
      </w:r>
    </w:p>
    <w:p w14:paraId="4C0EFB4B" w14:textId="77777777" w:rsidR="00B1487C" w:rsidRPr="005669EC" w:rsidRDefault="2BC382E4" w:rsidP="001A4268">
      <w:pPr>
        <w:pStyle w:val="Heading1"/>
      </w:pPr>
      <w:bookmarkStart w:id="3363" w:name="_Toc163496193"/>
      <w:bookmarkStart w:id="3364" w:name="_Toc159511778"/>
      <w:bookmarkStart w:id="3365" w:name="_Toc159511779"/>
      <w:bookmarkStart w:id="3366" w:name="_Toc159511780"/>
      <w:bookmarkStart w:id="3367" w:name="_Toc159511781"/>
      <w:bookmarkStart w:id="3368" w:name="_Toc159511782"/>
      <w:bookmarkStart w:id="3369" w:name="_Toc159511783"/>
      <w:bookmarkStart w:id="3370" w:name="_Toc159511784"/>
      <w:bookmarkStart w:id="3371" w:name="_Toc159511785"/>
      <w:bookmarkStart w:id="3372" w:name="_Toc159511786"/>
      <w:bookmarkStart w:id="3373" w:name="_Toc108425447"/>
      <w:bookmarkStart w:id="3374" w:name="_Toc108020949"/>
      <w:bookmarkStart w:id="3375" w:name="_Toc108089325"/>
      <w:bookmarkStart w:id="3376" w:name="_Toc108098051"/>
      <w:bookmarkStart w:id="3377" w:name="_Toc108425448"/>
      <w:bookmarkStart w:id="3378" w:name="_Toc94885430"/>
      <w:bookmarkStart w:id="3379" w:name="_Toc94885865"/>
      <w:bookmarkStart w:id="3380" w:name="_Toc94886307"/>
      <w:bookmarkStart w:id="3381" w:name="_Toc99723433"/>
      <w:bookmarkStart w:id="3382" w:name="_Toc492494283"/>
      <w:bookmarkStart w:id="3383" w:name="_Toc492504514"/>
      <w:bookmarkStart w:id="3384" w:name="_Toc492504772"/>
      <w:bookmarkStart w:id="3385" w:name="_Toc492494284"/>
      <w:bookmarkStart w:id="3386" w:name="_Toc492504515"/>
      <w:bookmarkStart w:id="3387" w:name="_Toc492504773"/>
      <w:bookmarkStart w:id="3388" w:name="_Toc492494285"/>
      <w:bookmarkStart w:id="3389" w:name="_Toc492504516"/>
      <w:bookmarkStart w:id="3390" w:name="_Toc492504774"/>
      <w:bookmarkStart w:id="3391" w:name="_Toc492494286"/>
      <w:bookmarkStart w:id="3392" w:name="_Toc492504517"/>
      <w:bookmarkStart w:id="3393" w:name="_Toc492504775"/>
      <w:bookmarkStart w:id="3394" w:name="_Toc499021839"/>
      <w:bookmarkStart w:id="3395" w:name="_Toc499021845"/>
      <w:bookmarkStart w:id="3396" w:name="_Toc499021848"/>
      <w:bookmarkStart w:id="3397" w:name="_Toc492504782"/>
      <w:bookmarkStart w:id="3398" w:name="_Toc94623705"/>
      <w:bookmarkStart w:id="3399" w:name="_Toc94624019"/>
      <w:bookmarkStart w:id="3400" w:name="_Toc94781278"/>
      <w:bookmarkStart w:id="3401" w:name="_Toc94782188"/>
      <w:bookmarkStart w:id="3402" w:name="_Toc94782510"/>
      <w:bookmarkStart w:id="3403" w:name="_Toc94798243"/>
      <w:bookmarkStart w:id="3404" w:name="_Toc94872169"/>
      <w:bookmarkStart w:id="3405" w:name="_Toc94885431"/>
      <w:bookmarkStart w:id="3406" w:name="_Toc94885866"/>
      <w:bookmarkStart w:id="3407" w:name="_Toc94886308"/>
      <w:bookmarkStart w:id="3408" w:name="_Toc99723434"/>
      <w:bookmarkStart w:id="3409" w:name="_Toc499021856"/>
      <w:bookmarkStart w:id="3410" w:name="_Toc56502172"/>
      <w:bookmarkStart w:id="3411" w:name="_Toc56502433"/>
      <w:bookmarkStart w:id="3412" w:name="_Toc56502694"/>
      <w:bookmarkStart w:id="3413" w:name="_Toc499021857"/>
      <w:bookmarkStart w:id="3414" w:name="_Toc56502173"/>
      <w:bookmarkStart w:id="3415" w:name="_Toc56502434"/>
      <w:bookmarkStart w:id="3416" w:name="_Toc56502695"/>
      <w:bookmarkStart w:id="3417" w:name="_Toc499021858"/>
      <w:bookmarkStart w:id="3418" w:name="_Toc56502174"/>
      <w:bookmarkStart w:id="3419" w:name="_Toc56502435"/>
      <w:bookmarkStart w:id="3420" w:name="_Toc56502696"/>
      <w:bookmarkStart w:id="3421" w:name="_Toc499021859"/>
      <w:bookmarkStart w:id="3422" w:name="_Toc56502175"/>
      <w:bookmarkStart w:id="3423" w:name="_Toc56502436"/>
      <w:bookmarkStart w:id="3424" w:name="_Toc56502697"/>
      <w:bookmarkStart w:id="3425" w:name="_Toc499021860"/>
      <w:bookmarkStart w:id="3426" w:name="_Toc56502176"/>
      <w:bookmarkStart w:id="3427" w:name="_Toc56502437"/>
      <w:bookmarkStart w:id="3428" w:name="_Toc56502698"/>
      <w:bookmarkStart w:id="3429" w:name="_Toc499021861"/>
      <w:bookmarkStart w:id="3430" w:name="_Toc56502177"/>
      <w:bookmarkStart w:id="3431" w:name="_Toc56502438"/>
      <w:bookmarkStart w:id="3432" w:name="_Toc56502699"/>
      <w:bookmarkStart w:id="3433" w:name="_Toc499021862"/>
      <w:bookmarkStart w:id="3434" w:name="_Toc56502178"/>
      <w:bookmarkStart w:id="3435" w:name="_Toc56502439"/>
      <w:bookmarkStart w:id="3436" w:name="_Toc56502700"/>
      <w:bookmarkStart w:id="3437" w:name="_Toc499021863"/>
      <w:bookmarkStart w:id="3438" w:name="_Toc56502179"/>
      <w:bookmarkStart w:id="3439" w:name="_Toc56502440"/>
      <w:bookmarkStart w:id="3440" w:name="_Toc56502701"/>
      <w:bookmarkStart w:id="3441" w:name="_Toc492494294"/>
      <w:bookmarkStart w:id="3442" w:name="_Toc492504525"/>
      <w:bookmarkStart w:id="3443" w:name="_Toc492504785"/>
      <w:bookmarkStart w:id="3444" w:name="_Toc492494295"/>
      <w:bookmarkStart w:id="3445" w:name="_Toc492504526"/>
      <w:bookmarkStart w:id="3446" w:name="_Toc492504786"/>
      <w:bookmarkStart w:id="3447" w:name="_Toc94623706"/>
      <w:bookmarkStart w:id="3448" w:name="_Toc94624020"/>
      <w:bookmarkStart w:id="3449" w:name="_Toc94781279"/>
      <w:bookmarkStart w:id="3450" w:name="_Toc94782189"/>
      <w:bookmarkStart w:id="3451" w:name="_Toc94782511"/>
      <w:bookmarkStart w:id="3452" w:name="_Toc94798244"/>
      <w:bookmarkStart w:id="3453" w:name="_Toc94872170"/>
      <w:bookmarkStart w:id="3454" w:name="_Toc94885432"/>
      <w:bookmarkStart w:id="3455" w:name="_Toc94885867"/>
      <w:bookmarkStart w:id="3456" w:name="_Toc94886309"/>
      <w:bookmarkStart w:id="3457" w:name="_Toc99723435"/>
      <w:bookmarkStart w:id="3458" w:name="_Toc94623707"/>
      <w:bookmarkStart w:id="3459" w:name="_Toc94624021"/>
      <w:bookmarkStart w:id="3460" w:name="_Toc94781280"/>
      <w:bookmarkStart w:id="3461" w:name="_Toc94782190"/>
      <w:bookmarkStart w:id="3462" w:name="_Toc94782512"/>
      <w:bookmarkStart w:id="3463" w:name="_Toc94798245"/>
      <w:bookmarkStart w:id="3464" w:name="_Toc94872171"/>
      <w:bookmarkStart w:id="3465" w:name="_Toc94885433"/>
      <w:bookmarkStart w:id="3466" w:name="_Toc94885868"/>
      <w:bookmarkStart w:id="3467" w:name="_Toc94886310"/>
      <w:bookmarkStart w:id="3468" w:name="_Toc99723436"/>
      <w:bookmarkStart w:id="3469" w:name="_Toc94623708"/>
      <w:bookmarkStart w:id="3470" w:name="_Toc94624022"/>
      <w:bookmarkStart w:id="3471" w:name="_Toc94781281"/>
      <w:bookmarkStart w:id="3472" w:name="_Toc94782191"/>
      <w:bookmarkStart w:id="3473" w:name="_Toc94782513"/>
      <w:bookmarkStart w:id="3474" w:name="_Toc94798246"/>
      <w:bookmarkStart w:id="3475" w:name="_Toc94872172"/>
      <w:bookmarkStart w:id="3476" w:name="_Toc94885434"/>
      <w:bookmarkStart w:id="3477" w:name="_Toc94885869"/>
      <w:bookmarkStart w:id="3478" w:name="_Toc94886311"/>
      <w:bookmarkStart w:id="3479" w:name="_Toc99723437"/>
      <w:bookmarkStart w:id="3480" w:name="_Toc94623709"/>
      <w:bookmarkStart w:id="3481" w:name="_Toc94624023"/>
      <w:bookmarkStart w:id="3482" w:name="_Toc94781282"/>
      <w:bookmarkStart w:id="3483" w:name="_Toc94782192"/>
      <w:bookmarkStart w:id="3484" w:name="_Toc94782514"/>
      <w:bookmarkStart w:id="3485" w:name="_Toc94798247"/>
      <w:bookmarkStart w:id="3486" w:name="_Toc94872173"/>
      <w:bookmarkStart w:id="3487" w:name="_Toc94885435"/>
      <w:bookmarkStart w:id="3488" w:name="_Toc94885870"/>
      <w:bookmarkStart w:id="3489" w:name="_Toc94886312"/>
      <w:bookmarkStart w:id="3490" w:name="_Toc99723438"/>
      <w:bookmarkStart w:id="3491" w:name="_Toc94623710"/>
      <w:bookmarkStart w:id="3492" w:name="_Toc94624024"/>
      <w:bookmarkStart w:id="3493" w:name="_Toc94781283"/>
      <w:bookmarkStart w:id="3494" w:name="_Toc94782193"/>
      <w:bookmarkStart w:id="3495" w:name="_Toc94782515"/>
      <w:bookmarkStart w:id="3496" w:name="_Toc94798248"/>
      <w:bookmarkStart w:id="3497" w:name="_Toc94872174"/>
      <w:bookmarkStart w:id="3498" w:name="_Toc94885436"/>
      <w:bookmarkStart w:id="3499" w:name="_Toc94885871"/>
      <w:bookmarkStart w:id="3500" w:name="_Toc94886313"/>
      <w:bookmarkStart w:id="3501" w:name="_Toc99723439"/>
      <w:bookmarkStart w:id="3502" w:name="_Toc94623711"/>
      <w:bookmarkStart w:id="3503" w:name="_Toc94624025"/>
      <w:bookmarkStart w:id="3504" w:name="_Toc94781284"/>
      <w:bookmarkStart w:id="3505" w:name="_Toc94782194"/>
      <w:bookmarkStart w:id="3506" w:name="_Toc94782516"/>
      <w:bookmarkStart w:id="3507" w:name="_Toc94798249"/>
      <w:bookmarkStart w:id="3508" w:name="_Toc94872175"/>
      <w:bookmarkStart w:id="3509" w:name="_Toc94885437"/>
      <w:bookmarkStart w:id="3510" w:name="_Toc94885872"/>
      <w:bookmarkStart w:id="3511" w:name="_Toc94886314"/>
      <w:bookmarkStart w:id="3512" w:name="_Toc99723440"/>
      <w:bookmarkStart w:id="3513" w:name="_Toc94623712"/>
      <w:bookmarkStart w:id="3514" w:name="_Toc94624026"/>
      <w:bookmarkStart w:id="3515" w:name="_Toc94781285"/>
      <w:bookmarkStart w:id="3516" w:name="_Toc94782195"/>
      <w:bookmarkStart w:id="3517" w:name="_Toc94782517"/>
      <w:bookmarkStart w:id="3518" w:name="_Toc94798250"/>
      <w:bookmarkStart w:id="3519" w:name="_Toc94872176"/>
      <w:bookmarkStart w:id="3520" w:name="_Toc94885438"/>
      <w:bookmarkStart w:id="3521" w:name="_Toc94885873"/>
      <w:bookmarkStart w:id="3522" w:name="_Toc94886315"/>
      <w:bookmarkStart w:id="3523" w:name="_Toc99723441"/>
      <w:bookmarkStart w:id="3524" w:name="_Toc94623713"/>
      <w:bookmarkStart w:id="3525" w:name="_Toc94624027"/>
      <w:bookmarkStart w:id="3526" w:name="_Toc94781286"/>
      <w:bookmarkStart w:id="3527" w:name="_Toc94782196"/>
      <w:bookmarkStart w:id="3528" w:name="_Toc94782518"/>
      <w:bookmarkStart w:id="3529" w:name="_Toc94798251"/>
      <w:bookmarkStart w:id="3530" w:name="_Toc94872177"/>
      <w:bookmarkStart w:id="3531" w:name="_Toc94885439"/>
      <w:bookmarkStart w:id="3532" w:name="_Toc94885874"/>
      <w:bookmarkStart w:id="3533" w:name="_Toc94886316"/>
      <w:bookmarkStart w:id="3534" w:name="_Toc99723442"/>
      <w:bookmarkStart w:id="3535" w:name="_Toc94623714"/>
      <w:bookmarkStart w:id="3536" w:name="_Toc94624028"/>
      <w:bookmarkStart w:id="3537" w:name="_Toc94781287"/>
      <w:bookmarkStart w:id="3538" w:name="_Toc94782197"/>
      <w:bookmarkStart w:id="3539" w:name="_Toc94782519"/>
      <w:bookmarkStart w:id="3540" w:name="_Toc94798252"/>
      <w:bookmarkStart w:id="3541" w:name="_Toc94872178"/>
      <w:bookmarkStart w:id="3542" w:name="_Toc94885440"/>
      <w:bookmarkStart w:id="3543" w:name="_Toc94885875"/>
      <w:bookmarkStart w:id="3544" w:name="_Toc94886317"/>
      <w:bookmarkStart w:id="3545" w:name="_Toc99723443"/>
      <w:bookmarkStart w:id="3546" w:name="_Toc94623715"/>
      <w:bookmarkStart w:id="3547" w:name="_Toc94624029"/>
      <w:bookmarkStart w:id="3548" w:name="_Toc94781288"/>
      <w:bookmarkStart w:id="3549" w:name="_Toc94782198"/>
      <w:bookmarkStart w:id="3550" w:name="_Toc94782520"/>
      <w:bookmarkStart w:id="3551" w:name="_Toc94798253"/>
      <w:bookmarkStart w:id="3552" w:name="_Toc94872179"/>
      <w:bookmarkStart w:id="3553" w:name="_Toc94885441"/>
      <w:bookmarkStart w:id="3554" w:name="_Toc94885876"/>
      <w:bookmarkStart w:id="3555" w:name="_Toc94886318"/>
      <w:bookmarkStart w:id="3556" w:name="_Toc99723444"/>
      <w:bookmarkStart w:id="3557" w:name="_Toc94623716"/>
      <w:bookmarkStart w:id="3558" w:name="_Toc94624030"/>
      <w:bookmarkStart w:id="3559" w:name="_Toc94781289"/>
      <w:bookmarkStart w:id="3560" w:name="_Toc94782199"/>
      <w:bookmarkStart w:id="3561" w:name="_Toc94782521"/>
      <w:bookmarkStart w:id="3562" w:name="_Toc94798254"/>
      <w:bookmarkStart w:id="3563" w:name="_Toc94872180"/>
      <w:bookmarkStart w:id="3564" w:name="_Toc94885442"/>
      <w:bookmarkStart w:id="3565" w:name="_Toc94885877"/>
      <w:bookmarkStart w:id="3566" w:name="_Toc94886319"/>
      <w:bookmarkStart w:id="3567" w:name="_Toc99723445"/>
      <w:bookmarkStart w:id="3568" w:name="_Toc94623717"/>
      <w:bookmarkStart w:id="3569" w:name="_Toc94624031"/>
      <w:bookmarkStart w:id="3570" w:name="_Toc94781290"/>
      <w:bookmarkStart w:id="3571" w:name="_Toc94782200"/>
      <w:bookmarkStart w:id="3572" w:name="_Toc94782522"/>
      <w:bookmarkStart w:id="3573" w:name="_Toc94798255"/>
      <w:bookmarkStart w:id="3574" w:name="_Toc94872181"/>
      <w:bookmarkStart w:id="3575" w:name="_Toc94885443"/>
      <w:bookmarkStart w:id="3576" w:name="_Toc94885878"/>
      <w:bookmarkStart w:id="3577" w:name="_Toc94886320"/>
      <w:bookmarkStart w:id="3578" w:name="_Toc99723446"/>
      <w:bookmarkStart w:id="3579" w:name="_Toc94623718"/>
      <w:bookmarkStart w:id="3580" w:name="_Toc94624032"/>
      <w:bookmarkStart w:id="3581" w:name="_Toc94781291"/>
      <w:bookmarkStart w:id="3582" w:name="_Toc94782201"/>
      <w:bookmarkStart w:id="3583" w:name="_Toc94782523"/>
      <w:bookmarkStart w:id="3584" w:name="_Toc94798256"/>
      <w:bookmarkStart w:id="3585" w:name="_Toc94872182"/>
      <w:bookmarkStart w:id="3586" w:name="_Toc94885444"/>
      <w:bookmarkStart w:id="3587" w:name="_Toc94885879"/>
      <w:bookmarkStart w:id="3588" w:name="_Toc94886321"/>
      <w:bookmarkStart w:id="3589" w:name="_Toc99723447"/>
      <w:bookmarkStart w:id="3590" w:name="_Toc94623719"/>
      <w:bookmarkStart w:id="3591" w:name="_Toc94624033"/>
      <w:bookmarkStart w:id="3592" w:name="_Toc94781292"/>
      <w:bookmarkStart w:id="3593" w:name="_Toc94782202"/>
      <w:bookmarkStart w:id="3594" w:name="_Toc94782524"/>
      <w:bookmarkStart w:id="3595" w:name="_Toc94798257"/>
      <w:bookmarkStart w:id="3596" w:name="_Toc94872183"/>
      <w:bookmarkStart w:id="3597" w:name="_Toc94885445"/>
      <w:bookmarkStart w:id="3598" w:name="_Toc94885880"/>
      <w:bookmarkStart w:id="3599" w:name="_Toc94886322"/>
      <w:bookmarkStart w:id="3600" w:name="_Toc99723448"/>
      <w:bookmarkStart w:id="3601" w:name="_Toc94623720"/>
      <w:bookmarkStart w:id="3602" w:name="_Toc94624034"/>
      <w:bookmarkStart w:id="3603" w:name="_Toc94781293"/>
      <w:bookmarkStart w:id="3604" w:name="_Toc94782203"/>
      <w:bookmarkStart w:id="3605" w:name="_Toc94782525"/>
      <w:bookmarkStart w:id="3606" w:name="_Toc94798258"/>
      <w:bookmarkStart w:id="3607" w:name="_Toc94872184"/>
      <w:bookmarkStart w:id="3608" w:name="_Toc94885446"/>
      <w:bookmarkStart w:id="3609" w:name="_Toc94885881"/>
      <w:bookmarkStart w:id="3610" w:name="_Toc94886323"/>
      <w:bookmarkStart w:id="3611" w:name="_Toc99723449"/>
      <w:bookmarkStart w:id="3612" w:name="_Toc94623721"/>
      <w:bookmarkStart w:id="3613" w:name="_Toc94624035"/>
      <w:bookmarkStart w:id="3614" w:name="_Toc94781294"/>
      <w:bookmarkStart w:id="3615" w:name="_Toc94782204"/>
      <w:bookmarkStart w:id="3616" w:name="_Toc94782526"/>
      <w:bookmarkStart w:id="3617" w:name="_Toc94798259"/>
      <w:bookmarkStart w:id="3618" w:name="_Toc94872185"/>
      <w:bookmarkStart w:id="3619" w:name="_Toc94885447"/>
      <w:bookmarkStart w:id="3620" w:name="_Toc94885882"/>
      <w:bookmarkStart w:id="3621" w:name="_Toc94886324"/>
      <w:bookmarkStart w:id="3622" w:name="_Toc99723450"/>
      <w:bookmarkStart w:id="3623" w:name="_Toc94623722"/>
      <w:bookmarkStart w:id="3624" w:name="_Toc94624036"/>
      <w:bookmarkStart w:id="3625" w:name="_Toc94781295"/>
      <w:bookmarkStart w:id="3626" w:name="_Toc94782205"/>
      <w:bookmarkStart w:id="3627" w:name="_Toc94782527"/>
      <w:bookmarkStart w:id="3628" w:name="_Toc94798260"/>
      <w:bookmarkStart w:id="3629" w:name="_Toc94872186"/>
      <w:bookmarkStart w:id="3630" w:name="_Toc94885448"/>
      <w:bookmarkStart w:id="3631" w:name="_Toc94885883"/>
      <w:bookmarkStart w:id="3632" w:name="_Toc94886325"/>
      <w:bookmarkStart w:id="3633" w:name="_Toc99723451"/>
      <w:bookmarkStart w:id="3634" w:name="_Toc94623723"/>
      <w:bookmarkStart w:id="3635" w:name="_Toc94624037"/>
      <w:bookmarkStart w:id="3636" w:name="_Toc94781296"/>
      <w:bookmarkStart w:id="3637" w:name="_Toc94782206"/>
      <w:bookmarkStart w:id="3638" w:name="_Toc94782528"/>
      <w:bookmarkStart w:id="3639" w:name="_Toc94798261"/>
      <w:bookmarkStart w:id="3640" w:name="_Toc94872187"/>
      <w:bookmarkStart w:id="3641" w:name="_Toc94885449"/>
      <w:bookmarkStart w:id="3642" w:name="_Toc94885884"/>
      <w:bookmarkStart w:id="3643" w:name="_Toc94886326"/>
      <w:bookmarkStart w:id="3644" w:name="_Toc99723452"/>
      <w:bookmarkStart w:id="3645" w:name="_Ref467049795"/>
      <w:bookmarkStart w:id="3646" w:name="_Ref467050266"/>
      <w:bookmarkStart w:id="3647" w:name="_Toc492504788"/>
      <w:bookmarkStart w:id="3648" w:name="_Toc515358960"/>
      <w:bookmarkStart w:id="3649" w:name="_Toc515470237"/>
      <w:bookmarkStart w:id="3650" w:name="_Toc207309633"/>
      <w:bookmarkEnd w:id="2701"/>
      <w:bookmarkEnd w:id="2702"/>
      <w:bookmarkEnd w:id="2703"/>
      <w:bookmarkEnd w:id="2704"/>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r>
        <w:t>Billing and payment</w:t>
      </w:r>
      <w:bookmarkEnd w:id="3645"/>
      <w:bookmarkEnd w:id="3646"/>
      <w:bookmarkEnd w:id="3647"/>
      <w:bookmarkEnd w:id="3648"/>
      <w:bookmarkEnd w:id="3649"/>
      <w:bookmarkEnd w:id="3650"/>
    </w:p>
    <w:p w14:paraId="75CB3932" w14:textId="77777777" w:rsidR="00B1487C" w:rsidRDefault="2C388DF0" w:rsidP="001A4268">
      <w:pPr>
        <w:pStyle w:val="Heading2"/>
      </w:pPr>
      <w:bookmarkStart w:id="3651" w:name="_Toc492494298"/>
      <w:bookmarkStart w:id="3652" w:name="_Toc492504529"/>
      <w:bookmarkStart w:id="3653" w:name="_Toc492504789"/>
      <w:bookmarkStart w:id="3654" w:name="_Toc492494299"/>
      <w:bookmarkStart w:id="3655" w:name="_Toc492504530"/>
      <w:bookmarkStart w:id="3656" w:name="_Toc492504790"/>
      <w:bookmarkStart w:id="3657" w:name="_Toc492494300"/>
      <w:bookmarkStart w:id="3658" w:name="_Toc492504531"/>
      <w:bookmarkStart w:id="3659" w:name="_Toc492504791"/>
      <w:bookmarkStart w:id="3660" w:name="_Ref467051310"/>
      <w:bookmarkStart w:id="3661" w:name="_Ref467051512"/>
      <w:bookmarkStart w:id="3662" w:name="_Ref467763057"/>
      <w:bookmarkStart w:id="3663" w:name="_Toc492504792"/>
      <w:bookmarkStart w:id="3664" w:name="_Toc515358961"/>
      <w:bookmarkStart w:id="3665" w:name="_Toc515470238"/>
      <w:bookmarkStart w:id="3666" w:name="_Toc207309634"/>
      <w:bookmarkEnd w:id="3651"/>
      <w:bookmarkEnd w:id="3652"/>
      <w:bookmarkEnd w:id="3653"/>
      <w:bookmarkEnd w:id="3654"/>
      <w:bookmarkEnd w:id="3655"/>
      <w:bookmarkEnd w:id="3656"/>
      <w:bookmarkEnd w:id="3657"/>
      <w:bookmarkEnd w:id="3658"/>
      <w:bookmarkEnd w:id="3659"/>
      <w:r>
        <w:t>Billing</w:t>
      </w:r>
      <w:bookmarkEnd w:id="3660"/>
      <w:bookmarkEnd w:id="3661"/>
      <w:bookmarkEnd w:id="3662"/>
      <w:bookmarkEnd w:id="3663"/>
      <w:bookmarkEnd w:id="3664"/>
      <w:bookmarkEnd w:id="3665"/>
      <w:bookmarkEnd w:id="3666"/>
    </w:p>
    <w:p w14:paraId="105E21E9" w14:textId="149C46A8" w:rsidR="00013F74" w:rsidRPr="005D705C" w:rsidRDefault="2C388DF0" w:rsidP="001A4268">
      <w:pPr>
        <w:pStyle w:val="Heading3"/>
        <w:keepNext/>
      </w:pPr>
      <w:bookmarkStart w:id="3667" w:name="_Ref205750769"/>
      <w:bookmarkStart w:id="3668" w:name="_Ref493084791"/>
      <w:bookmarkStart w:id="3669" w:name="_Toc515358962"/>
      <w:r>
        <w:t>Project Operator must issue to the Commonwealth an invoice</w:t>
      </w:r>
      <w:r w:rsidRPr="005D705C">
        <w:t xml:space="preserve"> (“</w:t>
      </w:r>
      <w:r w:rsidRPr="005D705C">
        <w:rPr>
          <w:b/>
          <w:bCs/>
        </w:rPr>
        <w:t>Invoice</w:t>
      </w:r>
      <w:r w:rsidRPr="005D705C">
        <w:t>”):</w:t>
      </w:r>
      <w:bookmarkEnd w:id="3667"/>
      <w:r w:rsidRPr="005D705C">
        <w:t xml:space="preserve"> </w:t>
      </w:r>
    </w:p>
    <w:p w14:paraId="0647AD1B" w14:textId="1C2F6008" w:rsidR="00B1487C" w:rsidRPr="005D705C" w:rsidRDefault="2C388DF0" w:rsidP="0058045D">
      <w:pPr>
        <w:pStyle w:val="Heading4"/>
      </w:pPr>
      <w:r w:rsidRPr="005D705C">
        <w:t xml:space="preserve">within </w:t>
      </w:r>
      <w:r w:rsidR="004022ED" w:rsidRPr="00792B2E">
        <w:t>4</w:t>
      </w:r>
      <w:r w:rsidRPr="005D705C">
        <w:t xml:space="preserve">0 Business Days after the end of each </w:t>
      </w:r>
      <w:r w:rsidR="00A30A4F">
        <w:t>Q</w:t>
      </w:r>
      <w:r w:rsidRPr="005D705C">
        <w:t xml:space="preserve">uarter (other than the last </w:t>
      </w:r>
      <w:r w:rsidR="00A30A4F">
        <w:t>Q</w:t>
      </w:r>
      <w:r w:rsidRPr="005D705C">
        <w:t xml:space="preserve">uarter in </w:t>
      </w:r>
      <w:r w:rsidR="001816DC" w:rsidRPr="005D705C">
        <w:t xml:space="preserve">a </w:t>
      </w:r>
      <w:r w:rsidR="00B51FCA">
        <w:t>Support</w:t>
      </w:r>
      <w:r w:rsidR="00B51FCA" w:rsidRPr="005D705C" w:rsidDel="00B51FCA">
        <w:t xml:space="preserve"> </w:t>
      </w:r>
      <w:r w:rsidRPr="005D705C">
        <w:t>Year)</w:t>
      </w:r>
      <w:r w:rsidR="001816DC" w:rsidRPr="005D705C">
        <w:t xml:space="preserve"> during the Support Period</w:t>
      </w:r>
      <w:r w:rsidRPr="005D705C">
        <w:t>, setting out:</w:t>
      </w:r>
      <w:bookmarkEnd w:id="3668"/>
      <w:bookmarkEnd w:id="3669"/>
      <w:r w:rsidRPr="005D705C">
        <w:t xml:space="preserve"> </w:t>
      </w:r>
    </w:p>
    <w:p w14:paraId="06C8A6E6" w14:textId="431AD621" w:rsidR="00561AAA" w:rsidRPr="005D705C" w:rsidRDefault="2C388DF0" w:rsidP="0058045D">
      <w:pPr>
        <w:pStyle w:val="Heading5"/>
      </w:pPr>
      <w:r w:rsidRPr="005D705C">
        <w:t>the sum of the Notional Quantity</w:t>
      </w:r>
      <w:r w:rsidR="00932F81">
        <w:t xml:space="preserve"> and Sent Out generation</w:t>
      </w:r>
      <w:r w:rsidRPr="005D705C">
        <w:t xml:space="preserve"> for each </w:t>
      </w:r>
      <w:r w:rsidR="00932F81">
        <w:t xml:space="preserve">Trading </w:t>
      </w:r>
      <w:r w:rsidRPr="005D705C">
        <w:t xml:space="preserve">Interval in the </w:t>
      </w:r>
      <w:r w:rsidR="00A30A4F">
        <w:t>Q</w:t>
      </w:r>
      <w:r w:rsidRPr="005D705C">
        <w:t>uarter;</w:t>
      </w:r>
    </w:p>
    <w:p w14:paraId="5AB780F9" w14:textId="77777777" w:rsidR="001B1B69" w:rsidRDefault="2C388DF0" w:rsidP="0058045D">
      <w:pPr>
        <w:pStyle w:val="Heading5"/>
      </w:pPr>
      <w:bookmarkStart w:id="3670" w:name="_Ref467051385"/>
      <w:r w:rsidRPr="005D705C">
        <w:t>the Quarterly Payment Amount (if any) payable by</w:t>
      </w:r>
      <w:r>
        <w:t xml:space="preserve"> either the Commonwealth or Project Operator for the </w:t>
      </w:r>
      <w:r w:rsidR="00A30A4F">
        <w:t>Q</w:t>
      </w:r>
      <w:r>
        <w:t xml:space="preserve">uarter; </w:t>
      </w:r>
    </w:p>
    <w:p w14:paraId="4CDBABDE" w14:textId="0DFD7DA1" w:rsidR="00C96D87" w:rsidRPr="00C96D87" w:rsidRDefault="2C388DF0" w:rsidP="0058045D">
      <w:pPr>
        <w:pStyle w:val="Heading5"/>
      </w:pPr>
      <w:bookmarkStart w:id="3671" w:name="_Ref515366140"/>
      <w:bookmarkEnd w:id="3670"/>
      <w:r>
        <w:t>any adjustments to any previous Invoices under clause</w:t>
      </w:r>
      <w:r w:rsidR="000103A0">
        <w:t> </w:t>
      </w:r>
      <w:r w:rsidR="00C96D87">
        <w:fldChar w:fldCharType="begin"/>
      </w:r>
      <w:r w:rsidR="00C96D87">
        <w:instrText xml:space="preserve"> REF _Ref467049398 \w \h  \* MERGEFORMAT </w:instrText>
      </w:r>
      <w:r w:rsidR="00C96D87">
        <w:fldChar w:fldCharType="separate"/>
      </w:r>
      <w:r w:rsidR="002E5C6A">
        <w:t>16.5</w:t>
      </w:r>
      <w:r w:rsidR="00C96D87">
        <w:fldChar w:fldCharType="end"/>
      </w:r>
      <w:r>
        <w:t xml:space="preserve"> (“</w:t>
      </w:r>
      <w:r w:rsidR="00C96D87">
        <w:fldChar w:fldCharType="begin"/>
      </w:r>
      <w:r w:rsidR="00C96D87">
        <w:instrText xml:space="preserve">  REF _Ref467049398 \h  \* MERGEFORMAT </w:instrText>
      </w:r>
      <w:r w:rsidR="00C96D87">
        <w:fldChar w:fldCharType="separate"/>
      </w:r>
      <w:r w:rsidR="002E5C6A" w:rsidRPr="00A016A2">
        <w:t>Adjustments</w:t>
      </w:r>
      <w:r w:rsidR="00C96D87">
        <w:fldChar w:fldCharType="end"/>
      </w:r>
      <w:r>
        <w:t xml:space="preserve">”); </w:t>
      </w:r>
    </w:p>
    <w:p w14:paraId="225D5491" w14:textId="77777777" w:rsidR="001B1B69" w:rsidRPr="005D705C" w:rsidRDefault="2C388DF0" w:rsidP="0058045D">
      <w:pPr>
        <w:pStyle w:val="Heading5"/>
      </w:pPr>
      <w:r>
        <w:t xml:space="preserve">any </w:t>
      </w:r>
      <w:r w:rsidRPr="005D705C">
        <w:t xml:space="preserve">other amounts payable by either party under this agreement in respect of the </w:t>
      </w:r>
      <w:r w:rsidR="00A30A4F">
        <w:t>Q</w:t>
      </w:r>
      <w:r w:rsidRPr="005D705C">
        <w:t>uarter</w:t>
      </w:r>
      <w:r w:rsidRPr="00792B2E">
        <w:t xml:space="preserve">, including </w:t>
      </w:r>
      <w:r w:rsidR="000103A0" w:rsidRPr="00792B2E">
        <w:t xml:space="preserve">any </w:t>
      </w:r>
      <w:r w:rsidRPr="00792B2E">
        <w:t>S</w:t>
      </w:r>
      <w:r w:rsidR="007D7F4B" w:rsidRPr="00792B2E">
        <w:t>LC</w:t>
      </w:r>
      <w:r w:rsidRPr="00792B2E">
        <w:t xml:space="preserve"> Abatement Amount payable </w:t>
      </w:r>
      <w:r w:rsidR="000103A0" w:rsidRPr="00792B2E">
        <w:t xml:space="preserve">by </w:t>
      </w:r>
      <w:r w:rsidRPr="00792B2E">
        <w:t>Project Operator to the Commonwealth</w:t>
      </w:r>
      <w:r w:rsidRPr="005D705C">
        <w:t>;</w:t>
      </w:r>
    </w:p>
    <w:p w14:paraId="71820E3F" w14:textId="4C51F983" w:rsidR="009E2E1C" w:rsidRPr="00847C21" w:rsidRDefault="2C388DF0" w:rsidP="0058045D">
      <w:pPr>
        <w:pStyle w:val="Heading5"/>
      </w:pPr>
      <w:r w:rsidRPr="00847C21">
        <w:t>the amount of GST (if any) payable in relation to each Taxable Supply to which the Invoice relates</w:t>
      </w:r>
      <w:r w:rsidR="0091588B" w:rsidRPr="008F660B">
        <w:t xml:space="preserve"> or any GST adjustment in accordance with clause </w:t>
      </w:r>
      <w:r w:rsidR="0091588B" w:rsidRPr="008F660B">
        <w:fldChar w:fldCharType="begin"/>
      </w:r>
      <w:r w:rsidR="0091588B" w:rsidRPr="008F660B">
        <w:instrText xml:space="preserve"> REF _Ref205753782 \w \h </w:instrText>
      </w:r>
      <w:r w:rsidR="00801FA4">
        <w:instrText xml:space="preserve"> \* MERGEFORMAT </w:instrText>
      </w:r>
      <w:r w:rsidR="0091588B" w:rsidRPr="008F660B">
        <w:fldChar w:fldCharType="separate"/>
      </w:r>
      <w:r w:rsidR="002E5C6A">
        <w:t>18.4</w:t>
      </w:r>
      <w:r w:rsidR="0091588B" w:rsidRPr="008F660B">
        <w:fldChar w:fldCharType="end"/>
      </w:r>
      <w:r w:rsidR="0091588B" w:rsidRPr="008F660B">
        <w:t xml:space="preserve"> and </w:t>
      </w:r>
      <w:r w:rsidR="0091588B" w:rsidRPr="008F660B">
        <w:fldChar w:fldCharType="begin"/>
      </w:r>
      <w:r w:rsidR="0091588B" w:rsidRPr="008F660B">
        <w:instrText xml:space="preserve"> REF _Ref205753784 \w \h </w:instrText>
      </w:r>
      <w:r w:rsidR="00801FA4">
        <w:instrText xml:space="preserve"> \* MERGEFORMAT </w:instrText>
      </w:r>
      <w:r w:rsidR="0091588B" w:rsidRPr="008F660B">
        <w:fldChar w:fldCharType="separate"/>
      </w:r>
      <w:r w:rsidR="002E5C6A">
        <w:t>18.5</w:t>
      </w:r>
      <w:r w:rsidR="0091588B" w:rsidRPr="008F660B">
        <w:fldChar w:fldCharType="end"/>
      </w:r>
      <w:r w:rsidRPr="00847C21">
        <w:t xml:space="preserve">; </w:t>
      </w:r>
      <w:bookmarkEnd w:id="3671"/>
      <w:r w:rsidRPr="00847C21">
        <w:t>and</w:t>
      </w:r>
    </w:p>
    <w:p w14:paraId="25698358" w14:textId="77777777" w:rsidR="005C2FE8" w:rsidRPr="005D705C" w:rsidRDefault="2C388DF0" w:rsidP="0058045D">
      <w:pPr>
        <w:pStyle w:val="Heading5"/>
      </w:pPr>
      <w:bookmarkStart w:id="3672" w:name="_Ref515962233"/>
      <w:r w:rsidRPr="00847C21">
        <w:t>the net amount of the above sums payable</w:t>
      </w:r>
      <w:r w:rsidRPr="005D705C">
        <w:t xml:space="preserve"> by either the Commonwealth or </w:t>
      </w:r>
      <w:bookmarkEnd w:id="3672"/>
      <w:r w:rsidRPr="005D705C">
        <w:t>Project Operator; and</w:t>
      </w:r>
    </w:p>
    <w:p w14:paraId="5BE09591" w14:textId="6E0D276F" w:rsidR="00013F74" w:rsidRPr="005D705C" w:rsidRDefault="2C388DF0" w:rsidP="0058045D">
      <w:pPr>
        <w:pStyle w:val="Heading4"/>
      </w:pPr>
      <w:r w:rsidRPr="005D705C">
        <w:t xml:space="preserve">within </w:t>
      </w:r>
      <w:r w:rsidR="004022ED" w:rsidRPr="00792B2E">
        <w:t>4</w:t>
      </w:r>
      <w:r w:rsidRPr="005D705C">
        <w:t xml:space="preserve">0 Business Days after the end of each </w:t>
      </w:r>
      <w:r w:rsidR="00B51FCA">
        <w:t>Support</w:t>
      </w:r>
      <w:r w:rsidR="00B51FCA" w:rsidRPr="005D705C" w:rsidDel="00B51FCA">
        <w:t xml:space="preserve"> </w:t>
      </w:r>
      <w:r w:rsidR="001816DC" w:rsidRPr="005D705C">
        <w:t xml:space="preserve">Year during the Support </w:t>
      </w:r>
      <w:r w:rsidR="00932F81">
        <w:t xml:space="preserve">Receipt </w:t>
      </w:r>
      <w:r w:rsidR="001816DC" w:rsidRPr="005D705C">
        <w:t>Period</w:t>
      </w:r>
      <w:r w:rsidRPr="005D705C">
        <w:t xml:space="preserve">, setting out: </w:t>
      </w:r>
    </w:p>
    <w:p w14:paraId="51D6CA45" w14:textId="67004C5C" w:rsidR="00013F74" w:rsidRPr="005D705C" w:rsidRDefault="2C388DF0" w:rsidP="0058045D">
      <w:pPr>
        <w:pStyle w:val="Heading5"/>
      </w:pPr>
      <w:r w:rsidRPr="005D705C">
        <w:t xml:space="preserve">the sum of the Notional Quantity </w:t>
      </w:r>
      <w:r w:rsidR="00932F81">
        <w:t xml:space="preserve">and Sent Out Generation </w:t>
      </w:r>
      <w:r w:rsidRPr="005D705C">
        <w:t xml:space="preserve">for each </w:t>
      </w:r>
      <w:r w:rsidR="00932F81">
        <w:t>Trading</w:t>
      </w:r>
      <w:r w:rsidR="00932F81" w:rsidRPr="005D705C" w:rsidDel="00626E73">
        <w:t xml:space="preserve"> </w:t>
      </w:r>
      <w:r w:rsidRPr="005D705C">
        <w:t xml:space="preserve">Interval in the </w:t>
      </w:r>
      <w:r w:rsidR="00B51FCA">
        <w:t>Support</w:t>
      </w:r>
      <w:r w:rsidR="00B51FCA" w:rsidRPr="005D705C" w:rsidDel="00B51FCA">
        <w:t xml:space="preserve"> </w:t>
      </w:r>
      <w:r w:rsidRPr="005D705C">
        <w:t>Year;</w:t>
      </w:r>
    </w:p>
    <w:p w14:paraId="381A96CD" w14:textId="60330EE3" w:rsidR="00013F74" w:rsidRDefault="2C388DF0" w:rsidP="0058045D">
      <w:pPr>
        <w:pStyle w:val="Heading5"/>
      </w:pPr>
      <w:r w:rsidRPr="005D705C">
        <w:t xml:space="preserve">the Annual </w:t>
      </w:r>
      <w:r w:rsidR="00932F81">
        <w:t xml:space="preserve">Reconciliation Payment </w:t>
      </w:r>
      <w:r w:rsidRPr="005D705C">
        <w:t>(if any) payable by either the Commonwealth or Project</w:t>
      </w:r>
      <w:r>
        <w:t xml:space="preserve"> Operator for the </w:t>
      </w:r>
      <w:r w:rsidR="00B51FCA">
        <w:t>Support</w:t>
      </w:r>
      <w:r w:rsidR="00B51FCA" w:rsidDel="00B51FCA">
        <w:t xml:space="preserve"> </w:t>
      </w:r>
      <w:r>
        <w:t xml:space="preserve">Year; </w:t>
      </w:r>
    </w:p>
    <w:p w14:paraId="6F18193A" w14:textId="0D0DAF48" w:rsidR="00013F74" w:rsidRPr="00C96D87" w:rsidRDefault="2C388DF0" w:rsidP="0058045D">
      <w:pPr>
        <w:pStyle w:val="Heading5"/>
      </w:pPr>
      <w:r>
        <w:t>any adjustments to any previous Invoices under clause</w:t>
      </w:r>
      <w:r w:rsidR="00510B57">
        <w:t> </w:t>
      </w:r>
      <w:r w:rsidR="00013F74">
        <w:fldChar w:fldCharType="begin"/>
      </w:r>
      <w:r w:rsidR="00013F74">
        <w:instrText xml:space="preserve"> REF _Ref467049398 \w \h  \* MERGEFORMAT </w:instrText>
      </w:r>
      <w:r w:rsidR="00013F74">
        <w:fldChar w:fldCharType="separate"/>
      </w:r>
      <w:r w:rsidR="002E5C6A">
        <w:t>16.5</w:t>
      </w:r>
      <w:r w:rsidR="00013F74">
        <w:fldChar w:fldCharType="end"/>
      </w:r>
      <w:r>
        <w:t xml:space="preserve"> (“</w:t>
      </w:r>
      <w:r w:rsidR="00013F74">
        <w:fldChar w:fldCharType="begin"/>
      </w:r>
      <w:r w:rsidR="00013F74">
        <w:instrText xml:space="preserve">  REF _Ref467049398 \h  \* MERGEFORMAT </w:instrText>
      </w:r>
      <w:r w:rsidR="00013F74">
        <w:fldChar w:fldCharType="separate"/>
      </w:r>
      <w:r w:rsidR="002E5C6A" w:rsidRPr="00A016A2">
        <w:t>Adjustments</w:t>
      </w:r>
      <w:r w:rsidR="00013F74">
        <w:fldChar w:fldCharType="end"/>
      </w:r>
      <w:r>
        <w:t xml:space="preserve">”); </w:t>
      </w:r>
    </w:p>
    <w:p w14:paraId="0A8CAF59" w14:textId="77777777" w:rsidR="00013F74" w:rsidRPr="00A016A2" w:rsidRDefault="2C388DF0" w:rsidP="0058045D">
      <w:pPr>
        <w:pStyle w:val="Heading5"/>
      </w:pPr>
      <w:r w:rsidRPr="00A016A2">
        <w:t xml:space="preserve">any other amounts payable by either party under this agreement in respect of the </w:t>
      </w:r>
      <w:r w:rsidR="00B51FCA">
        <w:t>Support</w:t>
      </w:r>
      <w:r w:rsidR="00B51FCA" w:rsidRPr="00A016A2" w:rsidDel="00B51FCA">
        <w:t xml:space="preserve"> </w:t>
      </w:r>
      <w:r w:rsidRPr="00A016A2">
        <w:t>Year;</w:t>
      </w:r>
    </w:p>
    <w:p w14:paraId="522FA4C0" w14:textId="71097F30" w:rsidR="00013F74" w:rsidRPr="00847C21" w:rsidRDefault="2C388DF0" w:rsidP="0058045D">
      <w:pPr>
        <w:pStyle w:val="Heading5"/>
      </w:pPr>
      <w:r w:rsidRPr="00A016A2">
        <w:t xml:space="preserve">the amount of GST (if any) payable in relation to each Taxable </w:t>
      </w:r>
      <w:r w:rsidRPr="00847C21">
        <w:t>Supply to which the Invoice relates</w:t>
      </w:r>
      <w:r w:rsidR="0091588B" w:rsidRPr="00847C21">
        <w:t xml:space="preserve"> </w:t>
      </w:r>
      <w:r w:rsidR="0091588B" w:rsidRPr="008F660B">
        <w:t>or any GST adjustment in accordance with clause </w:t>
      </w:r>
      <w:r w:rsidR="0091588B" w:rsidRPr="008F660B">
        <w:fldChar w:fldCharType="begin"/>
      </w:r>
      <w:r w:rsidR="0091588B" w:rsidRPr="008F660B">
        <w:instrText xml:space="preserve"> REF _Ref205753782 \w \h </w:instrText>
      </w:r>
      <w:r w:rsidR="00801FA4">
        <w:instrText xml:space="preserve"> \* MERGEFORMAT </w:instrText>
      </w:r>
      <w:r w:rsidR="0091588B" w:rsidRPr="008F660B">
        <w:fldChar w:fldCharType="separate"/>
      </w:r>
      <w:r w:rsidR="002E5C6A">
        <w:t>18.4</w:t>
      </w:r>
      <w:r w:rsidR="0091588B" w:rsidRPr="008F660B">
        <w:fldChar w:fldCharType="end"/>
      </w:r>
      <w:r w:rsidR="0091588B" w:rsidRPr="008F660B">
        <w:t xml:space="preserve"> and </w:t>
      </w:r>
      <w:r w:rsidR="0091588B" w:rsidRPr="008F660B">
        <w:fldChar w:fldCharType="begin"/>
      </w:r>
      <w:r w:rsidR="0091588B" w:rsidRPr="008F660B">
        <w:instrText xml:space="preserve"> REF _Ref205753784 \w \h </w:instrText>
      </w:r>
      <w:r w:rsidR="00801FA4">
        <w:instrText xml:space="preserve"> \* MERGEFORMAT </w:instrText>
      </w:r>
      <w:r w:rsidR="0091588B" w:rsidRPr="008F660B">
        <w:fldChar w:fldCharType="separate"/>
      </w:r>
      <w:r w:rsidR="002E5C6A">
        <w:t>18.5</w:t>
      </w:r>
      <w:r w:rsidR="0091588B" w:rsidRPr="008F660B">
        <w:fldChar w:fldCharType="end"/>
      </w:r>
      <w:r w:rsidR="0091588B" w:rsidRPr="00847C21">
        <w:t>; and</w:t>
      </w:r>
      <w:r w:rsidRPr="00847C21">
        <w:t>; and</w:t>
      </w:r>
    </w:p>
    <w:p w14:paraId="08D0352B" w14:textId="77777777" w:rsidR="00013F74" w:rsidRPr="00A016A2" w:rsidRDefault="2C388DF0" w:rsidP="0058045D">
      <w:pPr>
        <w:pStyle w:val="Heading5"/>
      </w:pPr>
      <w:r w:rsidRPr="00847C21">
        <w:t>the net amount of the above sums payable by either the Commonwealth or Project Operator</w:t>
      </w:r>
      <w:r w:rsidRPr="00A016A2">
        <w:t>,</w:t>
      </w:r>
    </w:p>
    <w:p w14:paraId="369456D0" w14:textId="77777777" w:rsidR="00424E04" w:rsidRPr="00A016A2" w:rsidRDefault="00424E04" w:rsidP="008C038D">
      <w:pPr>
        <w:pStyle w:val="Heading4"/>
        <w:numPr>
          <w:ilvl w:val="0"/>
          <w:numId w:val="0"/>
        </w:numPr>
        <w:ind w:left="2211"/>
      </w:pPr>
      <w:r w:rsidRPr="00A016A2">
        <w:t>(</w:t>
      </w:r>
      <w:r w:rsidR="003C1B2C" w:rsidRPr="00A016A2">
        <w:t xml:space="preserve">each an </w:t>
      </w:r>
      <w:r w:rsidR="00A76BD5" w:rsidRPr="00A016A2">
        <w:t>“</w:t>
      </w:r>
      <w:r w:rsidRPr="00A016A2">
        <w:rPr>
          <w:b/>
        </w:rPr>
        <w:t>Invoiced Sum</w:t>
      </w:r>
      <w:r w:rsidR="00A76BD5" w:rsidRPr="00A016A2">
        <w:rPr>
          <w:bCs/>
        </w:rPr>
        <w:t>”</w:t>
      </w:r>
      <w:r w:rsidRPr="00A016A2">
        <w:t>).</w:t>
      </w:r>
    </w:p>
    <w:p w14:paraId="73D33922" w14:textId="77777777" w:rsidR="001E0ACB" w:rsidRPr="00A016A2" w:rsidRDefault="2C388DF0" w:rsidP="0058045D">
      <w:pPr>
        <w:pStyle w:val="Heading3"/>
      </w:pPr>
      <w:bookmarkStart w:id="3673" w:name="_Toc515358963"/>
      <w:r w:rsidRPr="00A016A2">
        <w:t xml:space="preserve">On request by the Commonwealth, Project Operator must provide: </w:t>
      </w:r>
    </w:p>
    <w:p w14:paraId="0943C9D0" w14:textId="77777777" w:rsidR="001E0ACB" w:rsidRPr="00A016A2" w:rsidRDefault="2C388DF0" w:rsidP="0058045D">
      <w:pPr>
        <w:pStyle w:val="Heading4"/>
      </w:pPr>
      <w:r w:rsidRPr="00A016A2">
        <w:t xml:space="preserve">each </w:t>
      </w:r>
      <w:r w:rsidR="0051353E">
        <w:t>Settlement Statement</w:t>
      </w:r>
      <w:r w:rsidRPr="00A016A2">
        <w:t xml:space="preserve"> provided by AEMO in respect of the Project; and </w:t>
      </w:r>
    </w:p>
    <w:p w14:paraId="08A1D8CD" w14:textId="77777777" w:rsidR="002A2020" w:rsidRDefault="2C388DF0" w:rsidP="0058045D">
      <w:pPr>
        <w:pStyle w:val="Heading4"/>
      </w:pPr>
      <w:bookmarkStart w:id="3674" w:name="_Ref171428636"/>
      <w:r w:rsidRPr="00A016A2">
        <w:t>any other information or evidence reasonably required by the Commonwealth to verify an Invoice.</w:t>
      </w:r>
      <w:bookmarkEnd w:id="3673"/>
      <w:bookmarkEnd w:id="3674"/>
      <w:r w:rsidRPr="00A016A2">
        <w:t xml:space="preserve"> </w:t>
      </w:r>
    </w:p>
    <w:p w14:paraId="74549D9D" w14:textId="77777777" w:rsidR="00C06BCC" w:rsidRDefault="00C06BCC" w:rsidP="00C06BCC">
      <w:pPr>
        <w:pStyle w:val="Heading2"/>
      </w:pPr>
      <w:bookmarkStart w:id="3675" w:name="_Toc196834457"/>
      <w:bookmarkStart w:id="3676" w:name="_Ref204187634"/>
      <w:bookmarkStart w:id="3677" w:name="_Toc207309635"/>
      <w:r>
        <w:t>Circumstances in which no amount is payable</w:t>
      </w:r>
      <w:bookmarkEnd w:id="3675"/>
      <w:bookmarkEnd w:id="3676"/>
      <w:bookmarkEnd w:id="3677"/>
    </w:p>
    <w:p w14:paraId="6D2F7749" w14:textId="705E5E59" w:rsidR="00C06BCC" w:rsidRDefault="00C06BCC" w:rsidP="00C06BCC">
      <w:pPr>
        <w:pStyle w:val="Heading3"/>
        <w:numPr>
          <w:ilvl w:val="0"/>
          <w:numId w:val="0"/>
        </w:numPr>
        <w:ind w:left="737"/>
      </w:pPr>
      <w:r w:rsidRPr="00E57BB9">
        <w:t xml:space="preserve">Notwithstanding any other provision of this </w:t>
      </w:r>
      <w:r>
        <w:t>agreement</w:t>
      </w:r>
      <w:r w:rsidRPr="00E57BB9">
        <w:t xml:space="preserve">, no amount will be payable to Project Operator in respect of any calculation, payment or entitlement that arises from, is affected by, or is derived from any act or omission which the Commonwealth reasonably suspects may constitute </w:t>
      </w:r>
      <w:r>
        <w:t xml:space="preserve">Gaming, including </w:t>
      </w:r>
      <w:r w:rsidRPr="00E57BB9">
        <w:t>a contravention of clause</w:t>
      </w:r>
      <w:r>
        <w:t xml:space="preserve"> </w:t>
      </w:r>
      <w:r>
        <w:fldChar w:fldCharType="begin"/>
      </w:r>
      <w:r>
        <w:instrText xml:space="preserve"> REF _Ref194679036 \r \h  \* MERGEFORMAT </w:instrText>
      </w:r>
      <w:r>
        <w:fldChar w:fldCharType="separate"/>
      </w:r>
      <w:r w:rsidR="002E5C6A">
        <w:t>15.7(a)(i)</w:t>
      </w:r>
      <w:r>
        <w:fldChar w:fldCharType="end"/>
      </w:r>
      <w:r>
        <w:t>:</w:t>
      </w:r>
    </w:p>
    <w:p w14:paraId="5100110C" w14:textId="56C28212" w:rsidR="00C06BCC" w:rsidRDefault="007F7ADE" w:rsidP="00C06BCC">
      <w:pPr>
        <w:pStyle w:val="Heading3"/>
      </w:pPr>
      <w:r>
        <w:t xml:space="preserve">for </w:t>
      </w:r>
      <w:r w:rsidR="00C06BCC" w:rsidRPr="00E57BB9">
        <w:t>so long as such suspicion is under investigation</w:t>
      </w:r>
      <w:r w:rsidR="00C06BCC">
        <w:t>;</w:t>
      </w:r>
      <w:r w:rsidR="00C06BCC" w:rsidRPr="00E57BB9">
        <w:t xml:space="preserve"> </w:t>
      </w:r>
      <w:r w:rsidR="00612E89">
        <w:t>and</w:t>
      </w:r>
    </w:p>
    <w:p w14:paraId="702E5773" w14:textId="4FACBED1" w:rsidR="00C06BCC" w:rsidRDefault="00C06BCC" w:rsidP="00D315FD">
      <w:pPr>
        <w:pStyle w:val="Heading3"/>
      </w:pPr>
      <w:r w:rsidRPr="00E57BB9">
        <w:t xml:space="preserve">until such time as the Commonwealth determines, acting reasonably, that no such </w:t>
      </w:r>
      <w:r>
        <w:t xml:space="preserve">Gaming or </w:t>
      </w:r>
      <w:r w:rsidRPr="00E57BB9">
        <w:t>contravention has occurred</w:t>
      </w:r>
      <w:r>
        <w:t xml:space="preserve">. </w:t>
      </w:r>
    </w:p>
    <w:p w14:paraId="7B76FFD1" w14:textId="5F6DF98F" w:rsidR="007F7ADE" w:rsidRPr="00A016A2" w:rsidRDefault="007F7ADE" w:rsidP="007F7ADE">
      <w:pPr>
        <w:pStyle w:val="Heading3"/>
        <w:numPr>
          <w:ilvl w:val="0"/>
          <w:numId w:val="0"/>
        </w:numPr>
        <w:ind w:left="737"/>
      </w:pPr>
      <w:r>
        <w:t xml:space="preserve">If the Commonwealth determines, acting reasonably, that no such Gaming or contravention has occurred, any amount that has not been paid to Project Operator due to the operation of this clause </w:t>
      </w:r>
      <w:r>
        <w:fldChar w:fldCharType="begin"/>
      </w:r>
      <w:r>
        <w:instrText xml:space="preserve"> REF _Ref204187634 \n \h </w:instrText>
      </w:r>
      <w:r>
        <w:fldChar w:fldCharType="separate"/>
      </w:r>
      <w:r w:rsidR="002E5C6A">
        <w:t>16.2</w:t>
      </w:r>
      <w:r>
        <w:fldChar w:fldCharType="end"/>
      </w:r>
      <w:r>
        <w:t xml:space="preserve"> will become payable to Project Operator.</w:t>
      </w:r>
    </w:p>
    <w:p w14:paraId="4406F8B4" w14:textId="77777777" w:rsidR="000A17A1" w:rsidRPr="00A016A2" w:rsidRDefault="2C388DF0" w:rsidP="0058045D">
      <w:pPr>
        <w:pStyle w:val="Heading2"/>
      </w:pPr>
      <w:bookmarkStart w:id="3678" w:name="_Ref467051439"/>
      <w:bookmarkStart w:id="3679" w:name="_Toc492504793"/>
      <w:bookmarkStart w:id="3680" w:name="_Toc515358965"/>
      <w:bookmarkStart w:id="3681" w:name="_Toc515470239"/>
      <w:bookmarkStart w:id="3682" w:name="_Toc207309636"/>
      <w:r w:rsidRPr="00A016A2">
        <w:t>Payment</w:t>
      </w:r>
      <w:bookmarkEnd w:id="3678"/>
      <w:bookmarkEnd w:id="3679"/>
      <w:bookmarkEnd w:id="3680"/>
      <w:bookmarkEnd w:id="3681"/>
      <w:bookmarkEnd w:id="3682"/>
    </w:p>
    <w:p w14:paraId="5A7FEF20" w14:textId="7D7D87FA" w:rsidR="000A17A1" w:rsidRDefault="2C388DF0" w:rsidP="0058045D">
      <w:pPr>
        <w:pStyle w:val="Heading3"/>
      </w:pPr>
      <w:bookmarkStart w:id="3683" w:name="_Toc515358966"/>
      <w:bookmarkStart w:id="3684" w:name="_Ref73977434"/>
      <w:r w:rsidRPr="00A016A2">
        <w:t>If an Invoiced Sum is payable by a party, then that party must pay the Invoiced Sum</w:t>
      </w:r>
      <w:r w:rsidR="00C06BCC">
        <w:t xml:space="preserve"> </w:t>
      </w:r>
      <w:r w:rsidR="00932F81">
        <w:t>by</w:t>
      </w:r>
      <w:r w:rsidRPr="00A016A2">
        <w:t xml:space="preserve"> the date which is</w:t>
      </w:r>
      <w:r w:rsidR="00C06BCC">
        <w:t xml:space="preserve"> twenty</w:t>
      </w:r>
      <w:r w:rsidRPr="00A016A2">
        <w:t xml:space="preserve"> </w:t>
      </w:r>
      <w:r w:rsidR="00C06BCC">
        <w:t>(</w:t>
      </w:r>
      <w:r w:rsidRPr="00A016A2">
        <w:t>20</w:t>
      </w:r>
      <w:r w:rsidR="00C06BCC">
        <w:t>)</w:t>
      </w:r>
      <w:r w:rsidRPr="00A016A2">
        <w:t xml:space="preserve"> Business Days after the date of </w:t>
      </w:r>
      <w:r w:rsidR="00641040">
        <w:t xml:space="preserve">receipt of a </w:t>
      </w:r>
      <w:r w:rsidR="00612E89">
        <w:t xml:space="preserve">correctly rendered </w:t>
      </w:r>
      <w:r w:rsidR="00641040">
        <w:t>Tax</w:t>
      </w:r>
      <w:r w:rsidR="00641040" w:rsidRPr="00A016A2">
        <w:t xml:space="preserve"> </w:t>
      </w:r>
      <w:r w:rsidRPr="00A016A2">
        <w:t>Invoice.</w:t>
      </w:r>
      <w:bookmarkEnd w:id="3683"/>
      <w:bookmarkEnd w:id="3684"/>
      <w:r w:rsidRPr="00A016A2">
        <w:t xml:space="preserve"> </w:t>
      </w:r>
    </w:p>
    <w:p w14:paraId="4A050E51" w14:textId="37024DE5" w:rsidR="00641040" w:rsidRDefault="00641040" w:rsidP="00641040">
      <w:pPr>
        <w:pStyle w:val="Heading3"/>
      </w:pPr>
      <w:r>
        <w:t>I</w:t>
      </w:r>
      <w:bookmarkStart w:id="3685" w:name="_Hlk174433705"/>
      <w:r>
        <w:t>f the Invoiced Sum is payable by the Commonwealth to Project Operator, Project Operator must provide</w:t>
      </w:r>
      <w:r w:rsidR="00612E89">
        <w:t xml:space="preserve"> the Invoice</w:t>
      </w:r>
      <w:r>
        <w:t xml:space="preserve"> to the Commonwealth </w:t>
      </w:r>
      <w:r w:rsidR="00612E89">
        <w:t xml:space="preserve">in the form of </w:t>
      </w:r>
      <w:r>
        <w:t>a Tax Invoice.</w:t>
      </w:r>
    </w:p>
    <w:p w14:paraId="3F03119E" w14:textId="0C703684" w:rsidR="00641040" w:rsidRDefault="00641040" w:rsidP="00641040">
      <w:pPr>
        <w:pStyle w:val="Heading3"/>
      </w:pPr>
      <w:r>
        <w:t xml:space="preserve">If the Invoiced Sum is payable by Project Operator to the Commonwealth, the Commonwealth must provide to Project Operator a Tax Invoice within </w:t>
      </w:r>
      <w:r w:rsidR="00C06BCC">
        <w:t>five (</w:t>
      </w:r>
      <w:r>
        <w:t>5</w:t>
      </w:r>
      <w:r w:rsidR="00C06BCC">
        <w:t>)</w:t>
      </w:r>
      <w:r>
        <w:t xml:space="preserve"> Business Days after the date on which the Commonwealth receives the Invoice from Project Operator.</w:t>
      </w:r>
    </w:p>
    <w:p w14:paraId="79058161" w14:textId="77777777" w:rsidR="000A17A1" w:rsidRPr="00A016A2" w:rsidRDefault="2C388DF0" w:rsidP="0058045D">
      <w:pPr>
        <w:pStyle w:val="Heading3"/>
      </w:pPr>
      <w:bookmarkStart w:id="3686" w:name="_Toc515358967"/>
      <w:bookmarkStart w:id="3687" w:name="_Ref167895407"/>
      <w:bookmarkEnd w:id="3685"/>
      <w:r w:rsidRPr="00A016A2">
        <w:t>Unless otherwise agreed, all payments to be made under this agreement must be paid by depositing clear and available funds to a nominated bank account (which must be with an ‘Authorised Deposit Taking Institution’ registered with the Australian Prudential Regulatory Authority) of the Commonwealth or Project Operator (as applicable).</w:t>
      </w:r>
      <w:bookmarkEnd w:id="3686"/>
      <w:bookmarkEnd w:id="3687"/>
    </w:p>
    <w:p w14:paraId="63414F83" w14:textId="77777777" w:rsidR="008F20CE" w:rsidRPr="00A016A2" w:rsidRDefault="2C388DF0" w:rsidP="00AF145F">
      <w:pPr>
        <w:pStyle w:val="Heading2"/>
      </w:pPr>
      <w:bookmarkStart w:id="3688" w:name="_Ref511737737"/>
      <w:bookmarkStart w:id="3689" w:name="_Toc515358972"/>
      <w:bookmarkStart w:id="3690" w:name="_Toc515470241"/>
      <w:bookmarkStart w:id="3691" w:name="_Ref467509902"/>
      <w:bookmarkStart w:id="3692" w:name="_Ref467509918"/>
      <w:bookmarkStart w:id="3693" w:name="_Toc207309637"/>
      <w:r w:rsidRPr="00A016A2">
        <w:t>Disputed Invoice</w:t>
      </w:r>
      <w:bookmarkEnd w:id="3688"/>
      <w:bookmarkEnd w:id="3689"/>
      <w:bookmarkEnd w:id="3690"/>
      <w:bookmarkEnd w:id="3691"/>
      <w:bookmarkEnd w:id="3692"/>
      <w:bookmarkEnd w:id="3693"/>
    </w:p>
    <w:p w14:paraId="5B94365F" w14:textId="7B6BB4E7" w:rsidR="008F20CE" w:rsidRPr="00A016A2" w:rsidRDefault="2C388DF0" w:rsidP="00AF145F">
      <w:pPr>
        <w:pStyle w:val="Heading3"/>
        <w:keepNext/>
      </w:pPr>
      <w:bookmarkStart w:id="3694" w:name="_Toc515358973"/>
      <w:r w:rsidRPr="00A016A2">
        <w:t xml:space="preserve">If a party that is required to pay an amount under an Invoice reasonably believes </w:t>
      </w:r>
      <w:r w:rsidR="00E6015F">
        <w:t xml:space="preserve">that </w:t>
      </w:r>
      <w:r w:rsidRPr="00A016A2">
        <w:t>the Invoice or any component of the Invoice does not comply with the requirements of this agreement, then:</w:t>
      </w:r>
      <w:bookmarkEnd w:id="3694"/>
      <w:r w:rsidRPr="00A016A2">
        <w:t xml:space="preserve"> </w:t>
      </w:r>
    </w:p>
    <w:p w14:paraId="5FF6B5EC" w14:textId="61AE9DB9" w:rsidR="008F20CE" w:rsidRPr="00A016A2" w:rsidRDefault="2C388DF0" w:rsidP="0058045D">
      <w:pPr>
        <w:pStyle w:val="Heading4"/>
      </w:pPr>
      <w:r w:rsidRPr="00A016A2">
        <w:t>it must notify the other party of the issues in dispute</w:t>
      </w:r>
      <w:r w:rsidR="00D70F24">
        <w:t>,</w:t>
      </w:r>
      <w:r w:rsidRPr="00A016A2">
        <w:t xml:space="preserve"> </w:t>
      </w:r>
      <w:r w:rsidR="00D70F24">
        <w:t>including the amount in dispute (</w:t>
      </w:r>
      <w:r w:rsidRPr="00A016A2">
        <w:t>“</w:t>
      </w:r>
      <w:r w:rsidRPr="00A016A2">
        <w:rPr>
          <w:b/>
          <w:bCs/>
        </w:rPr>
        <w:t>Disputed Amount</w:t>
      </w:r>
      <w:r w:rsidRPr="00A016A2">
        <w:t>”) and provide a statement of its reasons for disputing the Invoice; and</w:t>
      </w:r>
    </w:p>
    <w:p w14:paraId="16AE0FA7" w14:textId="7BF02C95" w:rsidR="008F20CE" w:rsidRPr="00A016A2" w:rsidRDefault="2C388DF0" w:rsidP="0058045D">
      <w:pPr>
        <w:pStyle w:val="Heading4"/>
      </w:pPr>
      <w:r w:rsidRPr="00A016A2">
        <w:t xml:space="preserve">if a party is required to pay an Invoiced Sum, then that party must pay that part of the Invoiced Sum </w:t>
      </w:r>
      <w:r w:rsidR="00E6015F">
        <w:t>that</w:t>
      </w:r>
      <w:r w:rsidR="00E6015F" w:rsidRPr="00A016A2">
        <w:t xml:space="preserve"> </w:t>
      </w:r>
      <w:r w:rsidRPr="00A016A2">
        <w:t>is not in dispute</w:t>
      </w:r>
      <w:bookmarkStart w:id="3695" w:name="_Ref467049733"/>
      <w:r w:rsidRPr="00A016A2">
        <w:t>.</w:t>
      </w:r>
      <w:bookmarkEnd w:id="3695"/>
      <w:r w:rsidRPr="00A016A2">
        <w:t xml:space="preserve"> </w:t>
      </w:r>
    </w:p>
    <w:p w14:paraId="2E9B493E" w14:textId="77777777" w:rsidR="006311C2" w:rsidRPr="00A016A2" w:rsidRDefault="2C388DF0" w:rsidP="0058045D">
      <w:pPr>
        <w:pStyle w:val="Heading3"/>
      </w:pPr>
      <w:bookmarkStart w:id="3696" w:name="_Ref104307753"/>
      <w:r w:rsidRPr="00A016A2">
        <w:t>If a party notifies the other party of any issue in dispute (including any Disputed Amount), then the parties must meet as soon as practicable, and in any event within 10 Business Days after receiving the notice, to discuss the issues in dispute (including any Disputed Amount).</w:t>
      </w:r>
      <w:bookmarkEnd w:id="3696"/>
    </w:p>
    <w:p w14:paraId="1655A59E" w14:textId="7730B64F" w:rsidR="001E02AB" w:rsidRPr="00A016A2" w:rsidRDefault="2C388DF0" w:rsidP="0058045D">
      <w:pPr>
        <w:pStyle w:val="Heading3"/>
      </w:pPr>
      <w:r w:rsidRPr="00A016A2">
        <w:t xml:space="preserve">If following the meeting described in paragraph </w:t>
      </w:r>
      <w:r w:rsidR="001E02AB" w:rsidRPr="00A016A2">
        <w:fldChar w:fldCharType="begin"/>
      </w:r>
      <w:r w:rsidR="001E02AB" w:rsidRPr="00A016A2">
        <w:instrText xml:space="preserve"> REF _Ref104307753 \n \h </w:instrText>
      </w:r>
      <w:r w:rsidR="001E02AB" w:rsidRPr="00A016A2">
        <w:fldChar w:fldCharType="separate"/>
      </w:r>
      <w:r w:rsidR="002E5C6A">
        <w:t>(b)</w:t>
      </w:r>
      <w:r w:rsidR="001E02AB" w:rsidRPr="00A016A2">
        <w:fldChar w:fldCharType="end"/>
      </w:r>
      <w:r w:rsidRPr="00A016A2">
        <w:t xml:space="preserve"> the parties have not agreed a resolution in respect of the issues in dispute (including any Disputed Amount), then either party may refer the matter for determination by an Independent Expert under clause </w:t>
      </w:r>
      <w:r w:rsidR="001E02AB" w:rsidRPr="00A016A2">
        <w:fldChar w:fldCharType="begin"/>
      </w:r>
      <w:r w:rsidR="001E02AB" w:rsidRPr="00A016A2">
        <w:instrText xml:space="preserve"> REF _Ref515106310 \r \h </w:instrText>
      </w:r>
      <w:r w:rsidR="001E02AB" w:rsidRPr="00A016A2">
        <w:fldChar w:fldCharType="separate"/>
      </w:r>
      <w:r w:rsidR="002E5C6A">
        <w:t>27.6</w:t>
      </w:r>
      <w:r w:rsidR="001E02AB" w:rsidRPr="00A016A2">
        <w:fldChar w:fldCharType="end"/>
      </w:r>
      <w:r w:rsidRPr="00A016A2">
        <w:t xml:space="preserve"> (“</w:t>
      </w:r>
      <w:r w:rsidR="001E02AB" w:rsidRPr="00A016A2">
        <w:fldChar w:fldCharType="begin"/>
      </w:r>
      <w:r w:rsidR="001E02AB" w:rsidRPr="00A016A2">
        <w:instrText xml:space="preserve"> REF _Ref515106310 \h </w:instrText>
      </w:r>
      <w:r w:rsidR="001E02AB" w:rsidRPr="00A016A2">
        <w:fldChar w:fldCharType="separate"/>
      </w:r>
      <w:r w:rsidR="002E5C6A">
        <w:t>Independent Expert</w:t>
      </w:r>
      <w:r w:rsidR="001E02AB" w:rsidRPr="00A016A2">
        <w:fldChar w:fldCharType="end"/>
      </w:r>
      <w:r w:rsidRPr="00A016A2">
        <w:t>”).</w:t>
      </w:r>
    </w:p>
    <w:p w14:paraId="6EBF6CEC" w14:textId="407D490E" w:rsidR="008F20CE" w:rsidRPr="00A016A2" w:rsidRDefault="00D70F24" w:rsidP="0058045D">
      <w:pPr>
        <w:pStyle w:val="Heading3"/>
      </w:pPr>
      <w:bookmarkStart w:id="3697" w:name="_Toc515358974"/>
      <w:bookmarkStart w:id="3698" w:name="_Ref83282235"/>
      <w:r>
        <w:t>Within</w:t>
      </w:r>
      <w:r w:rsidR="2C388DF0" w:rsidRPr="00A016A2">
        <w:t xml:space="preserve"> 10 Business Days after the date of resolution of the Dispute (whether by agreement or determination by an Independent Expert) </w:t>
      </w:r>
      <w:r>
        <w:t xml:space="preserve">the relevant party must pay that part of </w:t>
      </w:r>
      <w:r w:rsidR="2C388DF0" w:rsidRPr="00A016A2">
        <w:t>the Disputed Amount</w:t>
      </w:r>
      <w:r>
        <w:t xml:space="preserve"> that the parties have agreed or the Independent Expert has determined should be paid</w:t>
      </w:r>
      <w:r w:rsidR="2C388DF0" w:rsidRPr="00A016A2">
        <w:t>.</w:t>
      </w:r>
      <w:bookmarkEnd w:id="3697"/>
      <w:bookmarkEnd w:id="3698"/>
      <w:r w:rsidR="2C388DF0" w:rsidRPr="00A016A2">
        <w:t xml:space="preserve"> </w:t>
      </w:r>
    </w:p>
    <w:p w14:paraId="40C2815C" w14:textId="77777777" w:rsidR="00FF49A0" w:rsidRPr="00A016A2" w:rsidRDefault="2C388DF0" w:rsidP="0058045D">
      <w:pPr>
        <w:pStyle w:val="Heading2"/>
      </w:pPr>
      <w:bookmarkStart w:id="3699" w:name="_Toc492494303"/>
      <w:bookmarkStart w:id="3700" w:name="_Toc492504534"/>
      <w:bookmarkStart w:id="3701" w:name="_Toc492504794"/>
      <w:bookmarkStart w:id="3702" w:name="_Toc492494304"/>
      <w:bookmarkStart w:id="3703" w:name="_Toc492504535"/>
      <w:bookmarkStart w:id="3704" w:name="_Toc492504795"/>
      <w:bookmarkStart w:id="3705" w:name="_Toc492494305"/>
      <w:bookmarkStart w:id="3706" w:name="_Toc492504536"/>
      <w:bookmarkStart w:id="3707" w:name="_Toc492504796"/>
      <w:bookmarkStart w:id="3708" w:name="_Toc492494306"/>
      <w:bookmarkStart w:id="3709" w:name="_Toc492504537"/>
      <w:bookmarkStart w:id="3710" w:name="_Toc492504797"/>
      <w:bookmarkStart w:id="3711" w:name="_Ref467049398"/>
      <w:bookmarkStart w:id="3712" w:name="_Ref467049417"/>
      <w:bookmarkStart w:id="3713" w:name="_Toc469468199"/>
      <w:bookmarkStart w:id="3714" w:name="_Toc483493445"/>
      <w:bookmarkStart w:id="3715" w:name="_Toc515358968"/>
      <w:bookmarkStart w:id="3716" w:name="_Toc515470240"/>
      <w:bookmarkStart w:id="3717" w:name="_Toc207309638"/>
      <w:bookmarkStart w:id="3718" w:name="_Hlk103156016"/>
      <w:bookmarkStart w:id="3719" w:name="_Toc492504798"/>
      <w:bookmarkEnd w:id="3699"/>
      <w:bookmarkEnd w:id="3700"/>
      <w:bookmarkEnd w:id="3701"/>
      <w:bookmarkEnd w:id="3702"/>
      <w:bookmarkEnd w:id="3703"/>
      <w:bookmarkEnd w:id="3704"/>
      <w:bookmarkEnd w:id="3705"/>
      <w:bookmarkEnd w:id="3706"/>
      <w:bookmarkEnd w:id="3707"/>
      <w:bookmarkEnd w:id="3708"/>
      <w:bookmarkEnd w:id="3709"/>
      <w:bookmarkEnd w:id="3710"/>
      <w:r w:rsidRPr="00A016A2">
        <w:t>Adjustments</w:t>
      </w:r>
      <w:bookmarkEnd w:id="3711"/>
      <w:bookmarkEnd w:id="3712"/>
      <w:bookmarkEnd w:id="3713"/>
      <w:bookmarkEnd w:id="3714"/>
      <w:bookmarkEnd w:id="3715"/>
      <w:bookmarkEnd w:id="3716"/>
      <w:bookmarkEnd w:id="3717"/>
    </w:p>
    <w:p w14:paraId="00E9885B" w14:textId="76710C4A" w:rsidR="00FF49A0" w:rsidRPr="00A016A2" w:rsidRDefault="2C388DF0" w:rsidP="0058045D">
      <w:pPr>
        <w:pStyle w:val="Heading3"/>
      </w:pPr>
      <w:bookmarkStart w:id="3720" w:name="_Ref511665581"/>
      <w:bookmarkStart w:id="3721" w:name="_Toc515358969"/>
      <w:r w:rsidRPr="00A016A2">
        <w:t xml:space="preserve">Subject to paragraph </w:t>
      </w:r>
      <w:r w:rsidR="00FF49A0" w:rsidRPr="00A016A2">
        <w:fldChar w:fldCharType="begin"/>
      </w:r>
      <w:r w:rsidR="00FF49A0" w:rsidRPr="00A016A2">
        <w:instrText xml:space="preserve"> REF _Ref108102791 \n \h </w:instrText>
      </w:r>
      <w:r w:rsidR="00FF49A0" w:rsidRPr="00A016A2">
        <w:fldChar w:fldCharType="separate"/>
      </w:r>
      <w:r w:rsidR="002E5C6A">
        <w:t>(c)</w:t>
      </w:r>
      <w:r w:rsidR="00FF49A0" w:rsidRPr="00A016A2">
        <w:fldChar w:fldCharType="end"/>
      </w:r>
      <w:r w:rsidRPr="00A016A2">
        <w:t xml:space="preserve">, Project Operator </w:t>
      </w:r>
      <w:r w:rsidR="00E6015F">
        <w:t>must</w:t>
      </w:r>
      <w:r w:rsidR="00E6015F" w:rsidRPr="00A016A2">
        <w:t xml:space="preserve"> </w:t>
      </w:r>
      <w:r w:rsidRPr="00A016A2">
        <w:t xml:space="preserve">adjust an Invoice to the extent required to reflect any changes to the inputs that were used to determine that Invoice, including any change </w:t>
      </w:r>
      <w:r w:rsidR="00D70F24">
        <w:t>resulting from</w:t>
      </w:r>
      <w:r w:rsidR="00D70F24" w:rsidRPr="00A016A2">
        <w:t xml:space="preserve"> </w:t>
      </w:r>
      <w:r w:rsidRPr="00A016A2">
        <w:t xml:space="preserve">a </w:t>
      </w:r>
      <w:r w:rsidR="00F90EAF">
        <w:t>Settlement</w:t>
      </w:r>
      <w:r w:rsidR="00F90EAF" w:rsidRPr="00A016A2">
        <w:t xml:space="preserve"> </w:t>
      </w:r>
      <w:r w:rsidRPr="00A016A2">
        <w:t>Statement.</w:t>
      </w:r>
      <w:bookmarkEnd w:id="3720"/>
      <w:bookmarkEnd w:id="3721"/>
    </w:p>
    <w:p w14:paraId="1A20CE0C" w14:textId="77777777" w:rsidR="00FF49A0" w:rsidRPr="00A016A2" w:rsidRDefault="2C388DF0" w:rsidP="0058045D">
      <w:pPr>
        <w:pStyle w:val="Heading3"/>
      </w:pPr>
      <w:bookmarkStart w:id="3722" w:name="_Toc515358970"/>
      <w:r w:rsidRPr="00A016A2">
        <w:t>Project Operator must include any adjustments in the next prepared Invoice.</w:t>
      </w:r>
      <w:bookmarkEnd w:id="3722"/>
    </w:p>
    <w:p w14:paraId="778D64AB" w14:textId="7E6AC212" w:rsidR="00FF49A0" w:rsidRDefault="2C388DF0" w:rsidP="0058045D">
      <w:pPr>
        <w:pStyle w:val="Heading3"/>
      </w:pPr>
      <w:bookmarkStart w:id="3723" w:name="_Toc515358971"/>
      <w:bookmarkStart w:id="3724" w:name="_Ref73977437"/>
      <w:bookmarkStart w:id="3725" w:name="_Ref108102791"/>
      <w:r w:rsidRPr="00A016A2">
        <w:t>Other than adjustments for</w:t>
      </w:r>
      <w:r w:rsidR="00F90EAF">
        <w:t xml:space="preserve"> Settlement</w:t>
      </w:r>
      <w:r w:rsidR="00F90EAF" w:rsidRPr="00A016A2">
        <w:t xml:space="preserve"> </w:t>
      </w:r>
      <w:r w:rsidRPr="00A016A2">
        <w:t xml:space="preserve">Statements, no adjustment will be made to an Invoice more than </w:t>
      </w:r>
      <w:r w:rsidR="00D70F24">
        <w:t>three (</w:t>
      </w:r>
      <w:r w:rsidRPr="00A016A2">
        <w:t>3</w:t>
      </w:r>
      <w:r w:rsidR="00D70F24">
        <w:t>)</w:t>
      </w:r>
      <w:r w:rsidRPr="00A016A2">
        <w:t xml:space="preserve"> years after the end of the </w:t>
      </w:r>
      <w:r w:rsidR="00A30A4F">
        <w:t>Q</w:t>
      </w:r>
      <w:r w:rsidRPr="00A016A2">
        <w:t xml:space="preserve">uarter or </w:t>
      </w:r>
      <w:r w:rsidR="00B51FCA">
        <w:t>Support</w:t>
      </w:r>
      <w:r w:rsidR="00B51FCA" w:rsidRPr="00A016A2" w:rsidDel="00B51FCA">
        <w:t xml:space="preserve"> </w:t>
      </w:r>
      <w:r w:rsidRPr="00A016A2">
        <w:t>Year that is the</w:t>
      </w:r>
      <w:r>
        <w:t xml:space="preserve"> subject of the Invoice.</w:t>
      </w:r>
      <w:bookmarkEnd w:id="3723"/>
      <w:bookmarkEnd w:id="3724"/>
      <w:bookmarkEnd w:id="3725"/>
    </w:p>
    <w:p w14:paraId="065BF650" w14:textId="77777777" w:rsidR="00B1487C" w:rsidRDefault="2C388DF0" w:rsidP="0058045D">
      <w:pPr>
        <w:pStyle w:val="Heading2"/>
      </w:pPr>
      <w:bookmarkStart w:id="3726" w:name="_Toc492494309"/>
      <w:bookmarkStart w:id="3727" w:name="_Toc492504540"/>
      <w:bookmarkStart w:id="3728" w:name="_Toc492504800"/>
      <w:bookmarkStart w:id="3729" w:name="_Toc492504801"/>
      <w:bookmarkStart w:id="3730" w:name="_Ref511737755"/>
      <w:bookmarkStart w:id="3731" w:name="_Toc515358978"/>
      <w:bookmarkStart w:id="3732" w:name="_Toc515470243"/>
      <w:bookmarkStart w:id="3733" w:name="_Ref82619239"/>
      <w:bookmarkStart w:id="3734" w:name="_Toc207309639"/>
      <w:bookmarkEnd w:id="3718"/>
      <w:bookmarkEnd w:id="3719"/>
      <w:bookmarkEnd w:id="3726"/>
      <w:bookmarkEnd w:id="3727"/>
      <w:bookmarkEnd w:id="3728"/>
      <w:r>
        <w:t>Interest on late payments</w:t>
      </w:r>
      <w:bookmarkEnd w:id="3729"/>
      <w:bookmarkEnd w:id="3730"/>
      <w:bookmarkEnd w:id="3731"/>
      <w:bookmarkEnd w:id="3732"/>
      <w:bookmarkEnd w:id="3733"/>
      <w:bookmarkEnd w:id="3734"/>
    </w:p>
    <w:p w14:paraId="11051270" w14:textId="6C01A588" w:rsidR="002639B5" w:rsidRDefault="2C388DF0" w:rsidP="0058045D">
      <w:pPr>
        <w:pStyle w:val="Heading3"/>
      </w:pPr>
      <w:r>
        <w:t xml:space="preserve">Subject to paragraph </w:t>
      </w:r>
      <w:r w:rsidR="003C6D4E">
        <w:fldChar w:fldCharType="begin"/>
      </w:r>
      <w:r w:rsidR="003C6D4E">
        <w:instrText xml:space="preserve"> REF _Ref166079198 \n \h </w:instrText>
      </w:r>
      <w:r w:rsidR="003C6D4E">
        <w:fldChar w:fldCharType="separate"/>
      </w:r>
      <w:r w:rsidR="002E5C6A">
        <w:t>(b)</w:t>
      </w:r>
      <w:r w:rsidR="003C6D4E">
        <w:fldChar w:fldCharType="end"/>
      </w:r>
      <w:r>
        <w:t xml:space="preserve">, if an amount payable by a party under this agreement (including an amount determined to be payable as the result of a Dispute) was not paid by the due date, then interest will accrue (and, unless waived or less than $100, will be payable) on the unpaid amount from day to day at the Default Interest Rate from (and including) the date the original payment was due and payable </w:t>
      </w:r>
      <w:r w:rsidR="00827DC9">
        <w:t>up until (and including)</w:t>
      </w:r>
      <w:r>
        <w:t xml:space="preserve">: </w:t>
      </w:r>
    </w:p>
    <w:p w14:paraId="0AA10F15" w14:textId="1E4BD43D" w:rsidR="002639B5" w:rsidRPr="002639B5" w:rsidRDefault="002639B5" w:rsidP="008F660B">
      <w:pPr>
        <w:pStyle w:val="Heading4"/>
        <w:numPr>
          <w:ilvl w:val="3"/>
          <w:numId w:val="69"/>
        </w:numPr>
        <w:rPr>
          <w:lang w:eastAsia="en-AU"/>
        </w:rPr>
      </w:pPr>
      <w:r w:rsidRPr="002D6D4F">
        <w:rPr>
          <w:lang w:eastAsia="en-AU"/>
        </w:rPr>
        <w:t xml:space="preserve">in the case of a Disputed Amount, the </w:t>
      </w:r>
      <w:r w:rsidRPr="002639B5">
        <w:rPr>
          <w:lang w:eastAsia="en-AU"/>
        </w:rPr>
        <w:t xml:space="preserve">date </w:t>
      </w:r>
      <w:r w:rsidR="00E6015F">
        <w:rPr>
          <w:lang w:eastAsia="en-AU"/>
        </w:rPr>
        <w:t>of payment of</w:t>
      </w:r>
      <w:r w:rsidRPr="002639B5">
        <w:rPr>
          <w:lang w:eastAsia="en-AU"/>
        </w:rPr>
        <w:t xml:space="preserve"> that part of the Disputed Amount </w:t>
      </w:r>
      <w:r w:rsidR="00E6015F">
        <w:rPr>
          <w:lang w:eastAsia="en-AU"/>
        </w:rPr>
        <w:t>that</w:t>
      </w:r>
      <w:r w:rsidR="00E6015F" w:rsidRPr="002639B5">
        <w:rPr>
          <w:lang w:eastAsia="en-AU"/>
        </w:rPr>
        <w:t xml:space="preserve"> </w:t>
      </w:r>
      <w:r w:rsidRPr="002639B5">
        <w:rPr>
          <w:lang w:eastAsia="en-AU"/>
        </w:rPr>
        <w:t>the</w:t>
      </w:r>
      <w:r>
        <w:rPr>
          <w:lang w:eastAsia="en-AU"/>
        </w:rPr>
        <w:t xml:space="preserve"> </w:t>
      </w:r>
      <w:r w:rsidRPr="002639B5">
        <w:rPr>
          <w:lang w:eastAsia="en-AU"/>
        </w:rPr>
        <w:t xml:space="preserve">parties have agreed or the Independent Expert has determined </w:t>
      </w:r>
      <w:r w:rsidR="00E6015F">
        <w:rPr>
          <w:lang w:eastAsia="en-AU"/>
        </w:rPr>
        <w:t xml:space="preserve">should be </w:t>
      </w:r>
      <w:r w:rsidRPr="002639B5">
        <w:rPr>
          <w:lang w:eastAsia="en-AU"/>
        </w:rPr>
        <w:t>paid; or</w:t>
      </w:r>
    </w:p>
    <w:p w14:paraId="5FCC5B8A" w14:textId="77777777" w:rsidR="00D703AC" w:rsidRDefault="002639B5" w:rsidP="008F660B">
      <w:pPr>
        <w:pStyle w:val="Heading4"/>
        <w:numPr>
          <w:ilvl w:val="3"/>
          <w:numId w:val="69"/>
        </w:numPr>
      </w:pPr>
      <w:r w:rsidRPr="0058045D">
        <w:rPr>
          <w:rFonts w:ascii="ArialMT" w:hAnsi="ArialMT" w:cs="ArialMT"/>
          <w:color w:val="000000"/>
          <w:lang w:eastAsia="en-AU"/>
        </w:rPr>
        <w:t xml:space="preserve">otherwise, </w:t>
      </w:r>
      <w:r w:rsidR="001B4F62">
        <w:t>the date the unpaid amount is paid in full.</w:t>
      </w:r>
      <w:r w:rsidR="00B1487C">
        <w:t xml:space="preserve"> </w:t>
      </w:r>
    </w:p>
    <w:p w14:paraId="3DE09ED7" w14:textId="02BE039E" w:rsidR="00AB68ED" w:rsidRDefault="2C388DF0" w:rsidP="0058045D">
      <w:pPr>
        <w:pStyle w:val="Heading3"/>
      </w:pPr>
      <w:bookmarkStart w:id="3735" w:name="_Ref166079198"/>
      <w:bookmarkStart w:id="3736" w:name="_Ref165557711"/>
      <w:r>
        <w:t>Notwithstanding anything to the contrary in this agreement, a Termination Payment will be deemed to be due and payable</w:t>
      </w:r>
      <w:r w:rsidR="00E6015F">
        <w:t xml:space="preserve"> on,</w:t>
      </w:r>
      <w:r>
        <w:t xml:space="preserve"> and interest will accrue on the unpaid amount of a Termination Payment from day to day at the Default Interest Rate from (and including)</w:t>
      </w:r>
      <w:r w:rsidR="00E6015F">
        <w:t>,</w:t>
      </w:r>
      <w:r>
        <w:t xml:space="preserve"> the date </w:t>
      </w:r>
      <w:r w:rsidR="00F37E8D">
        <w:t xml:space="preserve">that </w:t>
      </w:r>
      <w:r>
        <w:t xml:space="preserve">is 60 Business Days after </w:t>
      </w:r>
      <w:r w:rsidR="00F37E8D">
        <w:t xml:space="preserve">the date on which </w:t>
      </w:r>
      <w:r>
        <w:t>this agreement is terminated</w:t>
      </w:r>
      <w:r w:rsidR="00E6015F">
        <w:t>. Interest will continue to be payable</w:t>
      </w:r>
      <w:r>
        <w:t xml:space="preserve"> until that unpaid amount is paid</w:t>
      </w:r>
      <w:r w:rsidR="00F37E8D">
        <w:t xml:space="preserve"> in full</w:t>
      </w:r>
      <w:r>
        <w:t>.</w:t>
      </w:r>
      <w:bookmarkEnd w:id="3735"/>
      <w:r>
        <w:t xml:space="preserve"> </w:t>
      </w:r>
      <w:bookmarkEnd w:id="3736"/>
    </w:p>
    <w:p w14:paraId="6D3A728C" w14:textId="01817BE7" w:rsidR="00B44776" w:rsidRPr="009D25FD" w:rsidRDefault="00C643DC" w:rsidP="0058045D">
      <w:pPr>
        <w:pStyle w:val="Heading2"/>
      </w:pPr>
      <w:bookmarkStart w:id="3737" w:name="_Toc207309640"/>
      <w:r>
        <w:t>Settlement Statements</w:t>
      </w:r>
      <w:bookmarkEnd w:id="3737"/>
    </w:p>
    <w:p w14:paraId="764959E5" w14:textId="77777777" w:rsidR="00B44776" w:rsidRDefault="2C388DF0" w:rsidP="0058045D">
      <w:pPr>
        <w:pStyle w:val="Heading3"/>
      </w:pPr>
      <w:r>
        <w:t>Project Operator:</w:t>
      </w:r>
    </w:p>
    <w:p w14:paraId="770A9BE7" w14:textId="0D90072C" w:rsidR="00B44776" w:rsidRDefault="2C388DF0" w:rsidP="0058045D">
      <w:pPr>
        <w:pStyle w:val="Heading4"/>
      </w:pPr>
      <w:r>
        <w:t xml:space="preserve">agrees that the Commonwealth will require access to </w:t>
      </w:r>
      <w:r w:rsidR="00C643DC">
        <w:t xml:space="preserve">Settlement Statements </w:t>
      </w:r>
      <w:r>
        <w:t xml:space="preserve">relating to the Project [and the </w:t>
      </w:r>
      <w:r w:rsidR="00C06BCC">
        <w:t>[</w:t>
      </w:r>
      <w:r>
        <w:t>Associated</w:t>
      </w:r>
      <w:r w:rsidR="00C06BCC">
        <w:t>/Existing]</w:t>
      </w:r>
      <w:r>
        <w:t xml:space="preserve"> Project (as applicable)] on a periodic basis; and [</w:t>
      </w:r>
      <w:r w:rsidRPr="2C388DF0">
        <w:rPr>
          <w:b/>
          <w:bCs/>
          <w:i/>
          <w:iCs/>
          <w:highlight w:val="lightGray"/>
        </w:rPr>
        <w:t>Note: bracketed wording to be included for all Hybrid Projects</w:t>
      </w:r>
      <w:r w:rsidR="000D20AD">
        <w:rPr>
          <w:b/>
          <w:bCs/>
          <w:i/>
          <w:iCs/>
          <w:highlight w:val="lightGray"/>
        </w:rPr>
        <w:t xml:space="preserve">, </w:t>
      </w:r>
      <w:r w:rsidR="000D20AD" w:rsidRPr="00847C21">
        <w:rPr>
          <w:b/>
          <w:bCs/>
          <w:i/>
          <w:iCs/>
          <w:highlight w:val="lightGray"/>
        </w:rPr>
        <w:t>except that the words “(as applicable)” are to be included for</w:t>
      </w:r>
      <w:r w:rsidR="0091588B" w:rsidRPr="00847C21">
        <w:rPr>
          <w:b/>
          <w:bCs/>
          <w:i/>
          <w:iCs/>
          <w:highlight w:val="lightGray"/>
        </w:rPr>
        <w:t xml:space="preserve"> all</w:t>
      </w:r>
      <w:r w:rsidR="000D20AD" w:rsidRPr="00847C21">
        <w:rPr>
          <w:b/>
          <w:bCs/>
          <w:i/>
          <w:iCs/>
          <w:highlight w:val="lightGray"/>
        </w:rPr>
        <w:t xml:space="preserve"> Hybrid</w:t>
      </w:r>
      <w:r w:rsidR="0091588B" w:rsidRPr="00847C21">
        <w:rPr>
          <w:b/>
          <w:bCs/>
          <w:i/>
          <w:iCs/>
          <w:highlight w:val="lightGray"/>
        </w:rPr>
        <w:t>/Staged</w:t>
      </w:r>
      <w:r w:rsidR="000D20AD" w:rsidRPr="00847C21">
        <w:rPr>
          <w:b/>
          <w:bCs/>
          <w:i/>
          <w:iCs/>
          <w:highlight w:val="lightGray"/>
        </w:rPr>
        <w:t xml:space="preserve"> </w:t>
      </w:r>
      <w:r w:rsidR="000D20AD">
        <w:rPr>
          <w:b/>
          <w:bCs/>
          <w:i/>
          <w:iCs/>
          <w:highlight w:val="lightGray"/>
        </w:rPr>
        <w:t xml:space="preserve">Projects </w:t>
      </w:r>
      <w:r w:rsidR="0091588B">
        <w:rPr>
          <w:b/>
          <w:bCs/>
          <w:i/>
          <w:iCs/>
          <w:highlight w:val="lightGray"/>
        </w:rPr>
        <w:t>(as applicable)</w:t>
      </w:r>
      <w:r w:rsidRPr="2C388DF0">
        <w:rPr>
          <w:b/>
          <w:bCs/>
          <w:i/>
          <w:iCs/>
          <w:highlight w:val="lightGray"/>
        </w:rPr>
        <w:t>.</w:t>
      </w:r>
      <w:r>
        <w:t>]</w:t>
      </w:r>
    </w:p>
    <w:p w14:paraId="6D0BD48B" w14:textId="2487381C" w:rsidR="00B44776" w:rsidRPr="00704536" w:rsidRDefault="2C388DF0" w:rsidP="0058045D">
      <w:pPr>
        <w:pStyle w:val="Heading4"/>
      </w:pPr>
      <w:r>
        <w:t xml:space="preserve">consents to the Commonwealth requesting that </w:t>
      </w:r>
      <w:r w:rsidR="00932F81">
        <w:t xml:space="preserve">settlement data </w:t>
      </w:r>
      <w:r>
        <w:t xml:space="preserve">from AEMO, and </w:t>
      </w:r>
      <w:r w:rsidR="006D38F4">
        <w:t xml:space="preserve">to </w:t>
      </w:r>
      <w:r>
        <w:t xml:space="preserve">AEMO providing it to the Commonwealth. </w:t>
      </w:r>
    </w:p>
    <w:p w14:paraId="79E5BA6D" w14:textId="77B68671" w:rsidR="00A64236" w:rsidRDefault="2C388DF0" w:rsidP="0058045D">
      <w:pPr>
        <w:pStyle w:val="Heading3"/>
      </w:pPr>
      <w:r>
        <w:t xml:space="preserve">Project Operator must take all reasonable steps required by the Commonwealth and AEMO to enable the Commonwealth to obtain access to the </w:t>
      </w:r>
      <w:r w:rsidR="00C643DC">
        <w:t xml:space="preserve">Settlement Statements </w:t>
      </w:r>
      <w:r>
        <w:t xml:space="preserve">relating to the </w:t>
      </w:r>
      <w:r w:rsidR="000D20AD">
        <w:t>[</w:t>
      </w:r>
      <w:r w:rsidR="0091588B" w:rsidRPr="00847C21">
        <w:t>Hybrid</w:t>
      </w:r>
      <w:r w:rsidR="0091588B">
        <w:t>/</w:t>
      </w:r>
      <w:r w:rsidR="000D20AD">
        <w:t xml:space="preserve">Staged] </w:t>
      </w:r>
      <w:r>
        <w:t>Project from AEMO.</w:t>
      </w:r>
      <w:r w:rsidR="000D20AD" w:rsidRPr="000D20AD">
        <w:t xml:space="preserve"> </w:t>
      </w:r>
      <w:r w:rsidR="000D20AD" w:rsidRPr="008129EB">
        <w:t>[</w:t>
      </w:r>
      <w:r w:rsidR="000D20AD" w:rsidRPr="00847C21">
        <w:rPr>
          <w:b/>
          <w:bCs/>
          <w:i/>
          <w:iCs/>
          <w:highlight w:val="lightGray"/>
        </w:rPr>
        <w:t xml:space="preserve">Note: </w:t>
      </w:r>
      <w:r w:rsidR="0091588B" w:rsidRPr="00847C21">
        <w:rPr>
          <w:b/>
          <w:bCs/>
          <w:i/>
          <w:iCs/>
          <w:highlight w:val="lightGray"/>
        </w:rPr>
        <w:t xml:space="preserve">the </w:t>
      </w:r>
      <w:r w:rsidR="000D20AD" w:rsidRPr="00847C21">
        <w:rPr>
          <w:b/>
          <w:bCs/>
          <w:i/>
          <w:iCs/>
          <w:highlight w:val="lightGray"/>
        </w:rPr>
        <w:t>word</w:t>
      </w:r>
      <w:r w:rsidR="0091588B" w:rsidRPr="00847C21">
        <w:rPr>
          <w:b/>
          <w:bCs/>
          <w:i/>
          <w:iCs/>
          <w:highlight w:val="lightGray"/>
        </w:rPr>
        <w:t xml:space="preserve">s </w:t>
      </w:r>
      <w:r w:rsidR="000D20AD" w:rsidRPr="00847C21">
        <w:rPr>
          <w:b/>
          <w:bCs/>
          <w:i/>
          <w:iCs/>
          <w:highlight w:val="lightGray"/>
        </w:rPr>
        <w:t>in square bracket</w:t>
      </w:r>
      <w:r w:rsidR="0091588B" w:rsidRPr="00847C21">
        <w:rPr>
          <w:b/>
          <w:bCs/>
          <w:i/>
          <w:iCs/>
          <w:highlight w:val="lightGray"/>
        </w:rPr>
        <w:t>s are</w:t>
      </w:r>
      <w:r w:rsidR="000D20AD" w:rsidRPr="00847C21">
        <w:rPr>
          <w:b/>
          <w:bCs/>
          <w:i/>
          <w:iCs/>
          <w:highlight w:val="lightGray"/>
        </w:rPr>
        <w:t xml:space="preserve"> to be included for all </w:t>
      </w:r>
      <w:r w:rsidR="0091588B" w:rsidRPr="00847C21">
        <w:rPr>
          <w:b/>
          <w:bCs/>
          <w:i/>
          <w:iCs/>
          <w:highlight w:val="lightGray"/>
        </w:rPr>
        <w:t>Hybrid/</w:t>
      </w:r>
      <w:r w:rsidR="000D20AD" w:rsidRPr="00847C21">
        <w:rPr>
          <w:b/>
          <w:bCs/>
          <w:i/>
          <w:iCs/>
          <w:highlight w:val="lightGray"/>
        </w:rPr>
        <w:t xml:space="preserve">Staged </w:t>
      </w:r>
      <w:r w:rsidR="000D20AD" w:rsidRPr="00453ECB">
        <w:rPr>
          <w:b/>
          <w:bCs/>
          <w:i/>
          <w:iCs/>
          <w:highlight w:val="lightGray"/>
        </w:rPr>
        <w:t>Projects.</w:t>
      </w:r>
      <w:r w:rsidR="000D20AD" w:rsidRPr="008129EB">
        <w:t>]</w:t>
      </w:r>
      <w:r>
        <w:t xml:space="preserve"> </w:t>
      </w:r>
    </w:p>
    <w:p w14:paraId="61B89C88" w14:textId="77777777" w:rsidR="00704536" w:rsidRPr="00704536" w:rsidRDefault="2BC382E4" w:rsidP="0058045D">
      <w:pPr>
        <w:pStyle w:val="Heading1"/>
      </w:pPr>
      <w:bookmarkStart w:id="3738" w:name="_Toc171430642"/>
      <w:bookmarkStart w:id="3739" w:name="_Toc171584347"/>
      <w:bookmarkStart w:id="3740" w:name="_Ref492560770"/>
      <w:bookmarkStart w:id="3741" w:name="_Toc492504803"/>
      <w:bookmarkStart w:id="3742" w:name="_Toc515358979"/>
      <w:bookmarkStart w:id="3743" w:name="_Toc515470244"/>
      <w:bookmarkStart w:id="3744" w:name="_Toc207309641"/>
      <w:bookmarkEnd w:id="3738"/>
      <w:bookmarkEnd w:id="3739"/>
      <w:r>
        <w:t>Taxes</w:t>
      </w:r>
      <w:bookmarkEnd w:id="3740"/>
      <w:bookmarkEnd w:id="3741"/>
      <w:bookmarkEnd w:id="3742"/>
      <w:bookmarkEnd w:id="3743"/>
      <w:bookmarkEnd w:id="3744"/>
    </w:p>
    <w:p w14:paraId="025A0705" w14:textId="732FB1B6" w:rsidR="00805C9A" w:rsidRDefault="00D43B53" w:rsidP="0045620A">
      <w:pPr>
        <w:pStyle w:val="Indent2"/>
      </w:pPr>
      <w:r>
        <w:t xml:space="preserve">Subject to clause </w:t>
      </w:r>
      <w:r>
        <w:fldChar w:fldCharType="begin"/>
      </w:r>
      <w:r>
        <w:instrText xml:space="preserve"> REF _Ref104316847 \r \h </w:instrText>
      </w:r>
      <w:r>
        <w:fldChar w:fldCharType="separate"/>
      </w:r>
      <w:r w:rsidR="002E5C6A">
        <w:t>18</w:t>
      </w:r>
      <w:r>
        <w:fldChar w:fldCharType="end"/>
      </w:r>
      <w:r>
        <w:t xml:space="preserve"> (“</w:t>
      </w:r>
      <w:r>
        <w:fldChar w:fldCharType="begin"/>
      </w:r>
      <w:r>
        <w:instrText xml:space="preserve"> REF _Ref104316847 \h </w:instrText>
      </w:r>
      <w:r>
        <w:fldChar w:fldCharType="separate"/>
      </w:r>
      <w:r w:rsidR="002E5C6A">
        <w:t>GST</w:t>
      </w:r>
      <w:r>
        <w:fldChar w:fldCharType="end"/>
      </w:r>
      <w:r w:rsidR="00042BDE">
        <w:t>”)</w:t>
      </w:r>
      <w:r w:rsidR="00B1487C">
        <w:t xml:space="preserve">, </w:t>
      </w:r>
      <w:r w:rsidR="00F27B97">
        <w:t xml:space="preserve">as between the Commonwealth and Project Operator, </w:t>
      </w:r>
      <w:r w:rsidR="00777AF5">
        <w:t>Project</w:t>
      </w:r>
      <w:r w:rsidR="00654CB9">
        <w:t xml:space="preserve"> Operator</w:t>
      </w:r>
      <w:r w:rsidR="00B1487C">
        <w:t xml:space="preserve"> will be solely liable for payment of all taxes</w:t>
      </w:r>
      <w:r w:rsidR="00B976D1">
        <w:t>, duties and levies</w:t>
      </w:r>
      <w:r w:rsidR="00B1487C">
        <w:t xml:space="preserve"> (including corporate taxes, personal income tax, fringe benefits tax, payroll tax, stamp duty, withholding tax, PAYG, turnover tax and excise and import duties, and any </w:t>
      </w:r>
      <w:r w:rsidR="009C7B3B">
        <w:t>S</w:t>
      </w:r>
      <w:r w:rsidR="00B1487C">
        <w:t>ubcontractor</w:t>
      </w:r>
      <w:r w:rsidR="006258C5">
        <w:t>’</w:t>
      </w:r>
      <w:r w:rsidR="00B1487C">
        <w:t xml:space="preserve">s taxes) </w:t>
      </w:r>
      <w:r w:rsidR="006D38F4">
        <w:t xml:space="preserve">that </w:t>
      </w:r>
      <w:r w:rsidR="00B1487C">
        <w:t xml:space="preserve">may be imposed </w:t>
      </w:r>
      <w:r w:rsidR="00E81694">
        <w:t xml:space="preserve">on </w:t>
      </w:r>
      <w:r w:rsidR="00777AF5">
        <w:t>Project</w:t>
      </w:r>
      <w:r w:rsidR="00654CB9">
        <w:t xml:space="preserve"> Operator</w:t>
      </w:r>
      <w:r w:rsidR="00E81694">
        <w:t xml:space="preserve"> </w:t>
      </w:r>
      <w:r w:rsidR="00B1487C">
        <w:t>in relation to</w:t>
      </w:r>
      <w:r w:rsidR="00805C9A">
        <w:t xml:space="preserve"> any</w:t>
      </w:r>
      <w:r w:rsidR="00777AF5">
        <w:t xml:space="preserve"> payments made to</w:t>
      </w:r>
      <w:r w:rsidR="00FB2C68">
        <w:t>, or transactions entered into by,</w:t>
      </w:r>
      <w:r w:rsidR="00777AF5">
        <w:t xml:space="preserve"> Project Operator under this agreement</w:t>
      </w:r>
      <w:r w:rsidR="00FB2C68">
        <w:t xml:space="preserve"> or in furtherance of the Project</w:t>
      </w:r>
      <w:r w:rsidR="00777AF5">
        <w:t>.</w:t>
      </w:r>
      <w:r w:rsidR="00B1487C">
        <w:t xml:space="preserve"> </w:t>
      </w:r>
    </w:p>
    <w:p w14:paraId="52CBF6B9" w14:textId="77777777" w:rsidR="00740D6B" w:rsidRDefault="2BC382E4" w:rsidP="0058045D">
      <w:pPr>
        <w:pStyle w:val="Heading1"/>
      </w:pPr>
      <w:bookmarkStart w:id="3745" w:name="_Toc159511795"/>
      <w:bookmarkStart w:id="3746" w:name="_Toc159511796"/>
      <w:bookmarkStart w:id="3747" w:name="_Toc159511797"/>
      <w:bookmarkStart w:id="3748" w:name="_Toc159511798"/>
      <w:bookmarkStart w:id="3749" w:name="_Ref104316847"/>
      <w:bookmarkStart w:id="3750" w:name="_Toc207309642"/>
      <w:bookmarkStart w:id="3751" w:name="_Ref467706931"/>
      <w:bookmarkStart w:id="3752" w:name="_Toc492504805"/>
      <w:bookmarkStart w:id="3753" w:name="_Toc515358981"/>
      <w:bookmarkStart w:id="3754" w:name="_Toc515470246"/>
      <w:bookmarkEnd w:id="3745"/>
      <w:bookmarkEnd w:id="3746"/>
      <w:bookmarkEnd w:id="3747"/>
      <w:bookmarkEnd w:id="3748"/>
      <w:r>
        <w:t>GST</w:t>
      </w:r>
      <w:bookmarkEnd w:id="3749"/>
      <w:bookmarkEnd w:id="3750"/>
    </w:p>
    <w:p w14:paraId="75C501FB" w14:textId="77777777" w:rsidR="00740D6B" w:rsidRPr="00210E9C" w:rsidRDefault="00740D6B" w:rsidP="0058045D">
      <w:pPr>
        <w:pStyle w:val="Heading2"/>
      </w:pPr>
      <w:bookmarkStart w:id="3755" w:name="_Toc104305690"/>
      <w:bookmarkStart w:id="3756" w:name="_Toc207309643"/>
      <w:bookmarkEnd w:id="3751"/>
      <w:bookmarkEnd w:id="3752"/>
      <w:bookmarkEnd w:id="3753"/>
      <w:bookmarkEnd w:id="3754"/>
      <w:r>
        <w:t>Definitions and interpretation</w:t>
      </w:r>
      <w:bookmarkEnd w:id="3755"/>
      <w:bookmarkEnd w:id="3756"/>
    </w:p>
    <w:p w14:paraId="21E9E4CF" w14:textId="2477ADFE" w:rsidR="00740D6B" w:rsidRDefault="00740D6B" w:rsidP="009A5989">
      <w:pPr>
        <w:pStyle w:val="Indent2"/>
        <w:keepNext/>
      </w:pPr>
      <w:r>
        <w:t xml:space="preserve">For the purposes of this clause </w:t>
      </w:r>
      <w:r w:rsidR="001C29A2">
        <w:fldChar w:fldCharType="begin"/>
      </w:r>
      <w:r w:rsidR="001C29A2">
        <w:instrText xml:space="preserve"> REF _Ref104316847 \r \h </w:instrText>
      </w:r>
      <w:r w:rsidR="001C29A2">
        <w:fldChar w:fldCharType="separate"/>
      </w:r>
      <w:r w:rsidR="002E5C6A">
        <w:t>18</w:t>
      </w:r>
      <w:r w:rsidR="001C29A2">
        <w:fldChar w:fldCharType="end"/>
      </w:r>
      <w:r>
        <w:t>:</w:t>
      </w:r>
    </w:p>
    <w:p w14:paraId="24FB9EF6" w14:textId="16C051F7" w:rsidR="00740D6B" w:rsidRDefault="00740D6B" w:rsidP="0058045D">
      <w:pPr>
        <w:pStyle w:val="Heading3"/>
      </w:pPr>
      <w:r>
        <w:t xml:space="preserve">words and phrases </w:t>
      </w:r>
      <w:r w:rsidR="006D38F4">
        <w:t xml:space="preserve">that </w:t>
      </w:r>
      <w:r>
        <w:t xml:space="preserve">have a defined meaning in the </w:t>
      </w:r>
      <w:r w:rsidR="001C29A2">
        <w:t>GST Law</w:t>
      </w:r>
      <w:r>
        <w:t xml:space="preserve"> have the same meaning when used in this clause </w:t>
      </w:r>
      <w:r>
        <w:fldChar w:fldCharType="begin"/>
      </w:r>
      <w:r>
        <w:instrText xml:space="preserve"> REF _Ref104316847 \r \h </w:instrText>
      </w:r>
      <w:r>
        <w:fldChar w:fldCharType="separate"/>
      </w:r>
      <w:r w:rsidR="002E5C6A">
        <w:t>18</w:t>
      </w:r>
      <w:r>
        <w:fldChar w:fldCharType="end"/>
      </w:r>
      <w:r>
        <w:t>, unless the contrary intention appears; and</w:t>
      </w:r>
    </w:p>
    <w:p w14:paraId="640DFAF6" w14:textId="7CCBD821" w:rsidR="00740D6B" w:rsidRDefault="00740D6B" w:rsidP="0058045D">
      <w:pPr>
        <w:pStyle w:val="Heading3"/>
      </w:pPr>
      <w:r>
        <w:t>each periodic or progressive component of a supply to which section</w:t>
      </w:r>
      <w:r w:rsidR="006D38F4">
        <w:t> </w:t>
      </w:r>
      <w:r>
        <w:t xml:space="preserve">156-5(1) of the </w:t>
      </w:r>
      <w:r w:rsidR="001C29A2">
        <w:t>GST Law</w:t>
      </w:r>
      <w:r>
        <w:t xml:space="preserve"> applies is to be treated as if it were a separate supply.</w:t>
      </w:r>
    </w:p>
    <w:p w14:paraId="0761A708" w14:textId="77777777" w:rsidR="00740D6B" w:rsidRDefault="00740D6B" w:rsidP="0058045D">
      <w:pPr>
        <w:pStyle w:val="Heading2"/>
      </w:pPr>
      <w:bookmarkStart w:id="3757" w:name="_Toc104305691"/>
      <w:bookmarkStart w:id="3758" w:name="_Toc207309644"/>
      <w:r>
        <w:t>GST exclusive</w:t>
      </w:r>
      <w:bookmarkEnd w:id="3757"/>
      <w:bookmarkEnd w:id="3758"/>
    </w:p>
    <w:p w14:paraId="48519474" w14:textId="546FCB4B" w:rsidR="00740D6B" w:rsidRDefault="00740D6B" w:rsidP="00740D6B">
      <w:pPr>
        <w:pStyle w:val="Indent2"/>
      </w:pPr>
      <w:r>
        <w:t xml:space="preserve">Unless this agreement expressly states otherwise, all consideration to be provided under this agreement is </w:t>
      </w:r>
      <w:r w:rsidR="006D38F4">
        <w:t xml:space="preserve">stated </w:t>
      </w:r>
      <w:r>
        <w:t>exclusive of GST.</w:t>
      </w:r>
    </w:p>
    <w:p w14:paraId="7CB908F8" w14:textId="77777777" w:rsidR="00740D6B" w:rsidRDefault="00740D6B" w:rsidP="0058045D">
      <w:pPr>
        <w:pStyle w:val="Heading2"/>
      </w:pPr>
      <w:bookmarkStart w:id="3759" w:name="_Toc104305692"/>
      <w:bookmarkStart w:id="3760" w:name="_Ref104316872"/>
      <w:bookmarkStart w:id="3761" w:name="_Ref104316890"/>
      <w:bookmarkStart w:id="3762" w:name="_Ref104318853"/>
      <w:bookmarkStart w:id="3763" w:name="_Ref104318865"/>
      <w:bookmarkStart w:id="3764" w:name="_Ref105603843"/>
      <w:bookmarkStart w:id="3765" w:name="_Ref170393534"/>
      <w:bookmarkStart w:id="3766" w:name="_Toc207309645"/>
      <w:r>
        <w:t>Payment of GST</w:t>
      </w:r>
      <w:bookmarkEnd w:id="3759"/>
      <w:bookmarkEnd w:id="3760"/>
      <w:bookmarkEnd w:id="3761"/>
      <w:bookmarkEnd w:id="3762"/>
      <w:bookmarkEnd w:id="3763"/>
      <w:bookmarkEnd w:id="3764"/>
      <w:bookmarkEnd w:id="3765"/>
      <w:bookmarkEnd w:id="3766"/>
    </w:p>
    <w:p w14:paraId="619A0256" w14:textId="77777777" w:rsidR="00740D6B" w:rsidRDefault="00740D6B" w:rsidP="0058045D">
      <w:pPr>
        <w:pStyle w:val="Heading3"/>
        <w:rPr>
          <w:bCs/>
        </w:rPr>
      </w:pPr>
      <w:r>
        <w:t xml:space="preserve">If GST is payable, or notionally payable, on a supply made </w:t>
      </w:r>
      <w:r w:rsidRPr="00EE414C">
        <w:t>in connection with</w:t>
      </w:r>
      <w:r>
        <w:t xml:space="preserve"> this agreement, </w:t>
      </w:r>
      <w:r w:rsidR="0054606E">
        <w:t xml:space="preserve">then </w:t>
      </w:r>
      <w:r>
        <w:t>the party providing the consideration for the supply agrees to pay to the supplier an additional amount equal to the amount of GST payable on that supply (“</w:t>
      </w:r>
      <w:r w:rsidRPr="007432C8">
        <w:rPr>
          <w:b/>
        </w:rPr>
        <w:t>GST Amount</w:t>
      </w:r>
      <w:r>
        <w:rPr>
          <w:bCs/>
        </w:rPr>
        <w:t>”).</w:t>
      </w:r>
    </w:p>
    <w:p w14:paraId="6C587AFA" w14:textId="3EB4F372" w:rsidR="00740D6B" w:rsidRPr="00210E9C" w:rsidRDefault="00740D6B" w:rsidP="0058045D">
      <w:pPr>
        <w:pStyle w:val="Heading3"/>
        <w:rPr>
          <w:bCs/>
        </w:rPr>
      </w:pPr>
      <w:r>
        <w:t xml:space="preserve">Subject to the prior receipt of a </w:t>
      </w:r>
      <w:r w:rsidR="0091588B">
        <w:t xml:space="preserve">correctly rendered </w:t>
      </w:r>
      <w:r w:rsidR="00A01897">
        <w:t>T</w:t>
      </w:r>
      <w:r>
        <w:t xml:space="preserve">ax </w:t>
      </w:r>
      <w:r w:rsidR="00A01897">
        <w:t>I</w:t>
      </w:r>
      <w:r>
        <w:t>nvoice, the GST Amount is payable at the same time as the GST-exclusive consideration for the supply, or the first part of the GST-exclusive consideration for the supply (as the case may be), is payable or is to be provided.</w:t>
      </w:r>
    </w:p>
    <w:p w14:paraId="1972AB94" w14:textId="27E696BA" w:rsidR="00740D6B" w:rsidRPr="006F5B37" w:rsidRDefault="00740D6B" w:rsidP="0058045D">
      <w:pPr>
        <w:pStyle w:val="Heading3"/>
        <w:rPr>
          <w:bCs/>
        </w:rPr>
      </w:pPr>
      <w:r>
        <w:t xml:space="preserve">This clause </w:t>
      </w:r>
      <w:r w:rsidR="0007410E">
        <w:fldChar w:fldCharType="begin"/>
      </w:r>
      <w:r w:rsidR="0007410E">
        <w:instrText xml:space="preserve"> REF _Ref170393534 \n \h </w:instrText>
      </w:r>
      <w:r w:rsidR="0007410E">
        <w:fldChar w:fldCharType="separate"/>
      </w:r>
      <w:r w:rsidR="002E5C6A">
        <w:t>18.3</w:t>
      </w:r>
      <w:r w:rsidR="0007410E">
        <w:fldChar w:fldCharType="end"/>
      </w:r>
      <w:r w:rsidR="0007410E">
        <w:t xml:space="preserve"> </w:t>
      </w:r>
      <w:r>
        <w:t>does not apply to the extent that the consideration for the supply is expressly stated to include GST or the supply is subject to a reverse-charge.</w:t>
      </w:r>
    </w:p>
    <w:p w14:paraId="5F2D0FD3" w14:textId="77777777" w:rsidR="00740D6B" w:rsidRDefault="00740D6B" w:rsidP="0058045D">
      <w:pPr>
        <w:pStyle w:val="Heading2"/>
      </w:pPr>
      <w:bookmarkStart w:id="3767" w:name="_Toc104305693"/>
      <w:bookmarkStart w:id="3768" w:name="_Ref205753782"/>
      <w:bookmarkStart w:id="3769" w:name="_Toc207309646"/>
      <w:r>
        <w:t>Adjustment events</w:t>
      </w:r>
      <w:bookmarkEnd w:id="3767"/>
      <w:bookmarkEnd w:id="3768"/>
      <w:bookmarkEnd w:id="3769"/>
    </w:p>
    <w:p w14:paraId="5EC5014B" w14:textId="2CED839C" w:rsidR="00740D6B" w:rsidRDefault="00740D6B" w:rsidP="00740D6B">
      <w:pPr>
        <w:pStyle w:val="Indent2"/>
      </w:pPr>
      <w:r>
        <w:t xml:space="preserve">If an adjustment event arises for a supply made </w:t>
      </w:r>
      <w:r w:rsidRPr="00656BEB">
        <w:t>in connection with</w:t>
      </w:r>
      <w:r>
        <w:t xml:space="preserve"> this agreement,</w:t>
      </w:r>
      <w:r w:rsidR="009D59DC">
        <w:t xml:space="preserve"> then</w:t>
      </w:r>
      <w:r>
        <w:t xml:space="preserve"> the GST Amount must be recalculated to reflect that adjustment. The supplier or the recipient (as the case may be) agrees to make any payments necessary to reflect the adjustment and the supplier</w:t>
      </w:r>
      <w:r w:rsidR="00C06BCC">
        <w:t xml:space="preserve"> (or the recipient, if the supply is subject to a reverse charge)</w:t>
      </w:r>
      <w:r>
        <w:t xml:space="preserve"> agrees to issue an adjustment note.</w:t>
      </w:r>
    </w:p>
    <w:p w14:paraId="46CF8CD0" w14:textId="77777777" w:rsidR="00740D6B" w:rsidRDefault="00740D6B" w:rsidP="0058045D">
      <w:pPr>
        <w:pStyle w:val="Heading2"/>
      </w:pPr>
      <w:bookmarkStart w:id="3770" w:name="_Toc104305694"/>
      <w:bookmarkStart w:id="3771" w:name="_Ref170291897"/>
      <w:bookmarkStart w:id="3772" w:name="_Ref170380169"/>
      <w:bookmarkStart w:id="3773" w:name="_Ref205753784"/>
      <w:bookmarkStart w:id="3774" w:name="_Toc207309647"/>
      <w:r>
        <w:t>Reimbursements</w:t>
      </w:r>
      <w:bookmarkEnd w:id="3770"/>
      <w:bookmarkEnd w:id="3771"/>
      <w:bookmarkEnd w:id="3772"/>
      <w:bookmarkEnd w:id="3773"/>
      <w:bookmarkEnd w:id="3774"/>
    </w:p>
    <w:p w14:paraId="2359D6FD" w14:textId="79445F66" w:rsidR="00ED79ED" w:rsidRDefault="00740D6B" w:rsidP="007F58B6">
      <w:pPr>
        <w:pStyle w:val="Indent2"/>
      </w:pPr>
      <w:r>
        <w:t>Any payment, indemnity,</w:t>
      </w:r>
      <w:r w:rsidRPr="00690ED8">
        <w:t xml:space="preserve"> </w:t>
      </w:r>
      <w:r>
        <w:t xml:space="preserve">reimbursement or similar obligation that is required to be made in connection with this agreement </w:t>
      </w:r>
      <w:r w:rsidR="00A97B66">
        <w:t xml:space="preserve">that </w:t>
      </w:r>
      <w:r>
        <w:t xml:space="preserve">is calculated by reference to an amount paid by another party must be reduced by the amount of any input tax credits </w:t>
      </w:r>
      <w:r w:rsidR="00A97B66">
        <w:t xml:space="preserve">to </w:t>
      </w:r>
      <w:r>
        <w:t xml:space="preserve">which the other party (or the representative member of any GST group of which the other party is a member) is entitled. If the reduced payment is consideration for a </w:t>
      </w:r>
      <w:r w:rsidR="00FA1210">
        <w:t>T</w:t>
      </w:r>
      <w:r>
        <w:t xml:space="preserve">axable </w:t>
      </w:r>
      <w:r w:rsidR="00FA1210">
        <w:t>S</w:t>
      </w:r>
      <w:r>
        <w:t xml:space="preserve">upply, </w:t>
      </w:r>
      <w:r w:rsidR="009D59DC">
        <w:t xml:space="preserve">then </w:t>
      </w:r>
      <w:r>
        <w:t xml:space="preserve">clause </w:t>
      </w:r>
      <w:r w:rsidR="001C29A2">
        <w:fldChar w:fldCharType="begin"/>
      </w:r>
      <w:r w:rsidR="001C29A2">
        <w:instrText xml:space="preserve"> REF _Ref104316872 \r \h </w:instrText>
      </w:r>
      <w:r w:rsidR="001C29A2">
        <w:fldChar w:fldCharType="separate"/>
      </w:r>
      <w:r w:rsidR="002E5C6A">
        <w:t>18.3</w:t>
      </w:r>
      <w:r w:rsidR="001C29A2">
        <w:fldChar w:fldCharType="end"/>
      </w:r>
      <w:r>
        <w:t xml:space="preserve"> (“</w:t>
      </w:r>
      <w:r w:rsidR="001C29A2">
        <w:fldChar w:fldCharType="begin"/>
      </w:r>
      <w:r w:rsidR="001C29A2">
        <w:instrText xml:space="preserve"> REF _Ref104316890 \h </w:instrText>
      </w:r>
      <w:r w:rsidR="001C29A2">
        <w:fldChar w:fldCharType="separate"/>
      </w:r>
      <w:r w:rsidR="002E5C6A">
        <w:t>Payment of GST</w:t>
      </w:r>
      <w:r w:rsidR="001C29A2">
        <w:fldChar w:fldCharType="end"/>
      </w:r>
      <w:r>
        <w:t>”) applies to the reduced payment</w:t>
      </w:r>
      <w:r w:rsidR="00B1487C">
        <w:t>.</w:t>
      </w:r>
    </w:p>
    <w:p w14:paraId="48997011" w14:textId="77777777" w:rsidR="00BA4DE5" w:rsidRPr="00BA4DE5" w:rsidRDefault="2BC382E4" w:rsidP="0058045D">
      <w:pPr>
        <w:pStyle w:val="Heading1"/>
      </w:pPr>
      <w:bookmarkStart w:id="3775" w:name="_Ref167895464"/>
      <w:bookmarkStart w:id="3776" w:name="_Ref167895601"/>
      <w:bookmarkStart w:id="3777" w:name="_Ref167902412"/>
      <w:bookmarkStart w:id="3778" w:name="_Ref_ContractCompanion_9kb9Ur45B"/>
      <w:bookmarkStart w:id="3779" w:name="_Toc207309648"/>
      <w:r>
        <w:t>Force Majeure</w:t>
      </w:r>
      <w:bookmarkEnd w:id="3775"/>
      <w:bookmarkEnd w:id="3776"/>
      <w:bookmarkEnd w:id="3777"/>
      <w:bookmarkEnd w:id="3778"/>
      <w:bookmarkEnd w:id="3779"/>
    </w:p>
    <w:p w14:paraId="416D12F1" w14:textId="77777777" w:rsidR="00964912" w:rsidRDefault="2C388DF0" w:rsidP="0058045D">
      <w:pPr>
        <w:pStyle w:val="Heading2"/>
      </w:pPr>
      <w:bookmarkStart w:id="3780" w:name="_Ref101362506"/>
      <w:bookmarkStart w:id="3781" w:name="_Ref101364766"/>
      <w:bookmarkStart w:id="3782" w:name="_Toc207309649"/>
      <w:r>
        <w:t>Definition of Project Force Majeure Event</w:t>
      </w:r>
      <w:bookmarkEnd w:id="3780"/>
      <w:bookmarkEnd w:id="3781"/>
      <w:bookmarkEnd w:id="3782"/>
    </w:p>
    <w:p w14:paraId="107C8E6E" w14:textId="4A8B1A5C" w:rsidR="00964912" w:rsidRDefault="2C388DF0" w:rsidP="0058045D">
      <w:pPr>
        <w:pStyle w:val="Heading3"/>
      </w:pPr>
      <w:bookmarkStart w:id="3783" w:name="_Ref159334436"/>
      <w:r>
        <w:t xml:space="preserve">Subject to paragraph </w:t>
      </w:r>
      <w:r w:rsidR="000A1059">
        <w:fldChar w:fldCharType="begin"/>
      </w:r>
      <w:r w:rsidR="000A1059">
        <w:instrText xml:space="preserve"> REF _Ref159416761 \n \h </w:instrText>
      </w:r>
      <w:r w:rsidR="000A1059">
        <w:fldChar w:fldCharType="separate"/>
      </w:r>
      <w:r w:rsidR="002E5C6A">
        <w:t>(b)</w:t>
      </w:r>
      <w:r w:rsidR="000A1059">
        <w:fldChar w:fldCharType="end"/>
      </w:r>
      <w:r>
        <w:t>, a “</w:t>
      </w:r>
      <w:r w:rsidRPr="2C388DF0">
        <w:rPr>
          <w:b/>
          <w:bCs/>
        </w:rPr>
        <w:t>Project Force Majeure Event</w:t>
      </w:r>
      <w:r>
        <w:t>” is an event or circumstance, or combination of events or circumstances, occurring after the Signing Date that:</w:t>
      </w:r>
      <w:bookmarkEnd w:id="3783"/>
    </w:p>
    <w:p w14:paraId="1570D480" w14:textId="72804A15" w:rsidR="00964912" w:rsidRDefault="00F37E8D" w:rsidP="0058045D">
      <w:pPr>
        <w:pStyle w:val="Heading4"/>
      </w:pPr>
      <w:r>
        <w:t>i</w:t>
      </w:r>
      <w:r w:rsidR="2C388DF0">
        <w:t>s</w:t>
      </w:r>
      <w:r w:rsidR="0091588B">
        <w:t xml:space="preserve"> </w:t>
      </w:r>
      <w:r w:rsidR="0091588B" w:rsidRPr="00847C21">
        <w:t>or are</w:t>
      </w:r>
      <w:r w:rsidR="2C388DF0" w:rsidRPr="00847C21">
        <w:t xml:space="preserve"> not within</w:t>
      </w:r>
      <w:r w:rsidR="2C388DF0">
        <w:t xml:space="preserve"> the reasonable control of Project Operator; and</w:t>
      </w:r>
    </w:p>
    <w:p w14:paraId="2494F15E" w14:textId="77777777" w:rsidR="00964912" w:rsidRDefault="2C388DF0" w:rsidP="0058045D">
      <w:pPr>
        <w:pStyle w:val="Heading4"/>
      </w:pPr>
      <w:r>
        <w:t>Project Operator could not have avoided, mitigated, remedied or overcome through the exercise of reasonable care, compliance with its obligations under this agreement and Good Industry Practice,</w:t>
      </w:r>
    </w:p>
    <w:p w14:paraId="00FC65D7" w14:textId="77777777" w:rsidR="00420A06" w:rsidRDefault="00B20A9D" w:rsidP="007603B0">
      <w:pPr>
        <w:pStyle w:val="BodyText"/>
        <w:ind w:left="737" w:firstLine="737"/>
      </w:pPr>
      <w:r>
        <w:t>i</w:t>
      </w:r>
      <w:r w:rsidR="00964912">
        <w:t>ncluding</w:t>
      </w:r>
      <w:r w:rsidR="00420A06">
        <w:t>:</w:t>
      </w:r>
      <w:r w:rsidR="00964912">
        <w:t xml:space="preserve"> </w:t>
      </w:r>
    </w:p>
    <w:p w14:paraId="6DDB8F8B" w14:textId="77777777" w:rsidR="00420A06" w:rsidRDefault="2C388DF0" w:rsidP="0058045D">
      <w:pPr>
        <w:pStyle w:val="Heading4"/>
      </w:pPr>
      <w:r>
        <w:t xml:space="preserve">a Major Casualty Event; and </w:t>
      </w:r>
    </w:p>
    <w:p w14:paraId="1B1EA84F" w14:textId="77777777" w:rsidR="00420A06" w:rsidRDefault="2C388DF0" w:rsidP="0058045D">
      <w:pPr>
        <w:pStyle w:val="Heading4"/>
      </w:pPr>
      <w:bookmarkStart w:id="3784" w:name="_Hlk113629923"/>
      <w:r>
        <w:t xml:space="preserve">any curtailment or congestion affecting the availability of the Network, </w:t>
      </w:r>
    </w:p>
    <w:bookmarkEnd w:id="3784"/>
    <w:p w14:paraId="022B916E" w14:textId="77777777" w:rsidR="00F42BA6" w:rsidRDefault="00964912" w:rsidP="0058045D">
      <w:pPr>
        <w:pStyle w:val="Heading3"/>
        <w:numPr>
          <w:ilvl w:val="0"/>
          <w:numId w:val="0"/>
        </w:numPr>
        <w:ind w:left="1474"/>
      </w:pPr>
      <w:r>
        <w:t xml:space="preserve">that satisfies the </w:t>
      </w:r>
      <w:r w:rsidR="009D31D8">
        <w:t>above</w:t>
      </w:r>
      <w:r>
        <w:t xml:space="preserve"> criteria.</w:t>
      </w:r>
      <w:r w:rsidR="00F42BA6">
        <w:t xml:space="preserve"> </w:t>
      </w:r>
    </w:p>
    <w:p w14:paraId="5C76DB50" w14:textId="3A71E160" w:rsidR="00964912" w:rsidRDefault="2C388DF0" w:rsidP="0058045D">
      <w:pPr>
        <w:pStyle w:val="Heading3"/>
      </w:pPr>
      <w:bookmarkStart w:id="3785" w:name="_Ref159416761"/>
      <w:r>
        <w:t xml:space="preserve">For the purposes of paragraph </w:t>
      </w:r>
      <w:r w:rsidR="00964912">
        <w:fldChar w:fldCharType="begin"/>
      </w:r>
      <w:r w:rsidR="00964912">
        <w:instrText xml:space="preserve"> REF _Ref159334436 \n \h </w:instrText>
      </w:r>
      <w:r w:rsidR="00964912">
        <w:fldChar w:fldCharType="separate"/>
      </w:r>
      <w:r w:rsidR="002E5C6A">
        <w:t>(a)</w:t>
      </w:r>
      <w:r w:rsidR="00964912">
        <w:fldChar w:fldCharType="end"/>
      </w:r>
      <w:r>
        <w:t>, the following do not constitute a Project Force Majeure Event:</w:t>
      </w:r>
      <w:bookmarkEnd w:id="3785"/>
    </w:p>
    <w:p w14:paraId="56C8684D" w14:textId="600B1428" w:rsidR="00964912" w:rsidRDefault="2C388DF0" w:rsidP="0058045D">
      <w:pPr>
        <w:pStyle w:val="Heading4"/>
      </w:pPr>
      <w:bookmarkStart w:id="3786" w:name="_Hlk103588165"/>
      <w:r>
        <w:t xml:space="preserve">lack of funds, financial hardship, failure or inability of any person to pay any sum due and payable, or the inability of Project Operator (or any of its Related Bodies Corporate) to obtain financing or insurance or to </w:t>
      </w:r>
      <w:r w:rsidR="006A3B3C">
        <w:t xml:space="preserve">make a </w:t>
      </w:r>
      <w:r>
        <w:t xml:space="preserve">profit or </w:t>
      </w:r>
      <w:r w:rsidR="006A3B3C">
        <w:t xml:space="preserve">to </w:t>
      </w:r>
      <w:r>
        <w:t>achieve a satisfactory rate of return;</w:t>
      </w:r>
    </w:p>
    <w:p w14:paraId="61563374" w14:textId="3EAD58AB" w:rsidR="00964912" w:rsidRDefault="2C388DF0" w:rsidP="0058045D">
      <w:pPr>
        <w:pStyle w:val="Heading4"/>
      </w:pPr>
      <w:bookmarkStart w:id="3787" w:name="_Hlk103588177"/>
      <w:bookmarkEnd w:id="3786"/>
      <w:r>
        <w:t xml:space="preserve">a shortage or delay in delivery of materials, consumables, equipment or utilities required by Project Operator or any failure by Project Operator to hold sufficient stock of spares, except to the extent </w:t>
      </w:r>
      <w:r w:rsidR="006A3B3C">
        <w:t xml:space="preserve">that such a circumstance </w:t>
      </w:r>
      <w:r>
        <w:t xml:space="preserve">is itself caused by a Project Force Majeure Event; </w:t>
      </w:r>
    </w:p>
    <w:p w14:paraId="4300CF0B" w14:textId="77777777" w:rsidR="00964912" w:rsidRDefault="2C388DF0" w:rsidP="0058045D">
      <w:pPr>
        <w:pStyle w:val="Heading4"/>
      </w:pPr>
      <w:r>
        <w:t>a malfunction, temporary unavailability, breakdown or failure of Project Operator’s equipment, property or assets caused by normal wear and tear;</w:t>
      </w:r>
    </w:p>
    <w:p w14:paraId="1113B40A" w14:textId="3EA70582" w:rsidR="00964912" w:rsidRPr="00847C21" w:rsidRDefault="2C388DF0" w:rsidP="0058045D">
      <w:pPr>
        <w:pStyle w:val="Heading4"/>
      </w:pPr>
      <w:bookmarkStart w:id="3788" w:name="_Hlk103588193"/>
      <w:bookmarkEnd w:id="3787"/>
      <w:r>
        <w:t xml:space="preserve">any event or circumstance arising due to a failure by Project Operator, any of its Related Bodies Corporate or any of their respective employees, agents or </w:t>
      </w:r>
      <w:r w:rsidR="009C7B3B">
        <w:t>S</w:t>
      </w:r>
      <w:r>
        <w:t xml:space="preserve">ubcontractors to take reasonable measures to maintain, secure and protect any equipment, property or asset in </w:t>
      </w:r>
      <w:r w:rsidRPr="00847C21">
        <w:t xml:space="preserve">accordance with Good Industry Practice, except to the extent </w:t>
      </w:r>
      <w:r w:rsidR="006A3B3C" w:rsidRPr="00847C21">
        <w:t xml:space="preserve">that such a </w:t>
      </w:r>
      <w:r w:rsidR="0091588B" w:rsidRPr="00847C21">
        <w:t xml:space="preserve">failure </w:t>
      </w:r>
      <w:r w:rsidRPr="00847C21">
        <w:t>is itself caused by a Project Force Majeure Event;</w:t>
      </w:r>
      <w:bookmarkEnd w:id="3788"/>
      <w:r w:rsidRPr="00847C21">
        <w:t xml:space="preserve"> </w:t>
      </w:r>
    </w:p>
    <w:p w14:paraId="3BEE8B58" w14:textId="5EB45C6D" w:rsidR="00964912" w:rsidRPr="00847C21" w:rsidRDefault="2C388DF0" w:rsidP="0058045D">
      <w:pPr>
        <w:pStyle w:val="Heading4"/>
      </w:pPr>
      <w:bookmarkStart w:id="3789" w:name="_Hlk103588199"/>
      <w:r w:rsidRPr="00847C21">
        <w:t>strikes, industrial disputes or other industrial actions or disruption</w:t>
      </w:r>
      <w:r w:rsidR="0091588B" w:rsidRPr="00847C21">
        <w:t>s</w:t>
      </w:r>
      <w:r w:rsidRPr="00847C21">
        <w:t xml:space="preserve"> that only affect Project Operator or any group of companies of which it is a part; </w:t>
      </w:r>
    </w:p>
    <w:p w14:paraId="49649326" w14:textId="68FAA88B" w:rsidR="00964912" w:rsidRPr="00847C21" w:rsidRDefault="2C388DF0" w:rsidP="0058045D">
      <w:pPr>
        <w:pStyle w:val="Heading4"/>
      </w:pPr>
      <w:r w:rsidRPr="00847C21">
        <w:t>failure by any person (other than the other party to this agreement) to perform an obligation, except whe</w:t>
      </w:r>
      <w:r w:rsidR="006A3B3C" w:rsidRPr="00847C21">
        <w:t>n</w:t>
      </w:r>
      <w:r w:rsidRPr="00847C21">
        <w:t xml:space="preserve"> such failure is caused by any event or circumstance that, if such event or circumstance had happened to Project Operator, would have been a Project Force Majeure Event under this agreement;</w:t>
      </w:r>
      <w:bookmarkEnd w:id="3789"/>
    </w:p>
    <w:p w14:paraId="326DED06" w14:textId="203CF0BE" w:rsidR="00964912" w:rsidRDefault="2C388DF0" w:rsidP="0058045D">
      <w:pPr>
        <w:pStyle w:val="Heading4"/>
      </w:pPr>
      <w:bookmarkStart w:id="3790" w:name="_Hlk103588210"/>
      <w:r w:rsidRPr="00847C21">
        <w:t>delay in obtaining any Authorisation required to be held by a party to perform its obligations under</w:t>
      </w:r>
      <w:r>
        <w:t xml:space="preserve"> this agreement;</w:t>
      </w:r>
      <w:bookmarkEnd w:id="3790"/>
    </w:p>
    <w:p w14:paraId="2841F101" w14:textId="5B22F886" w:rsidR="00082472" w:rsidRPr="00AD4C09" w:rsidRDefault="00082472" w:rsidP="00B51880">
      <w:pPr>
        <w:pStyle w:val="Heading4"/>
      </w:pPr>
      <w:r w:rsidRPr="00AD4C09">
        <w:t>any absence, failure, lack or excess of Input Resource</w:t>
      </w:r>
      <w:r w:rsidR="00050B48">
        <w:t xml:space="preserve"> </w:t>
      </w:r>
      <w:r w:rsidR="00050B48" w:rsidRPr="00050B48">
        <w:t>attributable (in whole or in part) to any act or omission of Project Operator</w:t>
      </w:r>
      <w:r w:rsidR="007F7ADE">
        <w:t xml:space="preserve"> </w:t>
      </w:r>
      <w:r w:rsidR="007F7ADE" w:rsidRPr="008129EB">
        <w:t>(other than extreme storms, floods, hurricanes, cyclones, tornados, typhoons, tsunamis, ice and ice storms)</w:t>
      </w:r>
      <w:r w:rsidRPr="00AD4C09">
        <w:t>;</w:t>
      </w:r>
    </w:p>
    <w:p w14:paraId="3E2ADF50" w14:textId="77777777" w:rsidR="007603B0" w:rsidRDefault="2C388DF0" w:rsidP="0058045D">
      <w:pPr>
        <w:pStyle w:val="Heading4"/>
      </w:pPr>
      <w:r>
        <w:t xml:space="preserve">wet or inclement weather (other than extreme storms, floods, hurricanes, cyclones, tornados, typhoons, tsunamis, ice and ice storms); or </w:t>
      </w:r>
    </w:p>
    <w:p w14:paraId="0DC5DBA1" w14:textId="77777777" w:rsidR="00330056" w:rsidRDefault="2C388DF0" w:rsidP="0058045D">
      <w:pPr>
        <w:pStyle w:val="Heading4"/>
      </w:pPr>
      <w:r>
        <w:t>a Connection Force Majeure Event.</w:t>
      </w:r>
    </w:p>
    <w:p w14:paraId="7A87619D" w14:textId="77777777" w:rsidR="007603B0" w:rsidRPr="00141056" w:rsidRDefault="2C388DF0" w:rsidP="0058045D">
      <w:pPr>
        <w:pStyle w:val="Heading2"/>
      </w:pPr>
      <w:bookmarkStart w:id="3791" w:name="_Ref100131445"/>
      <w:bookmarkStart w:id="3792" w:name="_Toc156909142"/>
      <w:bookmarkStart w:id="3793" w:name="_Toc207309650"/>
      <w:bookmarkStart w:id="3794" w:name="_Ref_ContractCompanion_9kb9Ur3DG"/>
      <w:r w:rsidRPr="00141056">
        <w:t>Definition of Connection Force Majeure Event</w:t>
      </w:r>
      <w:bookmarkEnd w:id="3791"/>
      <w:bookmarkEnd w:id="3792"/>
      <w:bookmarkEnd w:id="3793"/>
      <w:r w:rsidRPr="00141056">
        <w:t xml:space="preserve"> </w:t>
      </w:r>
      <w:bookmarkEnd w:id="3794"/>
    </w:p>
    <w:p w14:paraId="36B8B1BB" w14:textId="498A3828" w:rsidR="007603B0" w:rsidRPr="00141056" w:rsidRDefault="007603B0">
      <w:pPr>
        <w:pStyle w:val="Heading3"/>
        <w:numPr>
          <w:ilvl w:val="0"/>
          <w:numId w:val="0"/>
        </w:numPr>
        <w:ind w:left="737"/>
      </w:pPr>
      <w:r w:rsidRPr="00141056">
        <w:t>A “</w:t>
      </w:r>
      <w:r w:rsidRPr="00141056">
        <w:rPr>
          <w:b/>
          <w:bCs/>
        </w:rPr>
        <w:t>Connection Force Majeure Event</w:t>
      </w:r>
      <w:r w:rsidRPr="00141056">
        <w:t>” occurs</w:t>
      </w:r>
      <w:r w:rsidR="00065959">
        <w:t xml:space="preserve"> if</w:t>
      </w:r>
      <w:r w:rsidRPr="00141056">
        <w:t xml:space="preserve"> </w:t>
      </w:r>
      <w:r w:rsidR="00A14B43" w:rsidRPr="00A14B43">
        <w:t xml:space="preserve">there is a delay in the commissioning of the Project in accordance with the </w:t>
      </w:r>
      <w:r w:rsidR="004A1236">
        <w:t>ESM Rules</w:t>
      </w:r>
      <w:r w:rsidR="00A14B43" w:rsidRPr="00A14B43">
        <w:t xml:space="preserve">, the ENAC or the ETAC that, at the time when the Project is ready to be or has been energised, will prevent Project Operator from exporting </w:t>
      </w:r>
      <w:r w:rsidR="00932F81">
        <w:t xml:space="preserve">or importing </w:t>
      </w:r>
      <w:r w:rsidR="00A14B43" w:rsidRPr="00A14B43">
        <w:t>a volume of electricity that is equal to or exceeds the Export Capacity</w:t>
      </w:r>
      <w:r w:rsidR="001561F2">
        <w:t>,</w:t>
      </w:r>
      <w:r w:rsidR="00932F81">
        <w:t xml:space="preserve"> or Import Capacity (as applicable) and</w:t>
      </w:r>
      <w:r w:rsidRPr="00141056">
        <w:t xml:space="preserve">: </w:t>
      </w:r>
    </w:p>
    <w:p w14:paraId="668729C6" w14:textId="6ADB9C27" w:rsidR="007603B0" w:rsidRPr="00141056" w:rsidRDefault="2C388DF0" w:rsidP="002F511F">
      <w:pPr>
        <w:pStyle w:val="Heading3"/>
      </w:pPr>
      <w:r w:rsidRPr="00141056">
        <w:t xml:space="preserve">is not within the reasonable control of Project Operator; </w:t>
      </w:r>
    </w:p>
    <w:p w14:paraId="6A5A7EC6" w14:textId="3E9F41D5" w:rsidR="007603B0" w:rsidRPr="00141056" w:rsidRDefault="2C388DF0" w:rsidP="002F511F">
      <w:pPr>
        <w:pStyle w:val="Heading3"/>
      </w:pPr>
      <w:r w:rsidRPr="00141056">
        <w:t xml:space="preserve">Project Operator could not have avoided through the exercise of reasonable care and compliance with its obligations under this agreement and Good Industry Practice; and </w:t>
      </w:r>
    </w:p>
    <w:p w14:paraId="2CBE56B6" w14:textId="56994533" w:rsidR="007603B0" w:rsidRDefault="2C388DF0" w:rsidP="002F511F">
      <w:pPr>
        <w:pStyle w:val="Heading3"/>
      </w:pPr>
      <w:r w:rsidRPr="00141056">
        <w:t xml:space="preserve">solely relates to the connection of the Project </w:t>
      </w:r>
      <w:r w:rsidR="00AC3F9A">
        <w:t xml:space="preserve">[and the </w:t>
      </w:r>
      <w:r w:rsidR="002940A0">
        <w:t>[</w:t>
      </w:r>
      <w:r w:rsidR="00AC3F9A">
        <w:t>Associated</w:t>
      </w:r>
      <w:r w:rsidR="00511696">
        <w:t>/Existing</w:t>
      </w:r>
      <w:r w:rsidR="002940A0">
        <w:t>]</w:t>
      </w:r>
      <w:r w:rsidR="00AC3F9A">
        <w:t xml:space="preserve"> Project] </w:t>
      </w:r>
      <w:r w:rsidRPr="00141056">
        <w:t xml:space="preserve">to the Network and/or the commissioning of the Project in accordance with the </w:t>
      </w:r>
      <w:r w:rsidR="004A1236">
        <w:t>ESM Rules</w:t>
      </w:r>
      <w:r w:rsidR="00950FCC">
        <w:t>, the ENAC or the ETAC</w:t>
      </w:r>
      <w:r w:rsidRPr="00141056">
        <w:t>, and not to the construction of the Project</w:t>
      </w:r>
      <w:r w:rsidR="00AC3F9A">
        <w:t xml:space="preserve"> [or the </w:t>
      </w:r>
      <w:r w:rsidR="002940A0">
        <w:t>[</w:t>
      </w:r>
      <w:r w:rsidR="00AC3F9A">
        <w:t>Associated</w:t>
      </w:r>
      <w:r w:rsidR="00511696">
        <w:t>/Existing</w:t>
      </w:r>
      <w:r w:rsidR="002940A0">
        <w:t>]</w:t>
      </w:r>
      <w:r w:rsidR="00AC3F9A">
        <w:t xml:space="preserve"> Project]</w:t>
      </w:r>
      <w:r w:rsidRPr="00141056">
        <w:t>.</w:t>
      </w:r>
      <w:r w:rsidR="00AC3F9A">
        <w:t xml:space="preserve"> </w:t>
      </w:r>
      <w:bookmarkStart w:id="3795" w:name="_Hlk179188927"/>
      <w:r w:rsidR="00AC3F9A">
        <w:t>[</w:t>
      </w:r>
      <w:r w:rsidR="00AC3F9A" w:rsidRPr="004D3942">
        <w:rPr>
          <w:b/>
          <w:bCs/>
          <w:i/>
          <w:iCs/>
          <w:highlight w:val="lightGray"/>
        </w:rPr>
        <w:t>Note:</w:t>
      </w:r>
      <w:r w:rsidR="0091588B">
        <w:rPr>
          <w:b/>
          <w:bCs/>
          <w:i/>
          <w:iCs/>
          <w:highlight w:val="lightGray"/>
        </w:rPr>
        <w:t xml:space="preserve"> the</w:t>
      </w:r>
      <w:r w:rsidR="00AC3F9A" w:rsidRPr="004D3942">
        <w:rPr>
          <w:b/>
          <w:bCs/>
          <w:i/>
          <w:iCs/>
          <w:highlight w:val="lightGray"/>
        </w:rPr>
        <w:t xml:space="preserve"> </w:t>
      </w:r>
      <w:r w:rsidR="00AC3F9A">
        <w:rPr>
          <w:b/>
          <w:bCs/>
          <w:i/>
          <w:iCs/>
          <w:highlight w:val="lightGray"/>
        </w:rPr>
        <w:t xml:space="preserve">words in square brackets </w:t>
      </w:r>
      <w:r w:rsidR="0091588B">
        <w:rPr>
          <w:b/>
          <w:bCs/>
          <w:i/>
          <w:iCs/>
          <w:highlight w:val="lightGray"/>
        </w:rPr>
        <w:t xml:space="preserve">are </w:t>
      </w:r>
      <w:r w:rsidR="00AC3F9A">
        <w:rPr>
          <w:b/>
          <w:bCs/>
          <w:i/>
          <w:iCs/>
          <w:highlight w:val="lightGray"/>
        </w:rPr>
        <w:t xml:space="preserve">to be included </w:t>
      </w:r>
      <w:r w:rsidR="00AC3F9A" w:rsidRPr="004D3942">
        <w:rPr>
          <w:b/>
          <w:bCs/>
          <w:i/>
          <w:iCs/>
          <w:highlight w:val="lightGray"/>
        </w:rPr>
        <w:t>for all Hybrid Projects</w:t>
      </w:r>
      <w:r w:rsidR="00511696">
        <w:rPr>
          <w:b/>
          <w:bCs/>
          <w:i/>
          <w:iCs/>
          <w:highlight w:val="lightGray"/>
        </w:rPr>
        <w:t xml:space="preserve"> and Staged Projects (as applicable)</w:t>
      </w:r>
      <w:r w:rsidR="00AC3F9A" w:rsidRPr="004D3942">
        <w:rPr>
          <w:b/>
          <w:bCs/>
          <w:i/>
          <w:iCs/>
          <w:highlight w:val="lightGray"/>
        </w:rPr>
        <w:t>.</w:t>
      </w:r>
      <w:r w:rsidR="00AC3F9A">
        <w:t>]</w:t>
      </w:r>
      <w:bookmarkEnd w:id="3795"/>
    </w:p>
    <w:p w14:paraId="3A51DF96" w14:textId="77777777" w:rsidR="00964912" w:rsidRDefault="2C388DF0" w:rsidP="0058045D">
      <w:pPr>
        <w:pStyle w:val="Heading2"/>
      </w:pPr>
      <w:bookmarkStart w:id="3796" w:name="_Toc171430653"/>
      <w:bookmarkStart w:id="3797" w:name="_Toc171584358"/>
      <w:bookmarkStart w:id="3798" w:name="_Ref101362724"/>
      <w:bookmarkStart w:id="3799" w:name="_Toc207309651"/>
      <w:bookmarkEnd w:id="3796"/>
      <w:bookmarkEnd w:id="3797"/>
      <w:r>
        <w:t>Notification of Force Majeure Event</w:t>
      </w:r>
      <w:bookmarkEnd w:id="3798"/>
      <w:bookmarkEnd w:id="3799"/>
      <w:r>
        <w:t xml:space="preserve"> </w:t>
      </w:r>
    </w:p>
    <w:p w14:paraId="71FB5C0D" w14:textId="284B3D34" w:rsidR="00B1478A" w:rsidRDefault="73E595EF" w:rsidP="0058045D">
      <w:pPr>
        <w:pStyle w:val="Heading3"/>
        <w:numPr>
          <w:ilvl w:val="0"/>
          <w:numId w:val="0"/>
        </w:numPr>
        <w:ind w:left="737"/>
      </w:pPr>
      <w:bookmarkStart w:id="3800" w:name="_Ref101363291"/>
      <w:r>
        <w:t xml:space="preserve">If Project Operator reasonably believes that the performance of the obligations of Project Operator or the operation of the Project are </w:t>
      </w:r>
      <w:r w:rsidR="002B7FD1">
        <w:t xml:space="preserve">or will be </w:t>
      </w:r>
      <w:r>
        <w:t xml:space="preserve">adversely affected by a Force Majeure Event, then Project Operator must: </w:t>
      </w:r>
    </w:p>
    <w:p w14:paraId="53074167" w14:textId="3AE5E722" w:rsidR="00985065" w:rsidRDefault="73E595EF" w:rsidP="0058045D">
      <w:pPr>
        <w:pStyle w:val="Heading3"/>
      </w:pPr>
      <w:bookmarkStart w:id="3801" w:name="_Ref104315188"/>
      <w:r>
        <w:t>notify the Commonwealth of the occurrence of the Force Majeure Event as soon as reasonably practicable (and, in any case, no later than 20 Business Days after becoming aware of the commencement of the Force Majeure Event) giving reasonable details of:</w:t>
      </w:r>
      <w:bookmarkEnd w:id="3801"/>
    </w:p>
    <w:p w14:paraId="5864EECC" w14:textId="77777777" w:rsidR="00985065" w:rsidRDefault="2C388DF0" w:rsidP="0058045D">
      <w:pPr>
        <w:pStyle w:val="Heading4"/>
      </w:pPr>
      <w:r>
        <w:t>the circumstances constituting the Force Majeure Event;</w:t>
      </w:r>
    </w:p>
    <w:p w14:paraId="3329F4E8" w14:textId="7D8CF681" w:rsidR="00985065" w:rsidRDefault="2C388DF0" w:rsidP="0058045D">
      <w:pPr>
        <w:pStyle w:val="Heading4"/>
      </w:pPr>
      <w:r>
        <w:t xml:space="preserve">the </w:t>
      </w:r>
      <w:r w:rsidR="00F37E8D">
        <w:t>expected consequences o</w:t>
      </w:r>
      <w:r>
        <w:t xml:space="preserve">f the Force Majeure Event; </w:t>
      </w:r>
    </w:p>
    <w:p w14:paraId="6BA5383A" w14:textId="23D9BC49" w:rsidR="00142B5F" w:rsidRDefault="2C388DF0" w:rsidP="0058045D">
      <w:pPr>
        <w:pStyle w:val="Heading4"/>
      </w:pPr>
      <w:r>
        <w:t>if known, the likely duration of those circumstances and th</w:t>
      </w:r>
      <w:r w:rsidR="00F37E8D">
        <w:t>e consequences</w:t>
      </w:r>
      <w:r>
        <w:t xml:space="preserve">; </w:t>
      </w:r>
      <w:bookmarkStart w:id="3802" w:name="_Ref159335540"/>
      <w:r>
        <w:t>and</w:t>
      </w:r>
      <w:bookmarkEnd w:id="3802"/>
    </w:p>
    <w:p w14:paraId="3C6B0201" w14:textId="0F796E80" w:rsidR="00B1478A" w:rsidRDefault="2C388DF0" w:rsidP="0058045D">
      <w:pPr>
        <w:pStyle w:val="Heading4"/>
      </w:pPr>
      <w:r>
        <w:t>the actions being taken to mitigate the</w:t>
      </w:r>
      <w:r w:rsidR="00F37E8D">
        <w:t xml:space="preserve"> consequences of the</w:t>
      </w:r>
      <w:r>
        <w:t xml:space="preserve"> Force Majeure Event; and </w:t>
      </w:r>
    </w:p>
    <w:p w14:paraId="7038C0CB" w14:textId="7318F516" w:rsidR="00BA23AA" w:rsidRDefault="73E595EF" w:rsidP="0058045D">
      <w:pPr>
        <w:pStyle w:val="Heading3"/>
      </w:pPr>
      <w:r>
        <w:t xml:space="preserve">provide an update to the Commonwealth every two weeks, or </w:t>
      </w:r>
      <w:r w:rsidR="00F37E8D">
        <w:t xml:space="preserve">with </w:t>
      </w:r>
      <w:r>
        <w:t xml:space="preserve">such other frequency as is requested by the Commonwealth, on the </w:t>
      </w:r>
      <w:r w:rsidR="00F37E8D">
        <w:t xml:space="preserve">consequences </w:t>
      </w:r>
      <w:r>
        <w:t>of, and the actions being taken to mitigate, the Force Majeure Event</w:t>
      </w:r>
      <w:bookmarkEnd w:id="3800"/>
      <w:r>
        <w:t>.</w:t>
      </w:r>
    </w:p>
    <w:p w14:paraId="4C49232E" w14:textId="77777777" w:rsidR="00964912" w:rsidRDefault="2C388DF0" w:rsidP="0058045D">
      <w:pPr>
        <w:pStyle w:val="Heading2"/>
      </w:pPr>
      <w:bookmarkStart w:id="3803" w:name="_Toc106290413"/>
      <w:bookmarkStart w:id="3804" w:name="_Toc106290414"/>
      <w:bookmarkStart w:id="3805" w:name="_Toc106290415"/>
      <w:bookmarkStart w:id="3806" w:name="_Toc106290416"/>
      <w:bookmarkStart w:id="3807" w:name="_Toc106290417"/>
      <w:bookmarkStart w:id="3808" w:name="_Toc106290418"/>
      <w:bookmarkStart w:id="3809" w:name="_Toc106290419"/>
      <w:bookmarkStart w:id="3810" w:name="_Toc114579800"/>
      <w:bookmarkStart w:id="3811" w:name="_Toc114579976"/>
      <w:bookmarkStart w:id="3812" w:name="_Toc114580738"/>
      <w:bookmarkStart w:id="3813" w:name="_Toc114579801"/>
      <w:bookmarkStart w:id="3814" w:name="_Toc114579977"/>
      <w:bookmarkStart w:id="3815" w:name="_Toc114580739"/>
      <w:bookmarkStart w:id="3816" w:name="_Toc106290421"/>
      <w:bookmarkStart w:id="3817" w:name="_Toc106290422"/>
      <w:bookmarkStart w:id="3818" w:name="_Ref101362569"/>
      <w:bookmarkStart w:id="3819" w:name="_Ref117153304"/>
      <w:bookmarkStart w:id="3820" w:name="_Ref117153312"/>
      <w:bookmarkStart w:id="3821" w:name="_Toc20730965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r>
        <w:t xml:space="preserve">Suspension </w:t>
      </w:r>
      <w:bookmarkEnd w:id="3818"/>
      <w:r>
        <w:t>of obligations</w:t>
      </w:r>
      <w:bookmarkEnd w:id="3819"/>
      <w:bookmarkEnd w:id="3820"/>
      <w:bookmarkEnd w:id="3821"/>
    </w:p>
    <w:p w14:paraId="2D94DE11" w14:textId="77777777" w:rsidR="004C4A4A" w:rsidRDefault="00552C3B" w:rsidP="00903537">
      <w:pPr>
        <w:pStyle w:val="Indent2"/>
      </w:pPr>
      <w:r>
        <w:t>If</w:t>
      </w:r>
      <w:r w:rsidR="004C4A4A">
        <w:t>:</w:t>
      </w:r>
      <w:r>
        <w:t xml:space="preserve"> </w:t>
      </w:r>
    </w:p>
    <w:p w14:paraId="422C68E5" w14:textId="5C43D50E" w:rsidR="004C4A4A" w:rsidRDefault="00552C3B" w:rsidP="004C4A4A">
      <w:pPr>
        <w:pStyle w:val="Heading3"/>
      </w:pPr>
      <w:r>
        <w:t xml:space="preserve">a Project Force Majeure Event occurs </w:t>
      </w:r>
      <w:r w:rsidR="00F92926">
        <w:t>on or after the Commercial Operations Date</w:t>
      </w:r>
      <w:r w:rsidR="004C4A4A">
        <w:t>;</w:t>
      </w:r>
      <w:r w:rsidR="00F92926">
        <w:t xml:space="preserve"> </w:t>
      </w:r>
    </w:p>
    <w:p w14:paraId="2A985A19" w14:textId="2EF8763C" w:rsidR="004C4A4A" w:rsidRDefault="00411B14" w:rsidP="004C4A4A">
      <w:pPr>
        <w:pStyle w:val="Heading3"/>
      </w:pPr>
      <w:r>
        <w:t>Project Operator</w:t>
      </w:r>
      <w:r w:rsidR="00552C3B">
        <w:t xml:space="preserve"> notifies </w:t>
      </w:r>
      <w:r w:rsidR="00BE77D6" w:rsidRPr="00F92926">
        <w:t>the Commonwealth</w:t>
      </w:r>
      <w:r w:rsidR="00552C3B">
        <w:t xml:space="preserve"> of its occurrence in accordance with clause </w:t>
      </w:r>
      <w:r w:rsidR="00552C3B">
        <w:fldChar w:fldCharType="begin"/>
      </w:r>
      <w:r w:rsidR="00552C3B">
        <w:instrText xml:space="preserve"> REF _Ref101362724 \n \h </w:instrText>
      </w:r>
      <w:r w:rsidR="00552C3B">
        <w:fldChar w:fldCharType="separate"/>
      </w:r>
      <w:r w:rsidR="002E5C6A">
        <w:t>19.3</w:t>
      </w:r>
      <w:r w:rsidR="00552C3B">
        <w:fldChar w:fldCharType="end"/>
      </w:r>
      <w:r w:rsidR="00552C3B">
        <w:t xml:space="preserve"> (“</w:t>
      </w:r>
      <w:r w:rsidR="00552C3B">
        <w:fldChar w:fldCharType="begin"/>
      </w:r>
      <w:r w:rsidR="00552C3B">
        <w:instrText xml:space="preserve"> REF _Ref101362724 \h </w:instrText>
      </w:r>
      <w:r w:rsidR="00552C3B">
        <w:fldChar w:fldCharType="separate"/>
      </w:r>
      <w:r w:rsidR="002E5C6A">
        <w:t>Notification of Force Majeure Event</w:t>
      </w:r>
      <w:r w:rsidR="00552C3B">
        <w:fldChar w:fldCharType="end"/>
      </w:r>
      <w:r w:rsidR="00552C3B">
        <w:t>”)</w:t>
      </w:r>
      <w:r w:rsidR="004C4A4A">
        <w:t>; and</w:t>
      </w:r>
    </w:p>
    <w:p w14:paraId="7D4E4B76" w14:textId="37E2E24A" w:rsidR="004C4A4A" w:rsidRDefault="004C4A4A" w:rsidP="004C4A4A">
      <w:pPr>
        <w:pStyle w:val="Heading3"/>
      </w:pPr>
      <w:r>
        <w:t xml:space="preserve">Project Operator implements the corrective actions proposed in the notice given pursuant to clause </w:t>
      </w:r>
      <w:r>
        <w:fldChar w:fldCharType="begin"/>
      </w:r>
      <w:r>
        <w:instrText xml:space="preserve"> REF _Ref101362724 \n \h </w:instrText>
      </w:r>
      <w:r>
        <w:fldChar w:fldCharType="separate"/>
      </w:r>
      <w:r w:rsidR="002E5C6A">
        <w:t>19.3</w:t>
      </w:r>
      <w:r>
        <w:fldChar w:fldCharType="end"/>
      </w:r>
      <w:r w:rsidR="00827DC9">
        <w:t xml:space="preserve"> (“</w:t>
      </w:r>
      <w:r w:rsidR="00827DC9">
        <w:fldChar w:fldCharType="begin"/>
      </w:r>
      <w:r w:rsidR="00827DC9">
        <w:instrText xml:space="preserve"> REF _Ref101362724 \h </w:instrText>
      </w:r>
      <w:r w:rsidR="00827DC9">
        <w:fldChar w:fldCharType="separate"/>
      </w:r>
      <w:r w:rsidR="002E5C6A">
        <w:t>Notification of Force Majeure Event</w:t>
      </w:r>
      <w:r w:rsidR="00827DC9">
        <w:fldChar w:fldCharType="end"/>
      </w:r>
      <w:r w:rsidR="00827DC9">
        <w:t>”)</w:t>
      </w:r>
      <w:r>
        <w:t xml:space="preserve"> and complies with clause </w:t>
      </w:r>
      <w:r>
        <w:fldChar w:fldCharType="begin"/>
      </w:r>
      <w:r>
        <w:instrText xml:space="preserve"> REF _Ref106197426 \r \h </w:instrText>
      </w:r>
      <w:r>
        <w:fldChar w:fldCharType="separate"/>
      </w:r>
      <w:r w:rsidR="002E5C6A">
        <w:t>19.7</w:t>
      </w:r>
      <w:r>
        <w:fldChar w:fldCharType="end"/>
      </w:r>
      <w:r w:rsidR="00827DC9">
        <w:t xml:space="preserve"> (“</w:t>
      </w:r>
      <w:r w:rsidR="00827DC9">
        <w:fldChar w:fldCharType="begin"/>
      </w:r>
      <w:r w:rsidR="00827DC9">
        <w:instrText xml:space="preserve"> REF _Ref106197426 \h </w:instrText>
      </w:r>
      <w:r w:rsidR="00827DC9">
        <w:fldChar w:fldCharType="separate"/>
      </w:r>
      <w:r w:rsidR="002E5C6A">
        <w:t>Mitigation of Force Majeure Event</w:t>
      </w:r>
      <w:r w:rsidR="00827DC9">
        <w:fldChar w:fldCharType="end"/>
      </w:r>
      <w:r w:rsidR="00827DC9">
        <w:t>”)</w:t>
      </w:r>
      <w:r w:rsidR="00552C3B">
        <w:t xml:space="preserve">, </w:t>
      </w:r>
    </w:p>
    <w:p w14:paraId="04D29688" w14:textId="0B3552E7" w:rsidR="00E145EF" w:rsidRPr="00847C21" w:rsidRDefault="001A4268" w:rsidP="004C4A4A">
      <w:pPr>
        <w:pStyle w:val="Heading3"/>
        <w:numPr>
          <w:ilvl w:val="0"/>
          <w:numId w:val="0"/>
        </w:numPr>
        <w:ind w:left="737"/>
      </w:pPr>
      <w:r>
        <w:t>t</w:t>
      </w:r>
      <w:r w:rsidR="00552C3B">
        <w:t>hen</w:t>
      </w:r>
      <w:r w:rsidR="00F37E8D">
        <w:t xml:space="preserve">, subject to clause </w:t>
      </w:r>
      <w:r w:rsidR="00F37E8D">
        <w:fldChar w:fldCharType="begin"/>
      </w:r>
      <w:r w:rsidR="00F37E8D">
        <w:instrText xml:space="preserve"> REF _Ref205754010 \r \h </w:instrText>
      </w:r>
      <w:r w:rsidR="00F37E8D">
        <w:fldChar w:fldCharType="separate"/>
      </w:r>
      <w:r w:rsidR="002E5C6A">
        <w:t>19.5</w:t>
      </w:r>
      <w:r w:rsidR="00F37E8D">
        <w:fldChar w:fldCharType="end"/>
      </w:r>
      <w:r w:rsidR="00F37E8D">
        <w:t xml:space="preserve"> (“</w:t>
      </w:r>
      <w:r w:rsidR="00F37E8D">
        <w:fldChar w:fldCharType="begin"/>
      </w:r>
      <w:r w:rsidR="00F37E8D">
        <w:instrText xml:space="preserve"> REF _Ref205754010 \h </w:instrText>
      </w:r>
      <w:r w:rsidR="00F37E8D">
        <w:fldChar w:fldCharType="separate"/>
      </w:r>
      <w:r w:rsidR="002E5C6A">
        <w:t>Accrued rights and obligations</w:t>
      </w:r>
      <w:r w:rsidR="00F37E8D">
        <w:fldChar w:fldCharType="end"/>
      </w:r>
      <w:r w:rsidR="00F37E8D">
        <w:t>”)</w:t>
      </w:r>
      <w:bookmarkStart w:id="3822" w:name="_Ref105677980"/>
      <w:r w:rsidR="00D41DD7">
        <w:t xml:space="preserve"> </w:t>
      </w:r>
      <w:r w:rsidR="00552C3B">
        <w:t>t</w:t>
      </w:r>
      <w:r w:rsidR="00964912">
        <w:t xml:space="preserve">he rights and obligations of </w:t>
      </w:r>
      <w:r w:rsidR="00411B14">
        <w:t>Project Operator</w:t>
      </w:r>
      <w:r w:rsidR="00964912">
        <w:t xml:space="preserve"> under this agreement (other than </w:t>
      </w:r>
      <w:r w:rsidR="00D5359F">
        <w:t xml:space="preserve">rights and </w:t>
      </w:r>
      <w:r w:rsidR="00964912">
        <w:t xml:space="preserve">obligations to pay </w:t>
      </w:r>
      <w:r w:rsidR="00D5359F">
        <w:t xml:space="preserve">or receive </w:t>
      </w:r>
      <w:r w:rsidR="00964912">
        <w:t xml:space="preserve">any amounts of money accrued or due and </w:t>
      </w:r>
      <w:r w:rsidR="00964912" w:rsidRPr="00847C21">
        <w:t xml:space="preserve">payable or </w:t>
      </w:r>
      <w:r w:rsidR="006A3B3C" w:rsidRPr="00847C21">
        <w:t xml:space="preserve">that </w:t>
      </w:r>
      <w:r w:rsidR="00964912" w:rsidRPr="00847C21">
        <w:t>will become due and payable under this agreement) will be suspended</w:t>
      </w:r>
      <w:r w:rsidR="00E145EF" w:rsidRPr="00847C21">
        <w:t>:</w:t>
      </w:r>
    </w:p>
    <w:p w14:paraId="2282DDE1" w14:textId="64233C94" w:rsidR="00E145EF" w:rsidRPr="00847C21" w:rsidRDefault="00964912" w:rsidP="00E145EF">
      <w:pPr>
        <w:pStyle w:val="Heading3"/>
      </w:pPr>
      <w:r w:rsidRPr="00847C21">
        <w:t xml:space="preserve">to the extent </w:t>
      </w:r>
      <w:r w:rsidR="00E145EF" w:rsidRPr="00847C21">
        <w:t xml:space="preserve">that </w:t>
      </w:r>
      <w:r w:rsidRPr="00847C21">
        <w:t xml:space="preserve">the ability of </w:t>
      </w:r>
      <w:r w:rsidR="00411B14" w:rsidRPr="00847C21">
        <w:t>Project Operator</w:t>
      </w:r>
      <w:r w:rsidRPr="00847C21">
        <w:t xml:space="preserve"> to </w:t>
      </w:r>
      <w:r w:rsidR="00D52511" w:rsidRPr="00847C21">
        <w:t xml:space="preserve">exercise such rights or </w:t>
      </w:r>
      <w:r w:rsidRPr="00847C21">
        <w:t xml:space="preserve">perform </w:t>
      </w:r>
      <w:r w:rsidR="00CF02FC" w:rsidRPr="00847C21">
        <w:t xml:space="preserve">such </w:t>
      </w:r>
      <w:r w:rsidRPr="00847C21">
        <w:t xml:space="preserve">obligations is </w:t>
      </w:r>
      <w:r w:rsidR="00142B5F" w:rsidRPr="00847C21">
        <w:t xml:space="preserve">exclusively </w:t>
      </w:r>
      <w:r w:rsidR="003960DE" w:rsidRPr="00847C21">
        <w:t xml:space="preserve">adversely </w:t>
      </w:r>
      <w:r w:rsidRPr="00847C21">
        <w:t>affected by the Project Force Majeure Event</w:t>
      </w:r>
      <w:r w:rsidR="00F37E8D">
        <w:t>;</w:t>
      </w:r>
      <w:r w:rsidR="00E145EF" w:rsidRPr="00847C21">
        <w:t xml:space="preserve"> but</w:t>
      </w:r>
    </w:p>
    <w:p w14:paraId="2CD78A3B" w14:textId="6F4CC1FA" w:rsidR="00903537" w:rsidRDefault="00142B5F" w:rsidP="008F660B">
      <w:pPr>
        <w:pStyle w:val="Heading3"/>
        <w:numPr>
          <w:ilvl w:val="2"/>
          <w:numId w:val="84"/>
        </w:numPr>
      </w:pPr>
      <w:r w:rsidRPr="00847C21">
        <w:t>not including any concurrent impediments to performance caused by any other events</w:t>
      </w:r>
      <w:r w:rsidR="004A125D" w:rsidRPr="00847C21">
        <w:t xml:space="preserve"> (</w:t>
      </w:r>
      <w:r w:rsidR="00B9288A" w:rsidRPr="00847C21">
        <w:t>“</w:t>
      </w:r>
      <w:r w:rsidR="004A125D" w:rsidRPr="00847C21">
        <w:rPr>
          <w:b/>
          <w:bCs/>
        </w:rPr>
        <w:t>Concurrent Delay</w:t>
      </w:r>
      <w:r w:rsidR="00B9288A" w:rsidRPr="00847C21">
        <w:t>”</w:t>
      </w:r>
      <w:r w:rsidR="004A125D" w:rsidRPr="00847C21">
        <w:t xml:space="preserve">) unless the Commonwealth determines </w:t>
      </w:r>
      <w:r w:rsidR="00D52511" w:rsidRPr="00847C21">
        <w:t xml:space="preserve">(in its absolute discretion) </w:t>
      </w:r>
      <w:r w:rsidR="004A125D" w:rsidRPr="00847C21">
        <w:t>and advises Project Operator</w:t>
      </w:r>
      <w:r w:rsidR="00E145EF" w:rsidRPr="00847C21">
        <w:t xml:space="preserve"> in writing</w:t>
      </w:r>
      <w:r w:rsidR="004A125D" w:rsidRPr="00847C21">
        <w:t xml:space="preserve"> that it will allow the suspension of the rights and obligations of Project Operator</w:t>
      </w:r>
      <w:r w:rsidR="004A125D">
        <w:t xml:space="preserve"> under this agreement, in whole or in part, despite </w:t>
      </w:r>
      <w:r w:rsidR="00F7538D">
        <w:t>t</w:t>
      </w:r>
      <w:r w:rsidR="004A125D">
        <w:t>he Concurrent Delay</w:t>
      </w:r>
      <w:r w:rsidRPr="00434E70">
        <w:t>)</w:t>
      </w:r>
      <w:r w:rsidR="00903537">
        <w:t>.</w:t>
      </w:r>
    </w:p>
    <w:p w14:paraId="63DED033" w14:textId="77777777" w:rsidR="00964912" w:rsidRDefault="2C388DF0" w:rsidP="0058045D">
      <w:pPr>
        <w:pStyle w:val="Heading2"/>
      </w:pPr>
      <w:bookmarkStart w:id="3823" w:name="_Toc106290424"/>
      <w:bookmarkStart w:id="3824" w:name="_Ref205754010"/>
      <w:bookmarkStart w:id="3825" w:name="_Toc207309653"/>
      <w:bookmarkEnd w:id="3822"/>
      <w:bookmarkEnd w:id="3823"/>
      <w:r>
        <w:t>Accrued rights and obligations</w:t>
      </w:r>
      <w:bookmarkEnd w:id="3824"/>
      <w:bookmarkEnd w:id="3825"/>
    </w:p>
    <w:p w14:paraId="75E61B67" w14:textId="3442CAF0" w:rsidR="00964912" w:rsidRDefault="00CF02FC" w:rsidP="00964912">
      <w:pPr>
        <w:pStyle w:val="Indent2"/>
      </w:pPr>
      <w:r>
        <w:t>Any s</w:t>
      </w:r>
      <w:r w:rsidR="00964912">
        <w:t>uspension of</w:t>
      </w:r>
      <w:r w:rsidR="00D52511">
        <w:t xml:space="preserve"> rights or</w:t>
      </w:r>
      <w:r w:rsidR="00964912">
        <w:t xml:space="preserve"> obligations pursuant to clause </w:t>
      </w:r>
      <w:r w:rsidR="00532F4E">
        <w:fldChar w:fldCharType="begin"/>
      </w:r>
      <w:r w:rsidR="00532F4E">
        <w:instrText xml:space="preserve"> REF _Ref101362569 \w \h </w:instrText>
      </w:r>
      <w:r w:rsidR="00532F4E">
        <w:fldChar w:fldCharType="separate"/>
      </w:r>
      <w:r w:rsidR="002E5C6A">
        <w:t>19.4</w:t>
      </w:r>
      <w:r w:rsidR="00532F4E">
        <w:fldChar w:fldCharType="end"/>
      </w:r>
      <w:r w:rsidR="00532F4E">
        <w:t xml:space="preserve"> (“</w:t>
      </w:r>
      <w:r w:rsidR="00C019A0">
        <w:fldChar w:fldCharType="begin"/>
      </w:r>
      <w:r w:rsidR="00C019A0">
        <w:instrText xml:space="preserve"> REF _Ref117153312 \h </w:instrText>
      </w:r>
      <w:r w:rsidR="00C019A0">
        <w:fldChar w:fldCharType="separate"/>
      </w:r>
      <w:r w:rsidR="002E5C6A">
        <w:t>Suspension of obligations</w:t>
      </w:r>
      <w:r w:rsidR="00C019A0">
        <w:fldChar w:fldCharType="end"/>
      </w:r>
      <w:r w:rsidR="00532F4E">
        <w:t>”)</w:t>
      </w:r>
      <w:r w:rsidR="00964912">
        <w:t xml:space="preserve"> will not affect any rights or obligations </w:t>
      </w:r>
      <w:r w:rsidR="006A3B3C">
        <w:t xml:space="preserve">that </w:t>
      </w:r>
      <w:r w:rsidR="00964912">
        <w:t xml:space="preserve">may have accrued prior to the suspension or, if the Project Force Majeure Event affects only some obligations, any other rights or obligations of </w:t>
      </w:r>
      <w:r w:rsidR="00411B14">
        <w:t>Project Operator</w:t>
      </w:r>
      <w:r w:rsidR="00964912">
        <w:t>.</w:t>
      </w:r>
    </w:p>
    <w:p w14:paraId="17B62752" w14:textId="77777777" w:rsidR="00964912" w:rsidRPr="0058485F" w:rsidRDefault="2C388DF0" w:rsidP="00AF145F">
      <w:pPr>
        <w:pStyle w:val="Heading2"/>
      </w:pPr>
      <w:bookmarkStart w:id="3826" w:name="_Toc159345885"/>
      <w:bookmarkStart w:id="3827" w:name="_Toc159412068"/>
      <w:bookmarkStart w:id="3828" w:name="_Toc207309654"/>
      <w:r>
        <w:t>Extension of time</w:t>
      </w:r>
      <w:bookmarkEnd w:id="3826"/>
      <w:bookmarkEnd w:id="3827"/>
      <w:bookmarkEnd w:id="3828"/>
    </w:p>
    <w:p w14:paraId="3A945646" w14:textId="77777777" w:rsidR="004C4A4A" w:rsidRDefault="003226E2" w:rsidP="00AF145F">
      <w:pPr>
        <w:pStyle w:val="Indent2"/>
        <w:keepNext/>
      </w:pPr>
      <w:r>
        <w:t>If</w:t>
      </w:r>
      <w:r w:rsidR="004C4A4A">
        <w:t>:</w:t>
      </w:r>
      <w:r>
        <w:t xml:space="preserve"> </w:t>
      </w:r>
    </w:p>
    <w:p w14:paraId="11BEF885" w14:textId="0D66223E" w:rsidR="004C4A4A" w:rsidRDefault="003226E2" w:rsidP="004C4A4A">
      <w:pPr>
        <w:pStyle w:val="Heading3"/>
      </w:pPr>
      <w:r>
        <w:t>a Project Force Majeure Event occurs on or after the Commercial Operations Date</w:t>
      </w:r>
      <w:r w:rsidR="004C4A4A">
        <w:t>;</w:t>
      </w:r>
      <w:r w:rsidRPr="003226E2">
        <w:t xml:space="preserve"> </w:t>
      </w:r>
    </w:p>
    <w:p w14:paraId="53BB2E01" w14:textId="440E4ED8" w:rsidR="004C4A4A" w:rsidRDefault="003226E2" w:rsidP="004C4A4A">
      <w:pPr>
        <w:pStyle w:val="Heading3"/>
      </w:pPr>
      <w:r>
        <w:t xml:space="preserve">Project Operator notifies </w:t>
      </w:r>
      <w:r w:rsidRPr="00F92926">
        <w:t>the Commonwealth</w:t>
      </w:r>
      <w:r>
        <w:t xml:space="preserve"> of its occurrence in accordance with clause </w:t>
      </w:r>
      <w:r>
        <w:fldChar w:fldCharType="begin"/>
      </w:r>
      <w:r>
        <w:instrText xml:space="preserve"> REF _Ref101362724 \n \h </w:instrText>
      </w:r>
      <w:r>
        <w:fldChar w:fldCharType="separate"/>
      </w:r>
      <w:r w:rsidR="002E5C6A">
        <w:t>19.3</w:t>
      </w:r>
      <w:r>
        <w:fldChar w:fldCharType="end"/>
      </w:r>
      <w:r>
        <w:t xml:space="preserve"> (“</w:t>
      </w:r>
      <w:r>
        <w:fldChar w:fldCharType="begin"/>
      </w:r>
      <w:r>
        <w:instrText xml:space="preserve"> REF _Ref101362724 \h </w:instrText>
      </w:r>
      <w:r>
        <w:fldChar w:fldCharType="separate"/>
      </w:r>
      <w:r w:rsidR="002E5C6A">
        <w:t>Notification of Force Majeure Event</w:t>
      </w:r>
      <w:r>
        <w:fldChar w:fldCharType="end"/>
      </w:r>
      <w:r>
        <w:t>”)</w:t>
      </w:r>
      <w:r w:rsidR="004C4A4A">
        <w:t>; and</w:t>
      </w:r>
    </w:p>
    <w:p w14:paraId="7A917758" w14:textId="02032D9E" w:rsidR="004C4A4A" w:rsidRDefault="004C4A4A" w:rsidP="004C4A4A">
      <w:pPr>
        <w:pStyle w:val="Heading3"/>
      </w:pPr>
      <w:r>
        <w:t xml:space="preserve">Project Operator implements the corrective actions proposed in the notice given pursuant to clause </w:t>
      </w:r>
      <w:r>
        <w:fldChar w:fldCharType="begin"/>
      </w:r>
      <w:r>
        <w:instrText xml:space="preserve"> REF _Ref101362724 \n \h </w:instrText>
      </w:r>
      <w:r>
        <w:fldChar w:fldCharType="separate"/>
      </w:r>
      <w:r w:rsidR="002E5C6A">
        <w:t>19.3</w:t>
      </w:r>
      <w:r>
        <w:fldChar w:fldCharType="end"/>
      </w:r>
      <w:r>
        <w:t xml:space="preserve"> and complies with clause </w:t>
      </w:r>
      <w:r>
        <w:fldChar w:fldCharType="begin"/>
      </w:r>
      <w:r>
        <w:instrText xml:space="preserve"> REF _Ref106197426 \r \h </w:instrText>
      </w:r>
      <w:r>
        <w:fldChar w:fldCharType="separate"/>
      </w:r>
      <w:r w:rsidR="002E5C6A">
        <w:t>19.7</w:t>
      </w:r>
      <w:r>
        <w:fldChar w:fldCharType="end"/>
      </w:r>
      <w:r w:rsidR="003226E2">
        <w:t xml:space="preserve">, </w:t>
      </w:r>
    </w:p>
    <w:p w14:paraId="2E02C956" w14:textId="4843C37D" w:rsidR="00E145EF" w:rsidRDefault="003226E2" w:rsidP="004C4A4A">
      <w:pPr>
        <w:pStyle w:val="Heading3"/>
        <w:numPr>
          <w:ilvl w:val="0"/>
          <w:numId w:val="0"/>
        </w:numPr>
        <w:ind w:left="737"/>
      </w:pPr>
      <w:r>
        <w:t>then</w:t>
      </w:r>
      <w:r w:rsidR="006A3B3C">
        <w:t>,</w:t>
      </w:r>
      <w:r>
        <w:t xml:space="preserve"> w</w:t>
      </w:r>
      <w:r w:rsidR="00964912" w:rsidRPr="0058485F" w:rsidDel="00541A86">
        <w:t>ithout limiting clause </w:t>
      </w:r>
      <w:r w:rsidR="00532F4E" w:rsidDel="00541A86">
        <w:fldChar w:fldCharType="begin"/>
      </w:r>
      <w:r w:rsidR="00532F4E" w:rsidDel="00541A86">
        <w:instrText xml:space="preserve"> REF _Ref101362569 \w \h </w:instrText>
      </w:r>
      <w:r w:rsidR="00532F4E" w:rsidDel="00541A86">
        <w:fldChar w:fldCharType="separate"/>
      </w:r>
      <w:r w:rsidR="002E5C6A">
        <w:t>19.4</w:t>
      </w:r>
      <w:r w:rsidR="00532F4E" w:rsidDel="00541A86">
        <w:fldChar w:fldCharType="end"/>
      </w:r>
      <w:r w:rsidR="00532F4E" w:rsidDel="00541A86">
        <w:t xml:space="preserve"> (“</w:t>
      </w:r>
      <w:r w:rsidR="00C019A0" w:rsidDel="00541A86">
        <w:fldChar w:fldCharType="begin"/>
      </w:r>
      <w:r w:rsidR="00C019A0" w:rsidDel="00541A86">
        <w:instrText xml:space="preserve"> REF _Ref117153304 \h </w:instrText>
      </w:r>
      <w:r w:rsidR="00C019A0" w:rsidDel="00541A86">
        <w:fldChar w:fldCharType="separate"/>
      </w:r>
      <w:r w:rsidR="002E5C6A">
        <w:t>Suspension of obligations</w:t>
      </w:r>
      <w:r w:rsidR="00C019A0" w:rsidDel="00541A86">
        <w:fldChar w:fldCharType="end"/>
      </w:r>
      <w:r w:rsidR="00532F4E" w:rsidDel="00541A86">
        <w:t>”)</w:t>
      </w:r>
      <w:r w:rsidR="00964912" w:rsidRPr="0058485F" w:rsidDel="00541A86">
        <w:t xml:space="preserve">, if this agreement requires an obligation to be performed or a thing to be achieved by a specified date, </w:t>
      </w:r>
      <w:r w:rsidR="00964912" w:rsidRPr="00DC7FCB" w:rsidDel="00541A86">
        <w:t>the applicable date will be extended</w:t>
      </w:r>
      <w:r w:rsidR="00E145EF">
        <w:t>:</w:t>
      </w:r>
    </w:p>
    <w:p w14:paraId="55F77A71" w14:textId="1D89C076" w:rsidR="00E145EF" w:rsidRDefault="00141110" w:rsidP="00E145EF">
      <w:pPr>
        <w:pStyle w:val="Heading3"/>
      </w:pPr>
      <w:r w:rsidRPr="00DC7FCB" w:rsidDel="00541A86">
        <w:t xml:space="preserve">to the extent that the </w:t>
      </w:r>
      <w:r w:rsidDel="00541A86">
        <w:t xml:space="preserve">Project </w:t>
      </w:r>
      <w:r w:rsidRPr="00DC7FCB" w:rsidDel="00541A86">
        <w:t xml:space="preserve">Force Majeure Event </w:t>
      </w:r>
      <w:r w:rsidR="00B45E94">
        <w:t xml:space="preserve">exclusively </w:t>
      </w:r>
      <w:r w:rsidRPr="00DC7FCB" w:rsidDel="00541A86">
        <w:t xml:space="preserve">causes </w:t>
      </w:r>
      <w:r w:rsidR="00D52511">
        <w:t>an una</w:t>
      </w:r>
      <w:r w:rsidR="00D52511" w:rsidRPr="00847C21">
        <w:t>voidable</w:t>
      </w:r>
      <w:r w:rsidRPr="00847C21" w:rsidDel="00541A86">
        <w:t xml:space="preserve"> delay in that obligation being performed or thing being achieved</w:t>
      </w:r>
      <w:r w:rsidR="00E145EF" w:rsidRPr="00847C21">
        <w:t>;</w:t>
      </w:r>
      <w:r w:rsidR="00B45E94" w:rsidRPr="00847C21">
        <w:t xml:space="preserve"> and</w:t>
      </w:r>
    </w:p>
    <w:p w14:paraId="75B84B44" w14:textId="48A93F6A" w:rsidR="00E145EF" w:rsidRDefault="00B45E94" w:rsidP="00E145EF">
      <w:pPr>
        <w:pStyle w:val="Heading3"/>
      </w:pPr>
      <w:r w:rsidRPr="00434E70">
        <w:t xml:space="preserve">not including any </w:t>
      </w:r>
      <w:r w:rsidR="004A125D">
        <w:t>C</w:t>
      </w:r>
      <w:r w:rsidRPr="00434E70">
        <w:t xml:space="preserve">oncurrent </w:t>
      </w:r>
      <w:r w:rsidR="004A125D">
        <w:t>D</w:t>
      </w:r>
      <w:r w:rsidRPr="00434E70">
        <w:t xml:space="preserve">elay </w:t>
      </w:r>
      <w:r w:rsidR="004A125D">
        <w:t xml:space="preserve">unless the Commonwealth determines </w:t>
      </w:r>
      <w:r w:rsidR="00D52511">
        <w:t xml:space="preserve">(in its absolute discretion) </w:t>
      </w:r>
      <w:r w:rsidR="004A125D">
        <w:t>and advises Project Operator that it will allow the extension of an applicable date, in whole or in part, despite the Concurrent Delay</w:t>
      </w:r>
      <w:r w:rsidRPr="00434E70">
        <w:t>)</w:t>
      </w:r>
      <w:r w:rsidR="00141110" w:rsidDel="00541A86">
        <w:t>,</w:t>
      </w:r>
    </w:p>
    <w:p w14:paraId="420F33A7" w14:textId="5C62D806" w:rsidR="00964912" w:rsidDel="00541A86" w:rsidRDefault="00141110" w:rsidP="00E145EF">
      <w:pPr>
        <w:pStyle w:val="Heading3"/>
        <w:numPr>
          <w:ilvl w:val="0"/>
          <w:numId w:val="0"/>
        </w:numPr>
        <w:ind w:left="737"/>
      </w:pPr>
      <w:r w:rsidRPr="0058485F" w:rsidDel="00541A86">
        <w:t>provided that</w:t>
      </w:r>
      <w:r w:rsidR="006A3B3C">
        <w:t>,</w:t>
      </w:r>
      <w:r w:rsidRPr="0058485F" w:rsidDel="00541A86">
        <w:t xml:space="preserve"> at the time of providing notice pursuant to clause </w:t>
      </w:r>
      <w:r w:rsidR="008304C5" w:rsidDel="00541A86">
        <w:fldChar w:fldCharType="begin"/>
      </w:r>
      <w:r w:rsidR="008304C5" w:rsidDel="00541A86">
        <w:instrText xml:space="preserve"> REF _Ref101362724 \n \h </w:instrText>
      </w:r>
      <w:r w:rsidR="00E145EF">
        <w:instrText xml:space="preserve"> \* MERGEFORMAT </w:instrText>
      </w:r>
      <w:r w:rsidR="008304C5" w:rsidDel="00541A86">
        <w:fldChar w:fldCharType="separate"/>
      </w:r>
      <w:r w:rsidR="002E5C6A">
        <w:t>19.3</w:t>
      </w:r>
      <w:r w:rsidR="008304C5" w:rsidDel="00541A86">
        <w:fldChar w:fldCharType="end"/>
      </w:r>
      <w:r w:rsidDel="00541A86">
        <w:t xml:space="preserve"> (“</w:t>
      </w:r>
      <w:r w:rsidDel="00541A86">
        <w:fldChar w:fldCharType="begin"/>
      </w:r>
      <w:r w:rsidDel="00541A86">
        <w:instrText xml:space="preserve">  REF _Ref101362724 \h </w:instrText>
      </w:r>
      <w:r w:rsidR="00E145EF">
        <w:instrText xml:space="preserve"> \* MERGEFORMAT </w:instrText>
      </w:r>
      <w:r w:rsidDel="00541A86">
        <w:fldChar w:fldCharType="separate"/>
      </w:r>
      <w:r w:rsidR="002E5C6A">
        <w:t>Notification of Force Majeure Event</w:t>
      </w:r>
      <w:r w:rsidDel="00541A86">
        <w:fldChar w:fldCharType="end"/>
      </w:r>
      <w:r w:rsidDel="00541A86">
        <w:t>”)</w:t>
      </w:r>
      <w:r w:rsidR="003226E2">
        <w:t>,</w:t>
      </w:r>
      <w:r w:rsidRPr="0058485F" w:rsidDel="00541A86">
        <w:t xml:space="preserve"> </w:t>
      </w:r>
      <w:r w:rsidR="003226E2">
        <w:t>Project</w:t>
      </w:r>
      <w:r w:rsidDel="00541A86">
        <w:t xml:space="preserve"> Operator </w:t>
      </w:r>
      <w:r w:rsidRPr="0058485F" w:rsidDel="00541A86">
        <w:t>has also provided detail</w:t>
      </w:r>
      <w:r w:rsidR="00B80653" w:rsidDel="00541A86">
        <w:t>s</w:t>
      </w:r>
      <w:r w:rsidRPr="0058485F" w:rsidDel="00541A86">
        <w:t xml:space="preserve"> of any expected delays </w:t>
      </w:r>
      <w:r w:rsidR="00D52511">
        <w:t xml:space="preserve">that were known to Project Operator at the time </w:t>
      </w:r>
      <w:r w:rsidRPr="0058485F" w:rsidDel="00541A86">
        <w:t xml:space="preserve">and </w:t>
      </w:r>
      <w:r w:rsidR="00242719" w:rsidDel="00541A86">
        <w:t>its</w:t>
      </w:r>
      <w:r w:rsidR="00242719" w:rsidRPr="0058485F" w:rsidDel="00541A86">
        <w:t xml:space="preserve"> </w:t>
      </w:r>
      <w:r w:rsidRPr="0058485F" w:rsidDel="00541A86">
        <w:t>proposed corrective actions to overcome those delays</w:t>
      </w:r>
      <w:r w:rsidR="00964912" w:rsidRPr="00DC7FCB" w:rsidDel="00541A86">
        <w:t>.</w:t>
      </w:r>
      <w:r w:rsidR="00964912" w:rsidDel="00541A86">
        <w:t xml:space="preserve"> </w:t>
      </w:r>
    </w:p>
    <w:p w14:paraId="5C3D76B7" w14:textId="2C8C382F" w:rsidR="00156056" w:rsidRDefault="73E595EF" w:rsidP="0058045D">
      <w:pPr>
        <w:pStyle w:val="Heading2"/>
      </w:pPr>
      <w:bookmarkStart w:id="3829" w:name="_Ref106197426"/>
      <w:bookmarkStart w:id="3830" w:name="_Toc207309655"/>
      <w:r>
        <w:t>Mitigation of Force Majeure Event</w:t>
      </w:r>
      <w:bookmarkEnd w:id="3829"/>
      <w:bookmarkEnd w:id="3830"/>
    </w:p>
    <w:p w14:paraId="3D003DA5" w14:textId="3B5BF98C" w:rsidR="00DB1848" w:rsidRDefault="73E595EF" w:rsidP="00A44640">
      <w:pPr>
        <w:pStyle w:val="Heading3"/>
      </w:pPr>
      <w:bookmarkStart w:id="3831" w:name="_Ref206494370"/>
      <w:r>
        <w:t>If the performance by Project Operator o</w:t>
      </w:r>
      <w:r w:rsidR="00E145EF">
        <w:t>f</w:t>
      </w:r>
      <w:r>
        <w:t xml:space="preserve"> its obligation</w:t>
      </w:r>
      <w:r w:rsidR="00E145EF">
        <w:t>s</w:t>
      </w:r>
      <w:r>
        <w:t xml:space="preserve"> under this agreement or the operation of the Project are </w:t>
      </w:r>
      <w:r w:rsidR="002B7FD1">
        <w:t xml:space="preserve">or will be </w:t>
      </w:r>
      <w:r>
        <w:t>adversely affected by a Force Majeure Event, then Project Operator must use its best endeavours (including by incurring reasonable costs) to mitigate the effect of that Force Majeure Event upon the Project and Project Operator’s performance of its obligations under this agreement as soon as is reasonably practicable.</w:t>
      </w:r>
      <w:bookmarkEnd w:id="3831"/>
    </w:p>
    <w:p w14:paraId="6AD2975A" w14:textId="3D76456C" w:rsidR="000071AD" w:rsidRPr="001111E7" w:rsidRDefault="000071AD" w:rsidP="00A44640">
      <w:pPr>
        <w:pStyle w:val="Heading3"/>
      </w:pPr>
      <w:r>
        <w:t xml:space="preserve">Without </w:t>
      </w:r>
      <w:r w:rsidR="002005FF">
        <w:t xml:space="preserve">limitation to </w:t>
      </w:r>
      <w:r>
        <w:t xml:space="preserve">Project Operator’s obligation </w:t>
      </w:r>
      <w:r w:rsidR="002005FF">
        <w:t xml:space="preserve">in </w:t>
      </w:r>
      <w:r>
        <w:fldChar w:fldCharType="begin"/>
      </w:r>
      <w:r>
        <w:instrText xml:space="preserve"> REF _Ref106197426 \r \h </w:instrText>
      </w:r>
      <w:r>
        <w:fldChar w:fldCharType="separate"/>
      </w:r>
      <w:r w:rsidR="002E5C6A">
        <w:t>19.7</w:t>
      </w:r>
      <w:r>
        <w:fldChar w:fldCharType="end"/>
      </w:r>
      <w:r w:rsidR="002005FF">
        <w:fldChar w:fldCharType="begin"/>
      </w:r>
      <w:r w:rsidR="002005FF">
        <w:instrText xml:space="preserve"> REF _Ref206494370 \r \h </w:instrText>
      </w:r>
      <w:r w:rsidR="002005FF">
        <w:fldChar w:fldCharType="separate"/>
      </w:r>
      <w:r w:rsidR="002E5C6A">
        <w:t>(a)</w:t>
      </w:r>
      <w:r w:rsidR="002005FF">
        <w:fldChar w:fldCharType="end"/>
      </w:r>
      <w:r w:rsidR="002005FF">
        <w:t xml:space="preserve"> to mitigate the effect of a Project Force Majeure Event on the Project and Project Operator’s performance of its obligations under this agreement, </w:t>
      </w:r>
      <w:r>
        <w:t>during a Force Majeure Event</w:t>
      </w:r>
      <w:r w:rsidR="00386AF5">
        <w:t>,</w:t>
      </w:r>
      <w:r>
        <w:t xml:space="preserve"> Project Operator must use reasonable endeavours to minimise the amount of any payments payable by the Commonwealth </w:t>
      </w:r>
      <w:r w:rsidR="003A28FC">
        <w:t xml:space="preserve">pursuant </w:t>
      </w:r>
      <w:r>
        <w:t>to</w:t>
      </w:r>
      <w:r w:rsidR="003A28FC">
        <w:t xml:space="preserve"> </w:t>
      </w:r>
      <w:r w:rsidR="003A28FC">
        <w:fldChar w:fldCharType="begin"/>
      </w:r>
      <w:r w:rsidR="003A28FC">
        <w:instrText xml:space="preserve"> REF _Ref103257737 \r \h </w:instrText>
      </w:r>
      <w:r w:rsidR="003A28FC">
        <w:fldChar w:fldCharType="separate"/>
      </w:r>
      <w:r w:rsidR="002E5C6A">
        <w:t>Schedule 1</w:t>
      </w:r>
      <w:r w:rsidR="003A28FC">
        <w:fldChar w:fldCharType="end"/>
      </w:r>
      <w:r>
        <w:t>.</w:t>
      </w:r>
    </w:p>
    <w:p w14:paraId="4D49C3C0" w14:textId="77777777" w:rsidR="00EA16FE" w:rsidRPr="00EA16FE" w:rsidRDefault="2BC382E4" w:rsidP="001A4268">
      <w:pPr>
        <w:pStyle w:val="Heading1"/>
      </w:pPr>
      <w:bookmarkStart w:id="3832" w:name="_Toc170215546"/>
      <w:bookmarkStart w:id="3833" w:name="_Toc170217508"/>
      <w:bookmarkStart w:id="3834" w:name="_Toc207309656"/>
      <w:bookmarkEnd w:id="3832"/>
      <w:bookmarkEnd w:id="3833"/>
      <w:r>
        <w:t>Major Casualty Event</w:t>
      </w:r>
      <w:bookmarkEnd w:id="3834"/>
    </w:p>
    <w:p w14:paraId="21E76A4E" w14:textId="77777777" w:rsidR="00964912" w:rsidRPr="00117211" w:rsidRDefault="2C388DF0" w:rsidP="001A4268">
      <w:pPr>
        <w:pStyle w:val="Heading2"/>
      </w:pPr>
      <w:bookmarkStart w:id="3835" w:name="_Ref104279559"/>
      <w:bookmarkStart w:id="3836" w:name="_Ref104279575"/>
      <w:bookmarkStart w:id="3837" w:name="_Ref104280865"/>
      <w:bookmarkStart w:id="3838" w:name="_Ref104280877"/>
      <w:bookmarkStart w:id="3839" w:name="_Ref104291938"/>
      <w:bookmarkStart w:id="3840" w:name="_Toc207309657"/>
      <w:r>
        <w:t>Major Casualty Event</w:t>
      </w:r>
      <w:bookmarkEnd w:id="3835"/>
      <w:bookmarkEnd w:id="3836"/>
      <w:bookmarkEnd w:id="3837"/>
      <w:bookmarkEnd w:id="3838"/>
      <w:bookmarkEnd w:id="3839"/>
      <w:bookmarkEnd w:id="3840"/>
    </w:p>
    <w:p w14:paraId="45E5E5BD" w14:textId="77777777" w:rsidR="00661EA0" w:rsidRDefault="00964912" w:rsidP="001A4268">
      <w:pPr>
        <w:pStyle w:val="Indent2"/>
        <w:keepNext/>
      </w:pPr>
      <w:r w:rsidRPr="00117211">
        <w:rPr>
          <w:szCs w:val="18"/>
        </w:rPr>
        <w:t>If a Major Casualty Event occurs, then</w:t>
      </w:r>
      <w:r w:rsidRPr="00117211">
        <w:t xml:space="preserve"> </w:t>
      </w:r>
      <w:r w:rsidR="00411B14">
        <w:t>Project Operator</w:t>
      </w:r>
      <w:r w:rsidRPr="00117211">
        <w:t xml:space="preserve"> must </w:t>
      </w:r>
      <w:r w:rsidR="00661EA0" w:rsidRPr="00305886">
        <w:t xml:space="preserve">provide </w:t>
      </w:r>
      <w:r w:rsidR="00B45E94">
        <w:t xml:space="preserve">to </w:t>
      </w:r>
      <w:r w:rsidR="00BE77D6" w:rsidRPr="00305886">
        <w:t>the Commonwealth</w:t>
      </w:r>
      <w:r w:rsidR="00661EA0">
        <w:t xml:space="preserve"> either:</w:t>
      </w:r>
    </w:p>
    <w:p w14:paraId="1FAB4E5E" w14:textId="77777777" w:rsidR="00661EA0" w:rsidRDefault="2C388DF0" w:rsidP="0058045D">
      <w:pPr>
        <w:pStyle w:val="Heading3"/>
      </w:pPr>
      <w:bookmarkStart w:id="3841" w:name="_Ref104291930"/>
      <w:r>
        <w:t>a notice that Project Operator elects to reinstate the Project (“</w:t>
      </w:r>
      <w:r w:rsidRPr="2C388DF0">
        <w:rPr>
          <w:b/>
          <w:bCs/>
        </w:rPr>
        <w:t>Election to Reinstate</w:t>
      </w:r>
      <w:r>
        <w:t>”), including Project Operator’s proposed plan to reinstate the Project to the condition it was in immediately prior to the Major Casualty Event (applying Good Industry Practice) as soon as reasonably practicable (including a reasonable period for contingency) (“</w:t>
      </w:r>
      <w:r w:rsidRPr="2C388DF0">
        <w:rPr>
          <w:b/>
          <w:bCs/>
        </w:rPr>
        <w:t>Proposed Reinstatement Plan</w:t>
      </w:r>
      <w:r>
        <w:t>”); or</w:t>
      </w:r>
      <w:bookmarkEnd w:id="3841"/>
    </w:p>
    <w:p w14:paraId="09EA234D" w14:textId="77777777" w:rsidR="007B5688" w:rsidRPr="00AF5907" w:rsidRDefault="2C388DF0" w:rsidP="0058045D">
      <w:pPr>
        <w:pStyle w:val="Heading3"/>
      </w:pPr>
      <w:bookmarkStart w:id="3842" w:name="_Ref150268369"/>
      <w:r>
        <w:t>a notice that Project Operator elects to not reinstate the Project,</w:t>
      </w:r>
      <w:bookmarkEnd w:id="3842"/>
    </w:p>
    <w:p w14:paraId="7658E875" w14:textId="23F37EDD" w:rsidR="00AF5907" w:rsidRPr="00117211" w:rsidRDefault="00AF5907" w:rsidP="004B7781">
      <w:pPr>
        <w:pStyle w:val="Indent2"/>
      </w:pPr>
      <w:r>
        <w:t>provided that</w:t>
      </w:r>
      <w:r w:rsidR="002F5D6E">
        <w:t>,</w:t>
      </w:r>
      <w:r>
        <w:t xml:space="preserve"> if </w:t>
      </w:r>
      <w:r w:rsidR="00411B14">
        <w:t>Project Operator</w:t>
      </w:r>
      <w:r>
        <w:t xml:space="preserve"> does not provide an Election to Reinstate by the date that is </w:t>
      </w:r>
      <w:r w:rsidR="00663559">
        <w:t>six (</w:t>
      </w:r>
      <w:r w:rsidR="00AD38D4">
        <w:t>6</w:t>
      </w:r>
      <w:r w:rsidR="00663559">
        <w:t>)</w:t>
      </w:r>
      <w:r w:rsidR="00AD38D4">
        <w:t xml:space="preserve"> months</w:t>
      </w:r>
      <w:r>
        <w:t xml:space="preserve"> after </w:t>
      </w:r>
      <w:r w:rsidR="00D83919">
        <w:t xml:space="preserve">the </w:t>
      </w:r>
      <w:r>
        <w:t xml:space="preserve">occurrence </w:t>
      </w:r>
      <w:r w:rsidR="00D83919">
        <w:t xml:space="preserve">of the Major Casualty Event </w:t>
      </w:r>
      <w:r>
        <w:t>(</w:t>
      </w:r>
      <w:r w:rsidRPr="00117211">
        <w:t>or a</w:t>
      </w:r>
      <w:r w:rsidR="00203B43">
        <w:t>ny</w:t>
      </w:r>
      <w:r w:rsidRPr="00117211">
        <w:t xml:space="preserve"> </w:t>
      </w:r>
      <w:r>
        <w:t xml:space="preserve">longer period </w:t>
      </w:r>
      <w:r w:rsidRPr="00117211">
        <w:t>agreed by both parties</w:t>
      </w:r>
      <w:r>
        <w:t xml:space="preserve">, </w:t>
      </w:r>
      <w:r w:rsidRPr="00117211">
        <w:t>acting reasonably)</w:t>
      </w:r>
      <w:r w:rsidR="000965D3">
        <w:t>,</w:t>
      </w:r>
      <w:r>
        <w:t xml:space="preserve"> </w:t>
      </w:r>
      <w:r w:rsidR="00411B14">
        <w:t>Project Operator</w:t>
      </w:r>
      <w:r>
        <w:t xml:space="preserve"> will be taken to have elected to not reinstate the Project.</w:t>
      </w:r>
    </w:p>
    <w:p w14:paraId="4BDAC624" w14:textId="77777777" w:rsidR="00964912" w:rsidRPr="00117211" w:rsidRDefault="2C388DF0" w:rsidP="0058045D">
      <w:pPr>
        <w:pStyle w:val="Heading2"/>
      </w:pPr>
      <w:bookmarkStart w:id="3843" w:name="_Ref104312909"/>
      <w:bookmarkStart w:id="3844" w:name="_Toc207309658"/>
      <w:r>
        <w:t>Reinstatement plan</w:t>
      </w:r>
      <w:bookmarkEnd w:id="3843"/>
      <w:bookmarkEnd w:id="3844"/>
    </w:p>
    <w:p w14:paraId="22F033D0" w14:textId="77777777" w:rsidR="007B5688" w:rsidRPr="00305886" w:rsidRDefault="2C388DF0" w:rsidP="0058045D">
      <w:pPr>
        <w:pStyle w:val="Heading3"/>
        <w:rPr>
          <w:szCs w:val="18"/>
        </w:rPr>
      </w:pPr>
      <w:bookmarkStart w:id="3845" w:name="_Ref164872561"/>
      <w:r>
        <w:t>If the Commonwealth receives an Election to Reinstate, then:</w:t>
      </w:r>
      <w:bookmarkEnd w:id="3845"/>
    </w:p>
    <w:p w14:paraId="74007924" w14:textId="77777777" w:rsidR="00F10BD0" w:rsidRDefault="2C388DF0" w:rsidP="0058045D">
      <w:pPr>
        <w:pStyle w:val="Heading4"/>
      </w:pPr>
      <w:bookmarkStart w:id="3846" w:name="_Ref108102960"/>
      <w:r>
        <w:t>the Commonwealth must either:</w:t>
      </w:r>
      <w:bookmarkEnd w:id="3846"/>
    </w:p>
    <w:p w14:paraId="51345E53" w14:textId="1D4A9352" w:rsidR="00C71BF0" w:rsidRDefault="2C388DF0" w:rsidP="0058045D">
      <w:pPr>
        <w:pStyle w:val="Heading5"/>
      </w:pPr>
      <w:bookmarkStart w:id="3847" w:name="_Ref104290648"/>
      <w:r>
        <w:t xml:space="preserve">request any changes to the Proposed Reinstatement Plan that it considers (acting reasonably) are </w:t>
      </w:r>
      <w:r w:rsidR="00D52511">
        <w:t>appropriate</w:t>
      </w:r>
      <w:r>
        <w:t>; or</w:t>
      </w:r>
      <w:bookmarkEnd w:id="3847"/>
    </w:p>
    <w:p w14:paraId="611386EB" w14:textId="77777777" w:rsidR="001E25A6" w:rsidRDefault="2C388DF0" w:rsidP="0058045D">
      <w:pPr>
        <w:pStyle w:val="Heading5"/>
      </w:pPr>
      <w:r>
        <w:t>approve the Proposed Reinstatement Plan,</w:t>
      </w:r>
    </w:p>
    <w:p w14:paraId="452BCD5F" w14:textId="4F56ABD7" w:rsidR="00F10BD0" w:rsidRPr="00847C21" w:rsidRDefault="001E25A6" w:rsidP="0058045D">
      <w:pPr>
        <w:pStyle w:val="Heading5"/>
        <w:numPr>
          <w:ilvl w:val="0"/>
          <w:numId w:val="0"/>
        </w:numPr>
        <w:ind w:left="2211"/>
      </w:pPr>
      <w:r>
        <w:t xml:space="preserve">provided </w:t>
      </w:r>
      <w:r w:rsidRPr="00305886">
        <w:t>that</w:t>
      </w:r>
      <w:r w:rsidR="00760ADE">
        <w:t>,</w:t>
      </w:r>
      <w:r w:rsidRPr="00305886">
        <w:t xml:space="preserve"> if </w:t>
      </w:r>
      <w:r w:rsidR="00BE77D6" w:rsidRPr="00305886">
        <w:t>the Commonwealth</w:t>
      </w:r>
      <w:r w:rsidRPr="00305886">
        <w:t xml:space="preserve"> does not </w:t>
      </w:r>
      <w:r w:rsidR="0052144C" w:rsidRPr="00305886">
        <w:t xml:space="preserve">request any changes to the Proposed Reinstatement Plan </w:t>
      </w:r>
      <w:r w:rsidRPr="00305886">
        <w:t xml:space="preserve">within </w:t>
      </w:r>
      <w:r w:rsidR="007B04F4">
        <w:t>30</w:t>
      </w:r>
      <w:r w:rsidR="00005348">
        <w:t> </w:t>
      </w:r>
      <w:r w:rsidRPr="00305886">
        <w:t xml:space="preserve">Business Days </w:t>
      </w:r>
      <w:r w:rsidR="00FE6B67" w:rsidRPr="00305886">
        <w:t>after</w:t>
      </w:r>
      <w:r w:rsidR="00FE6B67" w:rsidRPr="00305886" w:rsidDel="004F23C9">
        <w:t xml:space="preserve"> </w:t>
      </w:r>
      <w:r w:rsidRPr="00305886">
        <w:t>receipt of the Election to Reinstate</w:t>
      </w:r>
      <w:r w:rsidR="000965D3" w:rsidRPr="00305886">
        <w:t>,</w:t>
      </w:r>
      <w:r w:rsidRPr="00305886">
        <w:t xml:space="preserve"> </w:t>
      </w:r>
      <w:r w:rsidR="00BE77D6" w:rsidRPr="00305886">
        <w:t>the Commonwealth</w:t>
      </w:r>
      <w:r w:rsidR="0052144C" w:rsidRPr="00305886">
        <w:t xml:space="preserve"> </w:t>
      </w:r>
      <w:r w:rsidRPr="00305886">
        <w:t xml:space="preserve">will </w:t>
      </w:r>
      <w:r w:rsidRPr="00847C21">
        <w:t xml:space="preserve">be </w:t>
      </w:r>
      <w:r w:rsidR="00663559" w:rsidRPr="00847C21">
        <w:t xml:space="preserve">deemed </w:t>
      </w:r>
      <w:r w:rsidRPr="00847C21">
        <w:t>to have approved the Proposed Reinstatement Plan</w:t>
      </w:r>
      <w:r w:rsidR="00F10BD0" w:rsidRPr="00847C21">
        <w:t>;</w:t>
      </w:r>
      <w:r w:rsidR="00D83919" w:rsidRPr="00847C21">
        <w:t xml:space="preserve"> and</w:t>
      </w:r>
    </w:p>
    <w:p w14:paraId="3C7293D9" w14:textId="620FCEE8" w:rsidR="00F10BD0" w:rsidRPr="00847C21" w:rsidRDefault="2C388DF0" w:rsidP="0005264D">
      <w:pPr>
        <w:pStyle w:val="Heading4"/>
        <w:keepNext/>
      </w:pPr>
      <w:bookmarkStart w:id="3848" w:name="_Ref206164872"/>
      <w:bookmarkStart w:id="3849" w:name="_Ref104280076"/>
      <w:r w:rsidRPr="00847C21">
        <w:t>if the Commonwealth requests any changes to the Proposed Reinstatement Plan in accordance with subparagraph </w:t>
      </w:r>
      <w:r w:rsidR="00C71BF0" w:rsidRPr="00847C21">
        <w:fldChar w:fldCharType="begin"/>
      </w:r>
      <w:r w:rsidR="00C71BF0" w:rsidRPr="00847C21">
        <w:instrText xml:space="preserve"> REF _Ref164872561 \n \h </w:instrText>
      </w:r>
      <w:r w:rsidR="00801FA4">
        <w:instrText xml:space="preserve"> \* MERGEFORMAT </w:instrText>
      </w:r>
      <w:r w:rsidR="00C71BF0" w:rsidRPr="00847C21">
        <w:fldChar w:fldCharType="separate"/>
      </w:r>
      <w:r w:rsidR="002E5C6A">
        <w:t>(a)</w:t>
      </w:r>
      <w:r w:rsidR="00C71BF0" w:rsidRPr="00847C21">
        <w:fldChar w:fldCharType="end"/>
      </w:r>
      <w:r w:rsidR="00C71BF0" w:rsidRPr="00847C21">
        <w:fldChar w:fldCharType="begin"/>
      </w:r>
      <w:r w:rsidR="00C71BF0" w:rsidRPr="00847C21">
        <w:instrText xml:space="preserve"> REF _Ref108102960 \n \h </w:instrText>
      </w:r>
      <w:r w:rsidR="00801FA4">
        <w:instrText xml:space="preserve"> \* MERGEFORMAT </w:instrText>
      </w:r>
      <w:r w:rsidR="00C71BF0" w:rsidRPr="00847C21">
        <w:fldChar w:fldCharType="separate"/>
      </w:r>
      <w:r w:rsidR="002E5C6A">
        <w:t>(i)</w:t>
      </w:r>
      <w:r w:rsidR="00C71BF0" w:rsidRPr="00847C21">
        <w:fldChar w:fldCharType="end"/>
      </w:r>
      <w:r w:rsidR="00C71BF0" w:rsidRPr="00847C21">
        <w:fldChar w:fldCharType="begin"/>
      </w:r>
      <w:r w:rsidR="00C71BF0" w:rsidRPr="00847C21">
        <w:instrText xml:space="preserve"> REF _Ref104290648 \n \h </w:instrText>
      </w:r>
      <w:r w:rsidR="00801FA4">
        <w:instrText xml:space="preserve"> \* MERGEFORMAT </w:instrText>
      </w:r>
      <w:r w:rsidR="00C71BF0" w:rsidRPr="00847C21">
        <w:fldChar w:fldCharType="separate"/>
      </w:r>
      <w:r w:rsidR="002E5C6A">
        <w:t>(A)</w:t>
      </w:r>
      <w:r w:rsidR="00C71BF0" w:rsidRPr="00847C21">
        <w:fldChar w:fldCharType="end"/>
      </w:r>
      <w:r w:rsidRPr="00847C21">
        <w:t>, then:</w:t>
      </w:r>
      <w:bookmarkEnd w:id="3848"/>
      <w:r w:rsidRPr="00847C21">
        <w:t xml:space="preserve"> </w:t>
      </w:r>
    </w:p>
    <w:p w14:paraId="129EB99C" w14:textId="77777777" w:rsidR="00C71BF0" w:rsidRPr="00847C21" w:rsidRDefault="2C388DF0" w:rsidP="0058045D">
      <w:pPr>
        <w:pStyle w:val="Heading5"/>
      </w:pPr>
      <w:bookmarkStart w:id="3850" w:name="_Ref108533123"/>
      <w:r w:rsidRPr="00847C21">
        <w:t>within 20 Business Days after the Commonwealth’s request, Project Operator must</w:t>
      </w:r>
      <w:bookmarkEnd w:id="3849"/>
      <w:r w:rsidRPr="00847C21">
        <w:t xml:space="preserve"> provide an amended Proposed Reinstatement Plan to the Commonwealth; and</w:t>
      </w:r>
      <w:bookmarkEnd w:id="3850"/>
    </w:p>
    <w:p w14:paraId="6BC456F9" w14:textId="77777777" w:rsidR="00A82537" w:rsidRDefault="2C388DF0" w:rsidP="0058045D">
      <w:pPr>
        <w:pStyle w:val="Heading5"/>
      </w:pPr>
      <w:bookmarkStart w:id="3851" w:name="_Ref206665470"/>
      <w:bookmarkStart w:id="3852" w:name="_Ref104281568"/>
      <w:r w:rsidRPr="00847C21">
        <w:t>within 20 Business Days after receipt of Project Operator’s amended Proposed Reinstatement Plan, the Commonwealth must (acting reasonably) approve or reject the amended Proposed Reinstatement Plan</w:t>
      </w:r>
      <w:r w:rsidR="00A82537">
        <w:t>,</w:t>
      </w:r>
      <w:bookmarkEnd w:id="3851"/>
      <w:r w:rsidR="00A82537">
        <w:t xml:space="preserve"> </w:t>
      </w:r>
    </w:p>
    <w:p w14:paraId="6E435DFA" w14:textId="3AF40DE8" w:rsidR="00F10BD0" w:rsidRPr="00847C21" w:rsidRDefault="00A82537" w:rsidP="008F660B">
      <w:pPr>
        <w:pStyle w:val="Heading5"/>
        <w:numPr>
          <w:ilvl w:val="0"/>
          <w:numId w:val="0"/>
        </w:numPr>
        <w:ind w:left="2211"/>
      </w:pPr>
      <w:r>
        <w:t>provided that</w:t>
      </w:r>
      <w:r w:rsidR="00663559" w:rsidRPr="008F660B">
        <w:t xml:space="preserve"> if the Commonwealth does not approve or reject the amended Proposed Reinstatement Plan </w:t>
      </w:r>
      <w:r>
        <w:t xml:space="preserve">provided by Project Operator under subparagraph </w:t>
      </w:r>
      <w:r>
        <w:fldChar w:fldCharType="begin"/>
      </w:r>
      <w:r>
        <w:instrText xml:space="preserve"> REF _Ref164872561 \n \h </w:instrText>
      </w:r>
      <w:r>
        <w:fldChar w:fldCharType="separate"/>
      </w:r>
      <w:r w:rsidR="002E5C6A">
        <w:t>(a)</w:t>
      </w:r>
      <w:r>
        <w:fldChar w:fldCharType="end"/>
      </w:r>
      <w:r>
        <w:fldChar w:fldCharType="begin"/>
      </w:r>
      <w:r>
        <w:instrText xml:space="preserve"> REF _Ref206164872 \n \h </w:instrText>
      </w:r>
      <w:r>
        <w:fldChar w:fldCharType="separate"/>
      </w:r>
      <w:r w:rsidR="002E5C6A">
        <w:t>(ii)</w:t>
      </w:r>
      <w:r>
        <w:fldChar w:fldCharType="end"/>
      </w:r>
      <w:r>
        <w:fldChar w:fldCharType="begin"/>
      </w:r>
      <w:r>
        <w:instrText xml:space="preserve"> REF _Ref108533123 \n \h </w:instrText>
      </w:r>
      <w:r>
        <w:fldChar w:fldCharType="separate"/>
      </w:r>
      <w:r w:rsidR="002E5C6A">
        <w:t>(A)</w:t>
      </w:r>
      <w:r>
        <w:fldChar w:fldCharType="end"/>
      </w:r>
      <w:r>
        <w:t xml:space="preserve"> </w:t>
      </w:r>
      <w:r w:rsidR="00663559" w:rsidRPr="008F660B">
        <w:t xml:space="preserve">within </w:t>
      </w:r>
      <w:r>
        <w:t>th</w:t>
      </w:r>
      <w:r w:rsidR="00AE7A01">
        <w:t xml:space="preserve">e </w:t>
      </w:r>
      <w:r>
        <w:t>period</w:t>
      </w:r>
      <w:r w:rsidR="00AE7A01">
        <w:t xml:space="preserve"> referred to in subparagraph </w:t>
      </w:r>
      <w:r w:rsidR="00AE7A01">
        <w:fldChar w:fldCharType="begin"/>
      </w:r>
      <w:r w:rsidR="00AE7A01">
        <w:instrText xml:space="preserve"> REF _Ref164872561 \r \h </w:instrText>
      </w:r>
      <w:r w:rsidR="00AE7A01">
        <w:fldChar w:fldCharType="separate"/>
      </w:r>
      <w:r w:rsidR="002E5C6A">
        <w:t>(a)</w:t>
      </w:r>
      <w:r w:rsidR="00AE7A01">
        <w:fldChar w:fldCharType="end"/>
      </w:r>
      <w:r w:rsidR="00AE7A01">
        <w:fldChar w:fldCharType="begin"/>
      </w:r>
      <w:r w:rsidR="00AE7A01">
        <w:instrText xml:space="preserve"> REF _Ref206164872 \r \h </w:instrText>
      </w:r>
      <w:r w:rsidR="00AE7A01">
        <w:fldChar w:fldCharType="separate"/>
      </w:r>
      <w:r w:rsidR="002E5C6A">
        <w:t>(ii)</w:t>
      </w:r>
      <w:r w:rsidR="00AE7A01">
        <w:fldChar w:fldCharType="end"/>
      </w:r>
      <w:r w:rsidR="00AE7A01">
        <w:fldChar w:fldCharType="begin"/>
      </w:r>
      <w:r w:rsidR="00AE7A01">
        <w:instrText xml:space="preserve"> REF _Ref206665470 \r \h </w:instrText>
      </w:r>
      <w:r w:rsidR="00AE7A01">
        <w:fldChar w:fldCharType="separate"/>
      </w:r>
      <w:r w:rsidR="002E5C6A">
        <w:t>(B)</w:t>
      </w:r>
      <w:r w:rsidR="00AE7A01">
        <w:fldChar w:fldCharType="end"/>
      </w:r>
      <w:r w:rsidR="00663559" w:rsidRPr="008F660B">
        <w:t>, the Commonwealth will be deemed to have approved the amended Proposed Reinstatement Plan</w:t>
      </w:r>
      <w:r w:rsidR="00663559" w:rsidRPr="00847C21">
        <w:t>.</w:t>
      </w:r>
      <w:bookmarkEnd w:id="3852"/>
    </w:p>
    <w:p w14:paraId="29792487" w14:textId="6AFE85D7" w:rsidR="007B04F4" w:rsidRDefault="2C388DF0" w:rsidP="001A4268">
      <w:pPr>
        <w:pStyle w:val="Heading3"/>
        <w:keepNext/>
      </w:pPr>
      <w:r>
        <w:t xml:space="preserve">Without limitation, it will be unreasonable for the Commonwealth to request changes to the Proposed Reinstatement Plan </w:t>
      </w:r>
      <w:r w:rsidR="00572339">
        <w:t xml:space="preserve">or to reject it </w:t>
      </w:r>
      <w:r>
        <w:t xml:space="preserve">if it: </w:t>
      </w:r>
    </w:p>
    <w:p w14:paraId="277B0751" w14:textId="77777777" w:rsidR="007B04F4" w:rsidRDefault="2C388DF0" w:rsidP="0058045D">
      <w:pPr>
        <w:pStyle w:val="Heading4"/>
      </w:pPr>
      <w:r>
        <w:t xml:space="preserve">is prepared in accordance with the requirements of this agreement; </w:t>
      </w:r>
    </w:p>
    <w:p w14:paraId="35D471B6" w14:textId="6D8EAB73" w:rsidR="007B04F4" w:rsidRDefault="2C388DF0" w:rsidP="0058045D">
      <w:pPr>
        <w:pStyle w:val="Heading4"/>
      </w:pPr>
      <w:r>
        <w:t xml:space="preserve">identifies an express date for the completion of the reinstatement, </w:t>
      </w:r>
      <w:r w:rsidR="002005FF">
        <w:t xml:space="preserve">that </w:t>
      </w:r>
      <w:r>
        <w:t>is as soon as reasonably practicable after the Major Casualty Event occurred; and</w:t>
      </w:r>
    </w:p>
    <w:p w14:paraId="321B314E" w14:textId="77777777" w:rsidR="007B04F4" w:rsidRPr="00305886" w:rsidRDefault="2C388DF0" w:rsidP="0058045D">
      <w:pPr>
        <w:pStyle w:val="Heading4"/>
      </w:pPr>
      <w:r>
        <w:t>demonstrates that Project Operator will be able to reinstate the Project to the condition it was in immediately prior to the Major Casualty Event (applying Good Industry Practice) by that date.</w:t>
      </w:r>
    </w:p>
    <w:p w14:paraId="583F3D2C" w14:textId="77777777" w:rsidR="00932FCC" w:rsidRDefault="2C388DF0" w:rsidP="0058045D">
      <w:pPr>
        <w:pStyle w:val="Heading3"/>
        <w:rPr>
          <w:szCs w:val="18"/>
        </w:rPr>
      </w:pPr>
      <w:r>
        <w:t xml:space="preserve">If the Commonwealth approves a Proposed Reinstatement Plan or amended Proposed Reinstatement Plan, or it is deemed to be approved, then: </w:t>
      </w:r>
    </w:p>
    <w:p w14:paraId="0D1AB7E6" w14:textId="77777777" w:rsidR="003178F0" w:rsidRDefault="2C388DF0" w:rsidP="0058045D">
      <w:pPr>
        <w:pStyle w:val="Heading4"/>
        <w:rPr>
          <w:szCs w:val="18"/>
        </w:rPr>
      </w:pPr>
      <w:bookmarkStart w:id="3853" w:name="_Ref104291978"/>
      <w:r>
        <w:t>that document will become an “</w:t>
      </w:r>
      <w:r w:rsidRPr="2C388DF0">
        <w:rPr>
          <w:b/>
          <w:bCs/>
        </w:rPr>
        <w:t>Approved Reinstatement Plan</w:t>
      </w:r>
      <w:r>
        <w:t>”;</w:t>
      </w:r>
      <w:bookmarkEnd w:id="3853"/>
      <w:r>
        <w:t xml:space="preserve"> and</w:t>
      </w:r>
    </w:p>
    <w:p w14:paraId="550DB025" w14:textId="77777777" w:rsidR="002E2813" w:rsidRDefault="2C388DF0" w:rsidP="0058045D">
      <w:pPr>
        <w:pStyle w:val="Heading4"/>
        <w:rPr>
          <w:szCs w:val="18"/>
        </w:rPr>
      </w:pPr>
      <w:r>
        <w:t>Project Operator must, at its sole cost, comply with that Approved Reinstatement Plan in all material respects.</w:t>
      </w:r>
    </w:p>
    <w:p w14:paraId="092B611F" w14:textId="77777777" w:rsidR="00085A43" w:rsidRPr="0058045D" w:rsidRDefault="2C388DF0" w:rsidP="0058045D">
      <w:pPr>
        <w:pStyle w:val="Heading2"/>
        <w:rPr>
          <w:szCs w:val="18"/>
        </w:rPr>
      </w:pPr>
      <w:bookmarkStart w:id="3854" w:name="_Toc207309659"/>
      <w:r>
        <w:t>Consequences of failing to reinstate</w:t>
      </w:r>
      <w:bookmarkEnd w:id="3854"/>
    </w:p>
    <w:p w14:paraId="6039A865" w14:textId="77777777" w:rsidR="00085A43" w:rsidRDefault="00A65F30" w:rsidP="007F1A89">
      <w:pPr>
        <w:pStyle w:val="Indent2"/>
        <w:keepNext/>
        <w:rPr>
          <w:szCs w:val="18"/>
        </w:rPr>
      </w:pPr>
      <w:r w:rsidRPr="00085A43">
        <w:t>If</w:t>
      </w:r>
      <w:r w:rsidR="00085A43" w:rsidRPr="00085A43">
        <w:t>, following a Major Casualty Event:</w:t>
      </w:r>
      <w:r>
        <w:rPr>
          <w:szCs w:val="18"/>
        </w:rPr>
        <w:t xml:space="preserve"> </w:t>
      </w:r>
    </w:p>
    <w:p w14:paraId="1EFE0522" w14:textId="0E2543F5" w:rsidR="00085A43" w:rsidRDefault="00411B14" w:rsidP="0058045D">
      <w:pPr>
        <w:pStyle w:val="Heading3"/>
        <w:rPr>
          <w:szCs w:val="18"/>
        </w:rPr>
      </w:pPr>
      <w:r w:rsidRPr="2C388DF0">
        <w:t>Project Operator</w:t>
      </w:r>
      <w:r w:rsidR="00085A43" w:rsidRPr="00085A43">
        <w:rPr>
          <w:szCs w:val="18"/>
        </w:rPr>
        <w:t xml:space="preserve"> </w:t>
      </w:r>
      <w:r w:rsidR="00E03047" w:rsidRPr="2C388DF0">
        <w:t xml:space="preserve">gives a notice under clause </w:t>
      </w:r>
      <w:r w:rsidR="00673B68">
        <w:rPr>
          <w:szCs w:val="18"/>
        </w:rPr>
        <w:fldChar w:fldCharType="begin"/>
      </w:r>
      <w:r w:rsidR="00673B68">
        <w:rPr>
          <w:szCs w:val="18"/>
        </w:rPr>
        <w:instrText xml:space="preserve"> REF _Ref150268369 \w \h </w:instrText>
      </w:r>
      <w:r w:rsidR="00673B68">
        <w:rPr>
          <w:szCs w:val="18"/>
        </w:rPr>
      </w:r>
      <w:r w:rsidR="00673B68">
        <w:rPr>
          <w:szCs w:val="18"/>
        </w:rPr>
        <w:fldChar w:fldCharType="separate"/>
      </w:r>
      <w:r w:rsidR="002E5C6A">
        <w:rPr>
          <w:szCs w:val="18"/>
        </w:rPr>
        <w:t>20.1(b)</w:t>
      </w:r>
      <w:r w:rsidR="00673B68">
        <w:rPr>
          <w:szCs w:val="18"/>
        </w:rPr>
        <w:fldChar w:fldCharType="end"/>
      </w:r>
      <w:r w:rsidR="00673B68">
        <w:rPr>
          <w:szCs w:val="18"/>
        </w:rPr>
        <w:t xml:space="preserve"> </w:t>
      </w:r>
      <w:r w:rsidR="00E03047" w:rsidRPr="2C388DF0">
        <w:t xml:space="preserve">or </w:t>
      </w:r>
      <w:r w:rsidRPr="2C388DF0">
        <w:t>Project Operator</w:t>
      </w:r>
      <w:r w:rsidR="00E03047" w:rsidRPr="2C388DF0">
        <w:t xml:space="preserve"> is taken to have elected not to</w:t>
      </w:r>
      <w:r w:rsidR="00085A43" w:rsidRPr="2C388DF0">
        <w:t xml:space="preserve"> reinstate the Project</w:t>
      </w:r>
      <w:r w:rsidR="00E03047" w:rsidRPr="2C388DF0">
        <w:t xml:space="preserve"> under clause </w:t>
      </w:r>
      <w:r w:rsidR="00673B68">
        <w:rPr>
          <w:szCs w:val="18"/>
        </w:rPr>
        <w:fldChar w:fldCharType="begin"/>
      </w:r>
      <w:r w:rsidR="00673B68">
        <w:rPr>
          <w:szCs w:val="18"/>
        </w:rPr>
        <w:instrText xml:space="preserve"> REF _Ref104279559 \w \h </w:instrText>
      </w:r>
      <w:r w:rsidR="00673B68">
        <w:rPr>
          <w:szCs w:val="18"/>
        </w:rPr>
      </w:r>
      <w:r w:rsidR="00673B68">
        <w:rPr>
          <w:szCs w:val="18"/>
        </w:rPr>
        <w:fldChar w:fldCharType="separate"/>
      </w:r>
      <w:r w:rsidR="002E5C6A">
        <w:rPr>
          <w:szCs w:val="18"/>
        </w:rPr>
        <w:t>20.1</w:t>
      </w:r>
      <w:r w:rsidR="00673B68">
        <w:rPr>
          <w:szCs w:val="18"/>
        </w:rPr>
        <w:fldChar w:fldCharType="end"/>
      </w:r>
      <w:r w:rsidR="00673B68">
        <w:rPr>
          <w:szCs w:val="18"/>
        </w:rPr>
        <w:t xml:space="preserve"> (“</w:t>
      </w:r>
      <w:r w:rsidR="00673B68">
        <w:rPr>
          <w:szCs w:val="18"/>
        </w:rPr>
        <w:fldChar w:fldCharType="begin"/>
      </w:r>
      <w:r w:rsidR="00673B68">
        <w:rPr>
          <w:szCs w:val="18"/>
        </w:rPr>
        <w:instrText xml:space="preserve"> REF _Ref104279559 \h </w:instrText>
      </w:r>
      <w:r w:rsidR="00673B68">
        <w:rPr>
          <w:szCs w:val="18"/>
        </w:rPr>
      </w:r>
      <w:r w:rsidR="00673B68">
        <w:rPr>
          <w:szCs w:val="18"/>
        </w:rPr>
        <w:fldChar w:fldCharType="separate"/>
      </w:r>
      <w:r w:rsidR="002E5C6A">
        <w:t>Major Casualty Event</w:t>
      </w:r>
      <w:r w:rsidR="00673B68">
        <w:rPr>
          <w:szCs w:val="18"/>
        </w:rPr>
        <w:fldChar w:fldCharType="end"/>
      </w:r>
      <w:r w:rsidR="00673B68">
        <w:rPr>
          <w:szCs w:val="18"/>
        </w:rPr>
        <w:t>”)</w:t>
      </w:r>
      <w:r w:rsidR="00085A43" w:rsidRPr="00085A43">
        <w:rPr>
          <w:szCs w:val="18"/>
        </w:rPr>
        <w:t xml:space="preserve">; </w:t>
      </w:r>
    </w:p>
    <w:p w14:paraId="1217A60C" w14:textId="373AEF05" w:rsidR="00AC373E" w:rsidRPr="00085A43" w:rsidRDefault="00411B14" w:rsidP="0058045D">
      <w:pPr>
        <w:pStyle w:val="Heading3"/>
        <w:rPr>
          <w:szCs w:val="18"/>
        </w:rPr>
      </w:pPr>
      <w:r w:rsidRPr="2C388DF0">
        <w:t>Project Operator</w:t>
      </w:r>
      <w:r w:rsidR="00AC373E" w:rsidRPr="2C388DF0">
        <w:t xml:space="preserve"> does not provide an amended Proposed Reinstatement Plan in accordance with clause </w:t>
      </w:r>
      <w:r w:rsidR="000529A8">
        <w:rPr>
          <w:szCs w:val="18"/>
        </w:rPr>
        <w:fldChar w:fldCharType="begin"/>
      </w:r>
      <w:r w:rsidR="000529A8">
        <w:instrText xml:space="preserve"> REF _Ref104312909 \r \h </w:instrText>
      </w:r>
      <w:r w:rsidR="000529A8">
        <w:rPr>
          <w:szCs w:val="18"/>
        </w:rPr>
      </w:r>
      <w:r w:rsidR="000529A8">
        <w:rPr>
          <w:szCs w:val="18"/>
        </w:rPr>
        <w:fldChar w:fldCharType="separate"/>
      </w:r>
      <w:r w:rsidR="002E5C6A">
        <w:t>20.2</w:t>
      </w:r>
      <w:r w:rsidR="000529A8">
        <w:rPr>
          <w:szCs w:val="18"/>
        </w:rPr>
        <w:fldChar w:fldCharType="end"/>
      </w:r>
      <w:r w:rsidR="00AC373E">
        <w:rPr>
          <w:szCs w:val="18"/>
        </w:rPr>
        <w:fldChar w:fldCharType="begin"/>
      </w:r>
      <w:r w:rsidR="00AC373E">
        <w:rPr>
          <w:szCs w:val="18"/>
        </w:rPr>
        <w:instrText xml:space="preserve"> REF _Ref108533123 \r \h </w:instrText>
      </w:r>
      <w:r w:rsidR="00AC373E">
        <w:rPr>
          <w:szCs w:val="18"/>
        </w:rPr>
      </w:r>
      <w:r w:rsidR="00AC373E">
        <w:rPr>
          <w:szCs w:val="18"/>
        </w:rPr>
        <w:fldChar w:fldCharType="separate"/>
      </w:r>
      <w:r w:rsidR="002E5C6A">
        <w:rPr>
          <w:szCs w:val="18"/>
        </w:rPr>
        <w:t>20.2(a)(ii)(A)</w:t>
      </w:r>
      <w:r w:rsidR="00AC373E">
        <w:rPr>
          <w:szCs w:val="18"/>
        </w:rPr>
        <w:fldChar w:fldCharType="end"/>
      </w:r>
      <w:r w:rsidR="00AC373E">
        <w:rPr>
          <w:szCs w:val="18"/>
        </w:rPr>
        <w:t xml:space="preserve"> (“</w:t>
      </w:r>
      <w:r w:rsidR="00AC373E">
        <w:rPr>
          <w:szCs w:val="18"/>
        </w:rPr>
        <w:fldChar w:fldCharType="begin"/>
      </w:r>
      <w:r w:rsidR="00AC373E">
        <w:rPr>
          <w:szCs w:val="18"/>
        </w:rPr>
        <w:instrText xml:space="preserve">  REF _Ref104312909 \h </w:instrText>
      </w:r>
      <w:r w:rsidR="00AC373E">
        <w:rPr>
          <w:szCs w:val="18"/>
        </w:rPr>
      </w:r>
      <w:r w:rsidR="00AC373E">
        <w:rPr>
          <w:szCs w:val="18"/>
        </w:rPr>
        <w:fldChar w:fldCharType="separate"/>
      </w:r>
      <w:r w:rsidR="002E5C6A">
        <w:t>Reinstatement plan</w:t>
      </w:r>
      <w:r w:rsidR="00AC373E">
        <w:rPr>
          <w:szCs w:val="18"/>
        </w:rPr>
        <w:fldChar w:fldCharType="end"/>
      </w:r>
      <w:r w:rsidR="00AC373E">
        <w:rPr>
          <w:szCs w:val="18"/>
        </w:rPr>
        <w:t>”);</w:t>
      </w:r>
    </w:p>
    <w:p w14:paraId="3049D2C8" w14:textId="1EF1DD5A" w:rsidR="00A65F30" w:rsidRDefault="00BE77D6" w:rsidP="0058045D">
      <w:pPr>
        <w:pStyle w:val="Heading3"/>
      </w:pPr>
      <w:r w:rsidRPr="00305886">
        <w:t>the Commonwealth</w:t>
      </w:r>
      <w:r w:rsidR="00932FCC" w:rsidRPr="00305886">
        <w:rPr>
          <w:szCs w:val="18"/>
        </w:rPr>
        <w:t xml:space="preserve"> </w:t>
      </w:r>
      <w:r w:rsidR="00A65F30" w:rsidRPr="00305886">
        <w:t>rejects</w:t>
      </w:r>
      <w:r w:rsidR="00A65F30" w:rsidRPr="1B09B674">
        <w:t xml:space="preserve"> </w:t>
      </w:r>
      <w:r w:rsidR="00932FCC" w:rsidRPr="1B09B674">
        <w:t>a</w:t>
      </w:r>
      <w:r w:rsidR="00D80FC4">
        <w:t>n amended</w:t>
      </w:r>
      <w:r w:rsidR="00932FCC" w:rsidRPr="1B09B674">
        <w:t xml:space="preserve"> Proposed Reinstatement Plan in accordance with clause </w:t>
      </w:r>
      <w:r w:rsidR="00932FCC" w:rsidRPr="00085A43">
        <w:rPr>
          <w:szCs w:val="18"/>
        </w:rPr>
        <w:fldChar w:fldCharType="begin"/>
      </w:r>
      <w:r w:rsidR="00932FCC" w:rsidRPr="00085A43">
        <w:rPr>
          <w:szCs w:val="18"/>
        </w:rPr>
        <w:instrText xml:space="preserve"> REF _Ref104281568 \w \h </w:instrText>
      </w:r>
      <w:r w:rsidR="00932FCC" w:rsidRPr="00085A43">
        <w:rPr>
          <w:szCs w:val="18"/>
        </w:rPr>
      </w:r>
      <w:r w:rsidR="00932FCC" w:rsidRPr="00085A43">
        <w:rPr>
          <w:szCs w:val="18"/>
        </w:rPr>
        <w:fldChar w:fldCharType="separate"/>
      </w:r>
      <w:r w:rsidR="002E5C6A">
        <w:rPr>
          <w:szCs w:val="18"/>
        </w:rPr>
        <w:t>20.2(a)(ii)(B)</w:t>
      </w:r>
      <w:r w:rsidR="00932FCC" w:rsidRPr="00085A43">
        <w:rPr>
          <w:szCs w:val="18"/>
        </w:rPr>
        <w:fldChar w:fldCharType="end"/>
      </w:r>
      <w:r w:rsidR="00004DA9">
        <w:rPr>
          <w:szCs w:val="18"/>
        </w:rPr>
        <w:t xml:space="preserve"> (“</w:t>
      </w:r>
      <w:r w:rsidR="00004DA9">
        <w:rPr>
          <w:szCs w:val="18"/>
        </w:rPr>
        <w:fldChar w:fldCharType="begin"/>
      </w:r>
      <w:r w:rsidR="00004DA9">
        <w:rPr>
          <w:szCs w:val="18"/>
        </w:rPr>
        <w:instrText xml:space="preserve">  REF _Ref104312909 \h </w:instrText>
      </w:r>
      <w:r w:rsidR="00004DA9">
        <w:rPr>
          <w:szCs w:val="18"/>
        </w:rPr>
      </w:r>
      <w:r w:rsidR="00004DA9">
        <w:rPr>
          <w:szCs w:val="18"/>
        </w:rPr>
        <w:fldChar w:fldCharType="separate"/>
      </w:r>
      <w:r w:rsidR="002E5C6A">
        <w:t>Reinstatement plan</w:t>
      </w:r>
      <w:r w:rsidR="00004DA9">
        <w:rPr>
          <w:szCs w:val="18"/>
        </w:rPr>
        <w:fldChar w:fldCharType="end"/>
      </w:r>
      <w:r w:rsidR="00004DA9">
        <w:rPr>
          <w:szCs w:val="18"/>
        </w:rPr>
        <w:t>”)</w:t>
      </w:r>
      <w:r w:rsidR="002F7F1E" w:rsidRPr="1B09B674">
        <w:t>; or</w:t>
      </w:r>
    </w:p>
    <w:p w14:paraId="1B2813E2" w14:textId="77777777" w:rsidR="002F7F1E" w:rsidRDefault="2C388DF0" w:rsidP="0058045D">
      <w:pPr>
        <w:pStyle w:val="Heading3"/>
        <w:rPr>
          <w:szCs w:val="18"/>
        </w:rPr>
      </w:pPr>
      <w:r>
        <w:t xml:space="preserve">Project Operator: </w:t>
      </w:r>
    </w:p>
    <w:p w14:paraId="6B8F74AE" w14:textId="77777777" w:rsidR="002F7F1E" w:rsidRPr="002F7F1E" w:rsidRDefault="2C388DF0" w:rsidP="0058045D">
      <w:pPr>
        <w:pStyle w:val="Heading4"/>
        <w:rPr>
          <w:szCs w:val="18"/>
        </w:rPr>
      </w:pPr>
      <w:r>
        <w:t>fails to comply with an Approved Reinstatement Plan in any material respect; and</w:t>
      </w:r>
    </w:p>
    <w:p w14:paraId="797C1E29" w14:textId="743C64EB" w:rsidR="002F7F1E" w:rsidRPr="00305886" w:rsidRDefault="2C388DF0" w:rsidP="0005264D">
      <w:pPr>
        <w:pStyle w:val="Heading4"/>
        <w:keepNext/>
        <w:rPr>
          <w:szCs w:val="18"/>
        </w:rPr>
      </w:pPr>
      <w:r>
        <w:t>does not cure that failure within</w:t>
      </w:r>
      <w:r w:rsidR="00663559">
        <w:t xml:space="preserve"> two</w:t>
      </w:r>
      <w:r>
        <w:t xml:space="preserve"> </w:t>
      </w:r>
      <w:r w:rsidR="00663559">
        <w:t>(</w:t>
      </w:r>
      <w:r>
        <w:t>2</w:t>
      </w:r>
      <w:r w:rsidR="00663559">
        <w:t>)</w:t>
      </w:r>
      <w:r>
        <w:t xml:space="preserve"> months after being notified of that failure by the Commonwealth,</w:t>
      </w:r>
    </w:p>
    <w:p w14:paraId="299DFAEA" w14:textId="17BA2C08" w:rsidR="002F7F1E" w:rsidRDefault="002F7F1E" w:rsidP="004B7781">
      <w:pPr>
        <w:pStyle w:val="Indent2"/>
      </w:pPr>
      <w:r w:rsidRPr="00305886">
        <w:t xml:space="preserve">then </w:t>
      </w:r>
      <w:r w:rsidR="00BE77D6" w:rsidRPr="00305886">
        <w:t>the Commonwealth</w:t>
      </w:r>
      <w:r w:rsidR="00C90900" w:rsidRPr="00305886">
        <w:t xml:space="preserve"> may terminate this agreement in accordance with </w:t>
      </w:r>
      <w:r w:rsidRPr="00305886">
        <w:t xml:space="preserve">clause </w:t>
      </w:r>
      <w:r w:rsidRPr="00305886">
        <w:fldChar w:fldCharType="begin"/>
      </w:r>
      <w:r w:rsidRPr="00305886">
        <w:instrText xml:space="preserve"> REF _Ref94793918 \w \h </w:instrText>
      </w:r>
      <w:r w:rsidR="00305886">
        <w:instrText xml:space="preserve"> \* MERGEFORMAT </w:instrText>
      </w:r>
      <w:r w:rsidRPr="00305886">
        <w:fldChar w:fldCharType="separate"/>
      </w:r>
      <w:r w:rsidR="002E5C6A">
        <w:t>22.3(k)</w:t>
      </w:r>
      <w:r w:rsidRPr="00305886">
        <w:fldChar w:fldCharType="end"/>
      </w:r>
      <w:r w:rsidR="00004DA9" w:rsidRPr="00305886">
        <w:t xml:space="preserve"> (“</w:t>
      </w:r>
      <w:r w:rsidR="002D6A97">
        <w:fldChar w:fldCharType="begin"/>
      </w:r>
      <w:r w:rsidR="002D6A97">
        <w:instrText xml:space="preserve"> REF _Ref159420790 \h </w:instrText>
      </w:r>
      <w:r w:rsidR="002D6A97">
        <w:fldChar w:fldCharType="separate"/>
      </w:r>
      <w:r w:rsidR="002E5C6A" w:rsidRPr="00847C21">
        <w:t>Termination by the Commonwealth for default</w:t>
      </w:r>
      <w:r w:rsidR="002D6A97">
        <w:fldChar w:fldCharType="end"/>
      </w:r>
      <w:r w:rsidR="00004DA9" w:rsidRPr="00305886">
        <w:t>”)</w:t>
      </w:r>
      <w:r w:rsidRPr="00305886">
        <w:t>.</w:t>
      </w:r>
    </w:p>
    <w:p w14:paraId="2CAFABC4" w14:textId="77777777" w:rsidR="00EB4057" w:rsidRDefault="00EB4057" w:rsidP="008E4A1B">
      <w:pPr>
        <w:pStyle w:val="Heading2"/>
      </w:pPr>
      <w:bookmarkStart w:id="3855" w:name="_Ref170133578"/>
      <w:bookmarkStart w:id="3856" w:name="_Toc207309660"/>
      <w:r>
        <w:t>Obligation to reinstate</w:t>
      </w:r>
      <w:bookmarkEnd w:id="3855"/>
      <w:bookmarkEnd w:id="3856"/>
    </w:p>
    <w:p w14:paraId="6A5D3FFD" w14:textId="5B241BB7" w:rsidR="001526E2" w:rsidRDefault="00572339" w:rsidP="00314F33">
      <w:pPr>
        <w:pStyle w:val="Heading3"/>
        <w:keepNext/>
      </w:pPr>
      <w:r>
        <w:t xml:space="preserve">If </w:t>
      </w:r>
      <w:r w:rsidR="00543A6F">
        <w:t>Project Operator</w:t>
      </w:r>
      <w:r w:rsidR="001526E2">
        <w:t xml:space="preserve"> elects to reinstate the Project following a </w:t>
      </w:r>
      <w:r w:rsidR="001526E2" w:rsidRPr="00085A43">
        <w:t xml:space="preserve">Major Casualty </w:t>
      </w:r>
      <w:r w:rsidR="001526E2">
        <w:t xml:space="preserve">Event, Project Operator must: </w:t>
      </w:r>
    </w:p>
    <w:p w14:paraId="166CB92F" w14:textId="77777777" w:rsidR="001526E2" w:rsidRDefault="001526E2" w:rsidP="00467340">
      <w:pPr>
        <w:pStyle w:val="Heading4"/>
        <w:numPr>
          <w:ilvl w:val="3"/>
          <w:numId w:val="44"/>
        </w:numPr>
      </w:pPr>
      <w:r>
        <w:t>ensure that the repair and/or reinstatement results in the Project being able to achieve or exceed the Performance Requirements; and</w:t>
      </w:r>
    </w:p>
    <w:p w14:paraId="6409059B" w14:textId="32191B80" w:rsidR="001526E2" w:rsidRDefault="001526E2" w:rsidP="00467340">
      <w:pPr>
        <w:pStyle w:val="Heading4"/>
        <w:numPr>
          <w:ilvl w:val="3"/>
          <w:numId w:val="44"/>
        </w:numPr>
      </w:pPr>
      <w:r>
        <w:t>apply the proceeds of any insurance payment received in respect of any loss</w:t>
      </w:r>
      <w:r w:rsidR="00335876">
        <w:t xml:space="preserve"> or</w:t>
      </w:r>
      <w:r>
        <w:t xml:space="preserve"> damage </w:t>
      </w:r>
      <w:r w:rsidR="00335876">
        <w:t xml:space="preserve">to </w:t>
      </w:r>
      <w:r>
        <w:t xml:space="preserve">or destruction </w:t>
      </w:r>
      <w:r w:rsidR="00335876">
        <w:t>of</w:t>
      </w:r>
      <w:r>
        <w:t xml:space="preserve"> the Project to the repair or reinstatement of the Project.</w:t>
      </w:r>
    </w:p>
    <w:p w14:paraId="4928FABA" w14:textId="5E23DDCC" w:rsidR="001526E2" w:rsidRDefault="001526E2" w:rsidP="001526E2">
      <w:pPr>
        <w:pStyle w:val="Heading3"/>
      </w:pPr>
      <w:r>
        <w:t>Project Operator must comply with its obligations under this clause</w:t>
      </w:r>
      <w:r w:rsidR="002F7EE1">
        <w:t xml:space="preserve"> </w:t>
      </w:r>
      <w:r w:rsidR="002F7EE1">
        <w:fldChar w:fldCharType="begin"/>
      </w:r>
      <w:r w:rsidR="002F7EE1">
        <w:instrText xml:space="preserve"> REF _Ref170133578 \w \h </w:instrText>
      </w:r>
      <w:r w:rsidR="002F7EE1">
        <w:fldChar w:fldCharType="separate"/>
      </w:r>
      <w:r w:rsidR="002E5C6A">
        <w:t>20.4</w:t>
      </w:r>
      <w:r w:rsidR="002F7EE1">
        <w:fldChar w:fldCharType="end"/>
      </w:r>
      <w:r>
        <w:t>:</w:t>
      </w:r>
    </w:p>
    <w:p w14:paraId="44278F3B" w14:textId="77777777" w:rsidR="001526E2" w:rsidRDefault="001526E2" w:rsidP="00467340">
      <w:pPr>
        <w:pStyle w:val="Heading4"/>
        <w:numPr>
          <w:ilvl w:val="3"/>
          <w:numId w:val="44"/>
        </w:numPr>
      </w:pPr>
      <w:r>
        <w:t xml:space="preserve">promptly and diligently, without unnecessary or unreasonable delay in the relevant circumstances; and </w:t>
      </w:r>
    </w:p>
    <w:p w14:paraId="3CAEA639" w14:textId="77777777" w:rsidR="00543A6F" w:rsidRDefault="001526E2" w:rsidP="00467340">
      <w:pPr>
        <w:pStyle w:val="Heading4"/>
        <w:numPr>
          <w:ilvl w:val="3"/>
          <w:numId w:val="44"/>
        </w:numPr>
      </w:pPr>
      <w:r>
        <w:t>in accordance with Good Industry Practice.</w:t>
      </w:r>
    </w:p>
    <w:p w14:paraId="132B9FBE" w14:textId="77777777" w:rsidR="007368E4" w:rsidRDefault="2BC382E4" w:rsidP="0058045D">
      <w:pPr>
        <w:pStyle w:val="Heading1"/>
      </w:pPr>
      <w:bookmarkStart w:id="3857" w:name="_Ref467049976"/>
      <w:bookmarkStart w:id="3858" w:name="_Ref73958755"/>
      <w:bookmarkStart w:id="3859" w:name="_Toc207309661"/>
      <w:r>
        <w:t>Change in Law</w:t>
      </w:r>
      <w:bookmarkEnd w:id="3857"/>
      <w:bookmarkEnd w:id="3858"/>
      <w:bookmarkEnd w:id="3859"/>
    </w:p>
    <w:p w14:paraId="0B9BF6FF" w14:textId="77777777" w:rsidR="007368E4" w:rsidRDefault="2C388DF0" w:rsidP="0058045D">
      <w:pPr>
        <w:pStyle w:val="Heading2"/>
      </w:pPr>
      <w:bookmarkStart w:id="3860" w:name="_Ref493340328"/>
      <w:bookmarkStart w:id="3861" w:name="_Ref493340383"/>
      <w:bookmarkStart w:id="3862" w:name="_Ref498958660"/>
      <w:bookmarkStart w:id="3863" w:name="_Ref83915268"/>
      <w:bookmarkStart w:id="3864" w:name="_Toc207309662"/>
      <w:bookmarkStart w:id="3865" w:name="_Hlk160873938"/>
      <w:r>
        <w:t>Change in Law</w:t>
      </w:r>
      <w:bookmarkEnd w:id="3860"/>
      <w:bookmarkEnd w:id="3861"/>
      <w:bookmarkEnd w:id="3862"/>
      <w:bookmarkEnd w:id="3863"/>
      <w:bookmarkEnd w:id="3864"/>
    </w:p>
    <w:p w14:paraId="795F463C" w14:textId="0840CF07" w:rsidR="007368E4" w:rsidRDefault="2C388DF0" w:rsidP="0058045D">
      <w:pPr>
        <w:pStyle w:val="Heading3"/>
      </w:pPr>
      <w:bookmarkStart w:id="3866" w:name="_Ref57378656"/>
      <w:bookmarkStart w:id="3867" w:name="_Ref108103044"/>
      <w:bookmarkStart w:id="3868" w:name="_Ref_ContractCompanion_9kb9Ur3DI"/>
      <w:r>
        <w:t>If</w:t>
      </w:r>
      <w:r w:rsidR="006A293A">
        <w:t xml:space="preserve"> a Change in Law takes effect </w:t>
      </w:r>
      <w:r>
        <w:t xml:space="preserve">at any time </w:t>
      </w:r>
      <w:bookmarkEnd w:id="3866"/>
      <w:r w:rsidR="00F149A1">
        <w:t>more than</w:t>
      </w:r>
      <w:r w:rsidR="009F37EF">
        <w:t xml:space="preserve"> twelve (12) months </w:t>
      </w:r>
      <w:r w:rsidR="00F149A1">
        <w:t xml:space="preserve">after </w:t>
      </w:r>
      <w:r w:rsidR="009F37EF">
        <w:t>the Signing Date</w:t>
      </w:r>
      <w:r>
        <w:t xml:space="preserve">, </w:t>
      </w:r>
      <w:r w:rsidR="006A293A">
        <w:t>and</w:t>
      </w:r>
      <w:r w:rsidR="00503033">
        <w:t xml:space="preserve"> it is</w:t>
      </w:r>
      <w:r w:rsidR="006A293A">
        <w:t xml:space="preserve"> </w:t>
      </w:r>
      <w:r>
        <w:t>a Change in Law</w:t>
      </w:r>
      <w:r w:rsidR="007203B4">
        <w:t xml:space="preserve"> that</w:t>
      </w:r>
      <w:r>
        <w:t xml:space="preserve"> prevents or materially interferes with the operation of this agreement or any of the transactions contemplated by this agreement, then:</w:t>
      </w:r>
      <w:bookmarkEnd w:id="3867"/>
      <w:r>
        <w:t xml:space="preserve"> </w:t>
      </w:r>
      <w:bookmarkEnd w:id="3868"/>
    </w:p>
    <w:p w14:paraId="57167570" w14:textId="64882DF8" w:rsidR="007368E4" w:rsidRDefault="00965AB4" w:rsidP="0058045D">
      <w:pPr>
        <w:pStyle w:val="Heading4"/>
      </w:pPr>
      <w:bookmarkStart w:id="3869" w:name="_Ref104286512"/>
      <w:r>
        <w:t xml:space="preserve">Project Operator </w:t>
      </w:r>
      <w:r w:rsidR="00D367B9">
        <w:t xml:space="preserve">must </w:t>
      </w:r>
      <w:r w:rsidR="2C388DF0">
        <w:t xml:space="preserve">use </w:t>
      </w:r>
      <w:r w:rsidR="00572339">
        <w:t xml:space="preserve">its </w:t>
      </w:r>
      <w:r w:rsidR="2C388DF0">
        <w:t>best endeavours to mitigate the effect of the Change in Law</w:t>
      </w:r>
      <w:r w:rsidR="00D367B9">
        <w:t xml:space="preserve"> </w:t>
      </w:r>
      <w:r w:rsidR="00D367B9" w:rsidRPr="00041E4B">
        <w:t xml:space="preserve">(including </w:t>
      </w:r>
      <w:r w:rsidR="00D367B9">
        <w:t xml:space="preserve">taking </w:t>
      </w:r>
      <w:r w:rsidR="00D367B9" w:rsidRPr="00041E4B">
        <w:t>actions to mitigate the effect of the Change in Law as soon as Project Operator becomes aware that the Change in Law will or is likely to occur</w:t>
      </w:r>
      <w:r w:rsidR="00D367B9">
        <w:t xml:space="preserve"> which, f</w:t>
      </w:r>
      <w:r w:rsidR="00D367B9" w:rsidRPr="00041E4B">
        <w:t xml:space="preserve">or clarity, </w:t>
      </w:r>
      <w:r w:rsidR="00D367B9">
        <w:t xml:space="preserve">may </w:t>
      </w:r>
      <w:r w:rsidR="00D367B9" w:rsidRPr="00041E4B">
        <w:t>include taking actions</w:t>
      </w:r>
      <w:r w:rsidR="00D367B9">
        <w:t xml:space="preserve"> </w:t>
      </w:r>
      <w:r w:rsidR="00D367B9" w:rsidRPr="00041E4B">
        <w:t xml:space="preserve">earlier than </w:t>
      </w:r>
      <w:r w:rsidR="00D367B9">
        <w:t>twelve (</w:t>
      </w:r>
      <w:r w:rsidR="00D367B9" w:rsidRPr="00041E4B">
        <w:t>12</w:t>
      </w:r>
      <w:r w:rsidR="00D367B9">
        <w:t>)</w:t>
      </w:r>
      <w:r w:rsidR="00D367B9" w:rsidRPr="00041E4B">
        <w:t xml:space="preserve"> months after the Signing Date)</w:t>
      </w:r>
      <w:r w:rsidR="2C388DF0">
        <w:t>; and</w:t>
      </w:r>
      <w:bookmarkEnd w:id="3869"/>
    </w:p>
    <w:p w14:paraId="13A43D74" w14:textId="4A231B94" w:rsidR="007368E4" w:rsidRDefault="00965AB4" w:rsidP="0058045D">
      <w:pPr>
        <w:pStyle w:val="Heading4"/>
      </w:pPr>
      <w:bookmarkStart w:id="3870" w:name="_Ref467050004"/>
      <w:r>
        <w:t xml:space="preserve">the parties will </w:t>
      </w:r>
      <w:r w:rsidR="2C388DF0">
        <w:t>consider and negotiate in good faith any specific amendment to this agreement (other than</w:t>
      </w:r>
      <w:r w:rsidR="00655160">
        <w:t xml:space="preserve"> </w:t>
      </w:r>
      <w:r w:rsidR="2C388DF0">
        <w:t>the Annual Floor, Annual Ceiling or Annual Payment Cap) requested by a party so as to preserve the efficacy of the operation of this agreement in the manner originally intended at the Signing Date.</w:t>
      </w:r>
      <w:bookmarkEnd w:id="3870"/>
    </w:p>
    <w:p w14:paraId="1ED656F8" w14:textId="10376471" w:rsidR="00261C5B" w:rsidRPr="00DC78CE" w:rsidRDefault="00261C5B" w:rsidP="0058045D">
      <w:pPr>
        <w:pStyle w:val="Heading3"/>
      </w:pPr>
      <w:r>
        <w:t>If the</w:t>
      </w:r>
      <w:r w:rsidR="2C388DF0">
        <w:t xml:space="preserve"> parties are unable to agree any changes </w:t>
      </w:r>
      <w:r w:rsidR="2C388DF0" w:rsidRPr="00DC78CE">
        <w:t xml:space="preserve">to this agreement as contemplated under subparagraph </w:t>
      </w:r>
      <w:r w:rsidR="007368E4" w:rsidRPr="00DC78CE">
        <w:fldChar w:fldCharType="begin"/>
      </w:r>
      <w:r w:rsidR="007368E4" w:rsidRPr="00DC78CE">
        <w:instrText xml:space="preserve"> REF _Ref108103044 \n \h </w:instrText>
      </w:r>
      <w:r w:rsidR="00DC78CE">
        <w:instrText xml:space="preserve"> \* MERGEFORMAT </w:instrText>
      </w:r>
      <w:r w:rsidR="007368E4" w:rsidRPr="00DC78CE">
        <w:fldChar w:fldCharType="separate"/>
      </w:r>
      <w:r w:rsidR="002E5C6A">
        <w:t>(a)</w:t>
      </w:r>
      <w:r w:rsidR="007368E4" w:rsidRPr="00DC78CE">
        <w:fldChar w:fldCharType="end"/>
      </w:r>
      <w:r w:rsidR="007368E4" w:rsidRPr="00DC78CE">
        <w:fldChar w:fldCharType="begin"/>
      </w:r>
      <w:r w:rsidR="007368E4" w:rsidRPr="00DC78CE">
        <w:instrText xml:space="preserve"> REF _Ref467050004 \n \h </w:instrText>
      </w:r>
      <w:r w:rsidR="00DC78CE">
        <w:instrText xml:space="preserve"> \* MERGEFORMAT </w:instrText>
      </w:r>
      <w:r w:rsidR="007368E4" w:rsidRPr="00DC78CE">
        <w:fldChar w:fldCharType="separate"/>
      </w:r>
      <w:r w:rsidR="002E5C6A">
        <w:t>(ii)</w:t>
      </w:r>
      <w:r w:rsidR="007368E4" w:rsidRPr="00DC78CE">
        <w:fldChar w:fldCharType="end"/>
      </w:r>
      <w:r w:rsidRPr="00DC78CE">
        <w:t xml:space="preserve"> then this agreement will continue to operate in accordance with its terms</w:t>
      </w:r>
      <w:r w:rsidR="008007E2" w:rsidRPr="00DC78CE">
        <w:t xml:space="preserve"> to the extent permissible at Law.</w:t>
      </w:r>
      <w:r w:rsidR="2C388DF0" w:rsidRPr="00DC78CE">
        <w:t xml:space="preserve"> </w:t>
      </w:r>
    </w:p>
    <w:p w14:paraId="1FD33B0B" w14:textId="231C3E8A" w:rsidR="007368E4" w:rsidRPr="00DC78CE" w:rsidRDefault="2BC382E4" w:rsidP="0058045D">
      <w:pPr>
        <w:pStyle w:val="Heading3"/>
      </w:pPr>
      <w:r w:rsidRPr="00DC78CE">
        <w:t xml:space="preserve">This clause </w:t>
      </w:r>
      <w:r w:rsidR="2C388DF0" w:rsidRPr="00DC78CE">
        <w:fldChar w:fldCharType="begin"/>
      </w:r>
      <w:r w:rsidR="2C388DF0" w:rsidRPr="00DC78CE">
        <w:instrText xml:space="preserve"> REF _Ref493340383 \w \h </w:instrText>
      </w:r>
      <w:r w:rsidR="00DC78CE">
        <w:instrText xml:space="preserve"> \* MERGEFORMAT </w:instrText>
      </w:r>
      <w:r w:rsidR="2C388DF0" w:rsidRPr="00DC78CE">
        <w:fldChar w:fldCharType="separate"/>
      </w:r>
      <w:r w:rsidR="002E5C6A">
        <w:t>21.1</w:t>
      </w:r>
      <w:r w:rsidR="2C388DF0" w:rsidRPr="00DC78CE">
        <w:fldChar w:fldCharType="end"/>
      </w:r>
      <w:r w:rsidRPr="00DC78CE">
        <w:t xml:space="preserve"> may operate in conjunction with clause </w:t>
      </w:r>
      <w:r w:rsidR="2C388DF0" w:rsidRPr="00DC78CE">
        <w:fldChar w:fldCharType="begin"/>
      </w:r>
      <w:r w:rsidR="2C388DF0" w:rsidRPr="00DC78CE">
        <w:instrText xml:space="preserve"> REF _Ref467800438 \w \h </w:instrText>
      </w:r>
      <w:r w:rsidR="00DC78CE">
        <w:instrText xml:space="preserve"> \* MERGEFORMAT </w:instrText>
      </w:r>
      <w:r w:rsidR="2C388DF0" w:rsidRPr="00DC78CE">
        <w:fldChar w:fldCharType="separate"/>
      </w:r>
      <w:r w:rsidR="002E5C6A">
        <w:t>21.2</w:t>
      </w:r>
      <w:r w:rsidR="2C388DF0" w:rsidRPr="00DC78CE">
        <w:fldChar w:fldCharType="end"/>
      </w:r>
      <w:r w:rsidRPr="00DC78CE">
        <w:t xml:space="preserve"> (“</w:t>
      </w:r>
      <w:r w:rsidR="2C388DF0" w:rsidRPr="00DC78CE">
        <w:fldChar w:fldCharType="begin"/>
      </w:r>
      <w:r w:rsidR="2C388DF0" w:rsidRPr="00DC78CE">
        <w:instrText xml:space="preserve">  REF _Ref467800438 \h </w:instrText>
      </w:r>
      <w:r w:rsidR="00DC78CE">
        <w:instrText xml:space="preserve"> \* MERGEFORMAT </w:instrText>
      </w:r>
      <w:r w:rsidR="2C388DF0" w:rsidRPr="00DC78CE">
        <w:fldChar w:fldCharType="separate"/>
      </w:r>
      <w:r w:rsidR="002E5C6A">
        <w:t>Relevant Cost Change</w:t>
      </w:r>
      <w:r w:rsidR="2C388DF0" w:rsidRPr="00DC78CE">
        <w:fldChar w:fldCharType="end"/>
      </w:r>
      <w:r w:rsidRPr="00DC78CE">
        <w:t>”)</w:t>
      </w:r>
      <w:r w:rsidR="00547589" w:rsidRPr="00DC78CE">
        <w:t xml:space="preserve"> </w:t>
      </w:r>
      <w:r w:rsidR="00D367B9">
        <w:t xml:space="preserve">and clause </w:t>
      </w:r>
      <w:r w:rsidR="00D367B9">
        <w:fldChar w:fldCharType="begin"/>
      </w:r>
      <w:r w:rsidR="00D367B9">
        <w:instrText xml:space="preserve"> REF _Ref104289434 \w \h </w:instrText>
      </w:r>
      <w:r w:rsidR="00D367B9">
        <w:fldChar w:fldCharType="separate"/>
      </w:r>
      <w:r w:rsidR="002E5C6A">
        <w:t>21.3</w:t>
      </w:r>
      <w:r w:rsidR="00D367B9">
        <w:fldChar w:fldCharType="end"/>
      </w:r>
      <w:r w:rsidR="00D367B9">
        <w:t xml:space="preserve"> (“</w:t>
      </w:r>
      <w:r w:rsidR="00D367B9">
        <w:fldChar w:fldCharType="begin"/>
      </w:r>
      <w:r w:rsidR="00D367B9">
        <w:instrText xml:space="preserve"> REF _Ref104289434 \h </w:instrText>
      </w:r>
      <w:r w:rsidR="00D367B9">
        <w:fldChar w:fldCharType="separate"/>
      </w:r>
      <w:r w:rsidR="002E5C6A">
        <w:t>Notice</w:t>
      </w:r>
      <w:r w:rsidR="00D367B9">
        <w:fldChar w:fldCharType="end"/>
      </w:r>
      <w:r w:rsidR="00D367B9">
        <w:t xml:space="preserve">”) </w:t>
      </w:r>
      <w:r w:rsidR="00547589" w:rsidRPr="00DC78CE">
        <w:t>but</w:t>
      </w:r>
      <w:r w:rsidRPr="00DC78CE">
        <w:t xml:space="preserve"> is intended to address amendments to the agreement other than those relating to the Annual Floor</w:t>
      </w:r>
      <w:r w:rsidR="00EC4E53" w:rsidRPr="00DC78CE">
        <w:t>,</w:t>
      </w:r>
      <w:r w:rsidRPr="00DC78CE">
        <w:t xml:space="preserve"> Annual Ceiling</w:t>
      </w:r>
      <w:r w:rsidR="009166EC" w:rsidRPr="00DC78CE">
        <w:t xml:space="preserve"> or Annual Payment Cap</w:t>
      </w:r>
      <w:r w:rsidRPr="00DC78CE">
        <w:t>.</w:t>
      </w:r>
    </w:p>
    <w:p w14:paraId="66BC9A60" w14:textId="77777777" w:rsidR="007368E4" w:rsidRDefault="2C388DF0" w:rsidP="0058045D">
      <w:pPr>
        <w:pStyle w:val="Heading2"/>
      </w:pPr>
      <w:bookmarkStart w:id="3871" w:name="_Toc171584371"/>
      <w:bookmarkStart w:id="3872" w:name="_Toc171584372"/>
      <w:bookmarkStart w:id="3873" w:name="_Toc171584373"/>
      <w:bookmarkStart w:id="3874" w:name="_Toc171584374"/>
      <w:bookmarkStart w:id="3875" w:name="_Toc171584375"/>
      <w:bookmarkStart w:id="3876" w:name="_Ref467800438"/>
      <w:bookmarkStart w:id="3877" w:name="_Toc467802925"/>
      <w:bookmarkStart w:id="3878" w:name="_Toc492504809"/>
      <w:bookmarkStart w:id="3879" w:name="_Toc515358988"/>
      <w:bookmarkStart w:id="3880" w:name="_Toc515470249"/>
      <w:bookmarkStart w:id="3881" w:name="_Ref76993963"/>
      <w:bookmarkStart w:id="3882" w:name="_Toc207309663"/>
      <w:bookmarkEnd w:id="3871"/>
      <w:bookmarkEnd w:id="3872"/>
      <w:bookmarkEnd w:id="3873"/>
      <w:bookmarkEnd w:id="3874"/>
      <w:bookmarkEnd w:id="3875"/>
      <w:r>
        <w:t>Relevant Cost Change</w:t>
      </w:r>
      <w:bookmarkEnd w:id="3876"/>
      <w:bookmarkEnd w:id="3877"/>
      <w:bookmarkEnd w:id="3878"/>
      <w:bookmarkEnd w:id="3879"/>
      <w:bookmarkEnd w:id="3880"/>
      <w:bookmarkEnd w:id="3881"/>
      <w:bookmarkEnd w:id="3882"/>
    </w:p>
    <w:p w14:paraId="6C7B3229" w14:textId="528ABBC4" w:rsidR="007368E4" w:rsidRDefault="00D367B9" w:rsidP="00946EA8">
      <w:pPr>
        <w:pStyle w:val="Indent2"/>
      </w:pPr>
      <w:bookmarkStart w:id="3883" w:name="_Toc515358989"/>
      <w:r>
        <w:t>I</w:t>
      </w:r>
      <w:r w:rsidR="007368E4" w:rsidRPr="00223BB2">
        <w:t>f</w:t>
      </w:r>
      <w:r w:rsidR="007368E4">
        <w:t xml:space="preserve"> </w:t>
      </w:r>
      <w:r w:rsidR="00411B14">
        <w:t>Project Operator</w:t>
      </w:r>
      <w:r w:rsidR="007368E4">
        <w:t xml:space="preserve"> incurs a Relevant Cost Change, then</w:t>
      </w:r>
      <w:bookmarkEnd w:id="3883"/>
      <w:r w:rsidR="007368E4">
        <w:t xml:space="preserve"> </w:t>
      </w:r>
      <w:bookmarkStart w:id="3884" w:name="_Ref57820169"/>
      <w:r w:rsidR="00411B14">
        <w:t>Project Operator</w:t>
      </w:r>
      <w:r w:rsidR="007368E4">
        <w:t xml:space="preserve"> must use its best endeavours to </w:t>
      </w:r>
      <w:r w:rsidR="00663559">
        <w:t xml:space="preserve">minimise </w:t>
      </w:r>
      <w:r w:rsidR="007368E4">
        <w:t>any additional costs to be incurred</w:t>
      </w:r>
      <w:r w:rsidR="00663559">
        <w:t xml:space="preserve"> by it</w:t>
      </w:r>
      <w:r w:rsidR="007368E4">
        <w:t xml:space="preserve"> and to maximise the extent of any </w:t>
      </w:r>
      <w:r w:rsidR="007368E4" w:rsidRPr="00946EA8">
        <w:rPr>
          <w:szCs w:val="18"/>
        </w:rPr>
        <w:t>reduction</w:t>
      </w:r>
      <w:r w:rsidR="007368E4">
        <w:t xml:space="preserve"> in costs</w:t>
      </w:r>
      <w:r w:rsidR="00663559">
        <w:t xml:space="preserve"> to be obtained by it</w:t>
      </w:r>
      <w:r w:rsidR="007368E4">
        <w:t xml:space="preserve">, </w:t>
      </w:r>
      <w:r w:rsidR="00B949DF">
        <w:t>arising from</w:t>
      </w:r>
      <w:r w:rsidR="007368E4">
        <w:t xml:space="preserve"> the Relevant Cost Change</w:t>
      </w:r>
      <w:bookmarkEnd w:id="3884"/>
      <w:r w:rsidR="00BB38FF">
        <w:t>.</w:t>
      </w:r>
      <w:r>
        <w:t xml:space="preserve"> Those actions, to </w:t>
      </w:r>
      <w:r w:rsidR="00663559">
        <w:t>minim</w:t>
      </w:r>
      <w:r w:rsidR="00801FA4">
        <w:t>i</w:t>
      </w:r>
      <w:r w:rsidR="00663559">
        <w:t xml:space="preserve">se </w:t>
      </w:r>
      <w:r>
        <w:t xml:space="preserve">any additional costs and to maximise any </w:t>
      </w:r>
      <w:r w:rsidRPr="00946EA8">
        <w:rPr>
          <w:szCs w:val="18"/>
        </w:rPr>
        <w:t>reduction</w:t>
      </w:r>
      <w:r>
        <w:t xml:space="preserve"> in costs, must be taken as soon as Project Operator becomes aware that the Relevant Cost Change will or is likely to occur. For clarity, that includes taking actions, when appropriate, earlier than twelve (</w:t>
      </w:r>
      <w:r w:rsidRPr="00041E4B">
        <w:t>12</w:t>
      </w:r>
      <w:r>
        <w:t>) months after the Signing Date.</w:t>
      </w:r>
    </w:p>
    <w:p w14:paraId="4D402E34" w14:textId="7ED825AA" w:rsidR="00BB38FF" w:rsidRDefault="2C388DF0" w:rsidP="0058045D">
      <w:pPr>
        <w:pStyle w:val="Heading2"/>
      </w:pPr>
      <w:bookmarkStart w:id="3885" w:name="_Ref104289434"/>
      <w:bookmarkStart w:id="3886" w:name="_Ref176530597"/>
      <w:bookmarkStart w:id="3887" w:name="_Toc207309664"/>
      <w:bookmarkEnd w:id="3865"/>
      <w:r>
        <w:t>Notice</w:t>
      </w:r>
      <w:bookmarkEnd w:id="3885"/>
      <w:r w:rsidR="00D367B9">
        <w:t xml:space="preserve"> of Relevant Cost Change</w:t>
      </w:r>
      <w:bookmarkEnd w:id="3886"/>
      <w:bookmarkEnd w:id="3887"/>
      <w:r w:rsidR="00D367B9">
        <w:t xml:space="preserve"> </w:t>
      </w:r>
    </w:p>
    <w:p w14:paraId="32395C87" w14:textId="510BC684" w:rsidR="002D65A7" w:rsidRDefault="2C388DF0" w:rsidP="00314F33">
      <w:pPr>
        <w:pStyle w:val="Heading3"/>
        <w:keepNext/>
      </w:pPr>
      <w:bookmarkStart w:id="3888" w:name="_Ref104286882"/>
      <w:bookmarkStart w:id="3889" w:name="_Hlk108091765"/>
      <w:bookmarkStart w:id="3890" w:name="_Ref467517665"/>
      <w:r>
        <w:t xml:space="preserve">If the net impact of a Relevant Cost Change on </w:t>
      </w:r>
      <w:bookmarkEnd w:id="3888"/>
      <w:r>
        <w:t>Project Operator is likely</w:t>
      </w:r>
      <w:r w:rsidR="00D367B9">
        <w:t>, at any time more than twelve (12) months after the Signing Date,</w:t>
      </w:r>
      <w:r>
        <w:t xml:space="preserve"> to result in: </w:t>
      </w:r>
    </w:p>
    <w:p w14:paraId="5D9F8680" w14:textId="1988A73B" w:rsidR="002901EA" w:rsidRPr="00305886" w:rsidRDefault="2C388DF0" w:rsidP="0058045D">
      <w:pPr>
        <w:pStyle w:val="Heading4"/>
      </w:pPr>
      <w:r>
        <w:t xml:space="preserve">a net increase in costs </w:t>
      </w:r>
      <w:r w:rsidR="00D367B9">
        <w:t xml:space="preserve">in the period from </w:t>
      </w:r>
      <w:r w:rsidR="00D367B9" w:rsidRPr="00041E4B">
        <w:t>twelve (12) months after the Signing Date</w:t>
      </w:r>
      <w:r w:rsidR="00D367B9">
        <w:t xml:space="preserve"> until the end of the Term </w:t>
      </w:r>
      <w:r>
        <w:t>that exceeds the Cost Change Threshold, then</w:t>
      </w:r>
      <w:bookmarkStart w:id="3891" w:name="_Ref101364595"/>
      <w:r>
        <w:t xml:space="preserve"> Project Operator may give the Commonwealth a notice under this clause </w:t>
      </w:r>
      <w:r w:rsidR="002D65A7">
        <w:fldChar w:fldCharType="begin"/>
      </w:r>
      <w:r w:rsidR="002D65A7">
        <w:instrText xml:space="preserve"> REF _Ref104289434 \r \h  \* MERGEFORMAT </w:instrText>
      </w:r>
      <w:r w:rsidR="002D65A7">
        <w:fldChar w:fldCharType="separate"/>
      </w:r>
      <w:r w:rsidR="002E5C6A">
        <w:t>21.3</w:t>
      </w:r>
      <w:r w:rsidR="002D65A7">
        <w:fldChar w:fldCharType="end"/>
      </w:r>
      <w:r>
        <w:t xml:space="preserve"> in respect of that Relevant Cost Change; or</w:t>
      </w:r>
    </w:p>
    <w:p w14:paraId="4BF7C613" w14:textId="30A43452" w:rsidR="002901EA" w:rsidRDefault="2C388DF0" w:rsidP="0058045D">
      <w:pPr>
        <w:pStyle w:val="Heading4"/>
      </w:pPr>
      <w:bookmarkStart w:id="3892" w:name="_Hlk108022970"/>
      <w:r>
        <w:t xml:space="preserve">a net reduction in costs </w:t>
      </w:r>
      <w:r w:rsidR="00A62C91">
        <w:t xml:space="preserve">in the period from </w:t>
      </w:r>
      <w:r w:rsidR="00A62C91" w:rsidRPr="00041E4B">
        <w:t>twelve (12) months after the Signing Date</w:t>
      </w:r>
      <w:r w:rsidR="00A62C91">
        <w:t xml:space="preserve"> until the end of the Term </w:t>
      </w:r>
      <w:r>
        <w:t xml:space="preserve">that exceeds the Cost Change Threshold, then Project Operator must give the Commonwealth a notice under this clause </w:t>
      </w:r>
      <w:r w:rsidR="00CD7A7B">
        <w:fldChar w:fldCharType="begin"/>
      </w:r>
      <w:r w:rsidR="00CD7A7B">
        <w:instrText xml:space="preserve"> REF _Ref104289434 \r \h  \* MERGEFORMAT </w:instrText>
      </w:r>
      <w:r w:rsidR="00CD7A7B">
        <w:fldChar w:fldCharType="separate"/>
      </w:r>
      <w:r w:rsidR="002E5C6A">
        <w:t>21.3</w:t>
      </w:r>
      <w:r w:rsidR="00CD7A7B">
        <w:fldChar w:fldCharType="end"/>
      </w:r>
      <w:r>
        <w:t xml:space="preserve"> in respect of that Relevant Cost Change.</w:t>
      </w:r>
      <w:bookmarkEnd w:id="3892"/>
      <w:r>
        <w:t xml:space="preserve"> </w:t>
      </w:r>
    </w:p>
    <w:p w14:paraId="5E40B815" w14:textId="789E3226" w:rsidR="00CD7A7B" w:rsidRDefault="2C388DF0" w:rsidP="0058045D">
      <w:pPr>
        <w:pStyle w:val="Heading3"/>
      </w:pPr>
      <w:r>
        <w:t xml:space="preserve">The net impact of a Relevant Cost Change pursuant to this clause </w:t>
      </w:r>
      <w:r w:rsidR="00102EB4">
        <w:fldChar w:fldCharType="begin"/>
      </w:r>
      <w:r w:rsidR="00102EB4">
        <w:instrText xml:space="preserve"> REF _Ref104289434 \r \h </w:instrText>
      </w:r>
      <w:r w:rsidR="00102EB4">
        <w:fldChar w:fldCharType="separate"/>
      </w:r>
      <w:r w:rsidR="002E5C6A">
        <w:t>21.3</w:t>
      </w:r>
      <w:r w:rsidR="00102EB4">
        <w:fldChar w:fldCharType="end"/>
      </w:r>
      <w:r>
        <w:t xml:space="preserve"> is to be calculated on the basis that Project Operator complies with its obligations under clause </w:t>
      </w:r>
      <w:r w:rsidR="00102EB4">
        <w:fldChar w:fldCharType="begin"/>
      </w:r>
      <w:r w:rsidR="00102EB4">
        <w:instrText xml:space="preserve"> REF _Ref467800438 \n \h </w:instrText>
      </w:r>
      <w:r w:rsidR="00102EB4">
        <w:fldChar w:fldCharType="separate"/>
      </w:r>
      <w:r w:rsidR="002E5C6A">
        <w:t>21.2</w:t>
      </w:r>
      <w:r w:rsidR="00102EB4">
        <w:fldChar w:fldCharType="end"/>
      </w:r>
      <w:r>
        <w:t xml:space="preserve"> (“</w:t>
      </w:r>
      <w:r w:rsidR="00102EB4">
        <w:fldChar w:fldCharType="begin"/>
      </w:r>
      <w:r w:rsidR="00102EB4">
        <w:instrText xml:space="preserve"> REF _Ref467800438 \h </w:instrText>
      </w:r>
      <w:r w:rsidR="00102EB4">
        <w:fldChar w:fldCharType="separate"/>
      </w:r>
      <w:r w:rsidR="002E5C6A">
        <w:t>Relevant Cost Change</w:t>
      </w:r>
      <w:r w:rsidR="00102EB4">
        <w:fldChar w:fldCharType="end"/>
      </w:r>
      <w:r>
        <w:t>”).</w:t>
      </w:r>
      <w:bookmarkEnd w:id="3889"/>
    </w:p>
    <w:p w14:paraId="73E2F3F0" w14:textId="01974AC1" w:rsidR="007368E4" w:rsidRDefault="2C388DF0" w:rsidP="0058045D">
      <w:pPr>
        <w:pStyle w:val="Heading3"/>
      </w:pPr>
      <w:bookmarkStart w:id="3893" w:name="_Hlk108091732"/>
      <w:r>
        <w:t xml:space="preserve">A notice given by Project Operator pursuant to this clause </w:t>
      </w:r>
      <w:r w:rsidR="002901EA">
        <w:fldChar w:fldCharType="begin"/>
      </w:r>
      <w:r w:rsidR="002901EA">
        <w:instrText xml:space="preserve"> REF _Ref104289434 \r \h </w:instrText>
      </w:r>
      <w:r w:rsidR="002901EA">
        <w:fldChar w:fldCharType="separate"/>
      </w:r>
      <w:r w:rsidR="002E5C6A">
        <w:t>21.3</w:t>
      </w:r>
      <w:r w:rsidR="002901EA">
        <w:fldChar w:fldCharType="end"/>
      </w:r>
      <w:r>
        <w:t xml:space="preserve"> must specify</w:t>
      </w:r>
      <w:bookmarkEnd w:id="3893"/>
      <w:r>
        <w:t>:</w:t>
      </w:r>
      <w:bookmarkEnd w:id="3890"/>
      <w:bookmarkEnd w:id="3891"/>
      <w:r>
        <w:t xml:space="preserve"> </w:t>
      </w:r>
    </w:p>
    <w:p w14:paraId="64B5371F" w14:textId="77777777" w:rsidR="007368E4" w:rsidRDefault="2C388DF0" w:rsidP="0058045D">
      <w:pPr>
        <w:pStyle w:val="Heading4"/>
      </w:pPr>
      <w:r>
        <w:t>reasonable details of the Relevant Cost Change and the circumstances that gave rise to it;</w:t>
      </w:r>
    </w:p>
    <w:p w14:paraId="171080B2" w14:textId="77777777" w:rsidR="007368E4" w:rsidRDefault="2C388DF0" w:rsidP="0058045D">
      <w:pPr>
        <w:pStyle w:val="Heading4"/>
      </w:pPr>
      <w:r>
        <w:t xml:space="preserve">Project Operator’s best estimate of the amount of the Relevant Cost Change (together with reasonable supporting evidence); </w:t>
      </w:r>
    </w:p>
    <w:p w14:paraId="6F25FDBC" w14:textId="4ED9E8EF" w:rsidR="007368E4" w:rsidRDefault="2C388DF0" w:rsidP="0058045D">
      <w:pPr>
        <w:pStyle w:val="Heading4"/>
      </w:pPr>
      <w:r>
        <w:t xml:space="preserve">reasonable evidence demonstrating Project Operator’s steps taken to use best endeavours to </w:t>
      </w:r>
      <w:r w:rsidR="00663559">
        <w:t xml:space="preserve">minimise </w:t>
      </w:r>
      <w:r>
        <w:t xml:space="preserve">additional costs and maximise reductions in costs in accordance with clause </w:t>
      </w:r>
      <w:r w:rsidR="00E25A6D">
        <w:fldChar w:fldCharType="begin"/>
      </w:r>
      <w:r w:rsidR="00E25A6D">
        <w:instrText xml:space="preserve"> REF _Ref467800438 \w \h </w:instrText>
      </w:r>
      <w:r w:rsidR="00E25A6D">
        <w:fldChar w:fldCharType="separate"/>
      </w:r>
      <w:r w:rsidR="002E5C6A">
        <w:t>21.2</w:t>
      </w:r>
      <w:r w:rsidR="00E25A6D">
        <w:fldChar w:fldCharType="end"/>
      </w:r>
      <w:r>
        <w:t xml:space="preserve">; and </w:t>
      </w:r>
    </w:p>
    <w:p w14:paraId="1F8403AB" w14:textId="4011D609" w:rsidR="007368E4" w:rsidRDefault="2C388DF0" w:rsidP="0058045D">
      <w:pPr>
        <w:pStyle w:val="Heading4"/>
      </w:pPr>
      <w:bookmarkStart w:id="3894" w:name="_Ref512608756"/>
      <w:r w:rsidRPr="00AD4C09">
        <w:t>the increase or decrease in the Annual Floor, Annual Ceiling</w:t>
      </w:r>
      <w:r w:rsidR="00CB45E3" w:rsidRPr="00AD4C09">
        <w:t xml:space="preserve"> and/or</w:t>
      </w:r>
      <w:r>
        <w:t xml:space="preserve"> Annual Payment Cap </w:t>
      </w:r>
      <w:r w:rsidR="00572339">
        <w:t xml:space="preserve">that </w:t>
      </w:r>
      <w:r>
        <w:t>Project Operator considers is required to pass through 50% of the Relevant Cost Change to the Commonwealth in accordance with the Cost Change Principles</w:t>
      </w:r>
      <w:bookmarkEnd w:id="3894"/>
      <w:r>
        <w:t>.</w:t>
      </w:r>
    </w:p>
    <w:p w14:paraId="268D8007" w14:textId="77777777" w:rsidR="00AD48BF" w:rsidRDefault="2C388DF0" w:rsidP="008C038D">
      <w:pPr>
        <w:pStyle w:val="Heading2"/>
      </w:pPr>
      <w:bookmarkStart w:id="3895" w:name="_Toc108020981"/>
      <w:bookmarkStart w:id="3896" w:name="_Toc108089357"/>
      <w:bookmarkStart w:id="3897" w:name="_Ref104286930"/>
      <w:bookmarkStart w:id="3898" w:name="_Ref165289111"/>
      <w:bookmarkStart w:id="3899" w:name="_Toc207309665"/>
      <w:bookmarkEnd w:id="3895"/>
      <w:bookmarkEnd w:id="3896"/>
      <w:r>
        <w:t xml:space="preserve">Adjustment to </w:t>
      </w:r>
      <w:bookmarkEnd w:id="3897"/>
      <w:r>
        <w:t>amounts and payment cap</w:t>
      </w:r>
      <w:bookmarkEnd w:id="3898"/>
      <w:bookmarkEnd w:id="3899"/>
    </w:p>
    <w:p w14:paraId="507252F7" w14:textId="21CF8D54" w:rsidR="007368E4" w:rsidRPr="00A016A2" w:rsidRDefault="00AD48BF" w:rsidP="0076796C">
      <w:pPr>
        <w:pStyle w:val="Heading3"/>
      </w:pPr>
      <w:bookmarkStart w:id="3900" w:name="_Toc515358991"/>
      <w:bookmarkStart w:id="3901" w:name="_Ref164690033"/>
      <w:bookmarkStart w:id="3902" w:name="_Ref180587617"/>
      <w:bookmarkStart w:id="3903" w:name="_Ref180587626"/>
      <w:r w:rsidRPr="2C388DF0">
        <w:t>I</w:t>
      </w:r>
      <w:r w:rsidR="007368E4" w:rsidRPr="2C388DF0">
        <w:t xml:space="preserve">f </w:t>
      </w:r>
      <w:r w:rsidR="00411B14" w:rsidRPr="2C388DF0">
        <w:t>Project Operator</w:t>
      </w:r>
      <w:r w:rsidR="007368E4" w:rsidRPr="2C388DF0">
        <w:t xml:space="preserve"> gives notice to </w:t>
      </w:r>
      <w:r w:rsidR="00BE77D6" w:rsidRPr="2C388DF0">
        <w:t>the Commonwealth</w:t>
      </w:r>
      <w:r w:rsidR="007368E4" w:rsidRPr="2C388DF0">
        <w:t xml:space="preserve"> in accordance with clause</w:t>
      </w:r>
      <w:r w:rsidRPr="00F13259">
        <w:rPr>
          <w:szCs w:val="18"/>
        </w:rPr>
        <w:t xml:space="preserve"> </w:t>
      </w:r>
      <w:r w:rsidR="001816DC">
        <w:rPr>
          <w:szCs w:val="18"/>
        </w:rPr>
        <w:fldChar w:fldCharType="begin"/>
      </w:r>
      <w:r w:rsidR="001816DC">
        <w:rPr>
          <w:szCs w:val="18"/>
        </w:rPr>
        <w:instrText xml:space="preserve"> REF _Ref104289434 \r \h </w:instrText>
      </w:r>
      <w:r w:rsidR="001816DC">
        <w:rPr>
          <w:szCs w:val="18"/>
        </w:rPr>
      </w:r>
      <w:r w:rsidR="001816DC">
        <w:rPr>
          <w:szCs w:val="18"/>
        </w:rPr>
        <w:fldChar w:fldCharType="separate"/>
      </w:r>
      <w:r w:rsidR="002E5C6A">
        <w:rPr>
          <w:szCs w:val="18"/>
        </w:rPr>
        <w:t>21.3</w:t>
      </w:r>
      <w:r w:rsidR="001816DC">
        <w:rPr>
          <w:szCs w:val="18"/>
        </w:rPr>
        <w:fldChar w:fldCharType="end"/>
      </w:r>
      <w:r w:rsidRPr="00F13259">
        <w:rPr>
          <w:szCs w:val="18"/>
        </w:rPr>
        <w:t xml:space="preserve"> (“</w:t>
      </w:r>
      <w:r w:rsidR="00A62C91">
        <w:rPr>
          <w:szCs w:val="18"/>
        </w:rPr>
        <w:fldChar w:fldCharType="begin"/>
      </w:r>
      <w:r w:rsidR="00A62C91">
        <w:rPr>
          <w:szCs w:val="18"/>
        </w:rPr>
        <w:instrText xml:space="preserve"> REF _Ref176530597 \h </w:instrText>
      </w:r>
      <w:r w:rsidR="00A62C91">
        <w:rPr>
          <w:szCs w:val="18"/>
        </w:rPr>
      </w:r>
      <w:r w:rsidR="00A62C91">
        <w:rPr>
          <w:szCs w:val="18"/>
        </w:rPr>
        <w:fldChar w:fldCharType="separate"/>
      </w:r>
      <w:r w:rsidR="002E5C6A">
        <w:t>Notice of Relevant Cost Change</w:t>
      </w:r>
      <w:r w:rsidR="00A62C91">
        <w:rPr>
          <w:szCs w:val="18"/>
        </w:rPr>
        <w:fldChar w:fldCharType="end"/>
      </w:r>
      <w:r w:rsidRPr="00F13259">
        <w:rPr>
          <w:szCs w:val="18"/>
        </w:rPr>
        <w:t>”)</w:t>
      </w:r>
      <w:r w:rsidR="007368E4" w:rsidRPr="2C388DF0">
        <w:t xml:space="preserve">, then the parties will negotiate in good faith an adjustment to the </w:t>
      </w:r>
      <w:r w:rsidR="005316D4" w:rsidRPr="2C388DF0">
        <w:t>Annual Floor</w:t>
      </w:r>
      <w:r w:rsidR="00E330E8">
        <w:rPr>
          <w:szCs w:val="18"/>
        </w:rPr>
        <w:t>,</w:t>
      </w:r>
      <w:r w:rsidR="005316D4">
        <w:rPr>
          <w:szCs w:val="18"/>
        </w:rPr>
        <w:t xml:space="preserve"> </w:t>
      </w:r>
      <w:r w:rsidR="005316D4" w:rsidRPr="00E330E8">
        <w:t>Annual</w:t>
      </w:r>
      <w:r w:rsidR="005316D4" w:rsidRPr="2C388DF0">
        <w:t xml:space="preserve"> Ceiling</w:t>
      </w:r>
      <w:r w:rsidR="00E330E8" w:rsidRPr="00792B2E">
        <w:t xml:space="preserve"> </w:t>
      </w:r>
      <w:r w:rsidR="00572339">
        <w:t>and/</w:t>
      </w:r>
      <w:r w:rsidR="00E330E8" w:rsidRPr="00792B2E">
        <w:t xml:space="preserve">or Annual </w:t>
      </w:r>
      <w:r w:rsidR="00E330E8" w:rsidRPr="2C388DF0">
        <w:t>Payment Cap</w:t>
      </w:r>
      <w:r w:rsidR="007368E4" w:rsidRPr="2C388DF0">
        <w:t xml:space="preserve"> </w:t>
      </w:r>
      <w:r w:rsidR="00572339">
        <w:t>that</w:t>
      </w:r>
      <w:r w:rsidR="00572339" w:rsidRPr="2C388DF0">
        <w:t xml:space="preserve"> </w:t>
      </w:r>
      <w:r w:rsidR="007368E4" w:rsidRPr="2C388DF0">
        <w:t xml:space="preserve">the parties consider is required to pass through 50% </w:t>
      </w:r>
      <w:r w:rsidR="002B073A" w:rsidRPr="2C388DF0">
        <w:t xml:space="preserve">of the </w:t>
      </w:r>
      <w:r w:rsidR="007368E4" w:rsidRPr="2C388DF0">
        <w:t xml:space="preserve">Relevant Cost Change </w:t>
      </w:r>
      <w:r w:rsidR="00A62C91" w:rsidRPr="00B80E5D">
        <w:t xml:space="preserve">(incurred at any time more than twelve (12) months after the Signing Date) </w:t>
      </w:r>
      <w:r w:rsidR="007368E4" w:rsidRPr="2C388DF0">
        <w:t xml:space="preserve">to </w:t>
      </w:r>
      <w:r w:rsidR="00BE77D6" w:rsidRPr="2C388DF0">
        <w:t>the Commonwealth</w:t>
      </w:r>
      <w:r w:rsidR="007368E4" w:rsidRPr="2C388DF0">
        <w:t xml:space="preserve"> in accordance with the Cost Change Principles</w:t>
      </w:r>
      <w:r w:rsidR="007368E4" w:rsidRPr="00C7032A">
        <w:t>.</w:t>
      </w:r>
      <w:bookmarkEnd w:id="3900"/>
      <w:bookmarkEnd w:id="3901"/>
      <w:bookmarkEnd w:id="3902"/>
      <w:bookmarkEnd w:id="3903"/>
    </w:p>
    <w:p w14:paraId="3F2C5B33" w14:textId="4777DA8D" w:rsidR="00A62C91" w:rsidRDefault="00A62C91" w:rsidP="00A62C91">
      <w:pPr>
        <w:pStyle w:val="Heading3"/>
      </w:pPr>
      <w:bookmarkStart w:id="3904" w:name="_Toc515358992"/>
      <w:r>
        <w:t xml:space="preserve">If the parties agree </w:t>
      </w:r>
      <w:r w:rsidRPr="2C388DF0">
        <w:t>an adjustment to the Annual Floor</w:t>
      </w:r>
      <w:r w:rsidRPr="00C66D3D">
        <w:t xml:space="preserve">, </w:t>
      </w:r>
      <w:r w:rsidRPr="00E330E8">
        <w:t>Annual</w:t>
      </w:r>
      <w:r w:rsidRPr="2C388DF0">
        <w:t xml:space="preserve"> Ceiling</w:t>
      </w:r>
      <w:r w:rsidRPr="00792B2E">
        <w:t xml:space="preserve"> </w:t>
      </w:r>
      <w:r>
        <w:t>and/</w:t>
      </w:r>
      <w:r w:rsidRPr="00792B2E">
        <w:t xml:space="preserve">or Annual </w:t>
      </w:r>
      <w:r w:rsidRPr="2C388DF0">
        <w:t>Payment Cap</w:t>
      </w:r>
      <w:r>
        <w:t xml:space="preserve"> pursuant to clause </w:t>
      </w:r>
      <w:r>
        <w:fldChar w:fldCharType="begin"/>
      </w:r>
      <w:r>
        <w:instrText xml:space="preserve"> REF _Ref165289111 \r \h </w:instrText>
      </w:r>
      <w:r>
        <w:fldChar w:fldCharType="separate"/>
      </w:r>
      <w:r w:rsidR="002E5C6A">
        <w:t>21.4</w:t>
      </w:r>
      <w:r>
        <w:fldChar w:fldCharType="end"/>
      </w:r>
      <w:r w:rsidR="00E625EC">
        <w:fldChar w:fldCharType="begin"/>
      </w:r>
      <w:r w:rsidR="00E625EC">
        <w:instrText xml:space="preserve"> REF _Ref180587617 \n \h </w:instrText>
      </w:r>
      <w:r w:rsidR="00E625EC">
        <w:fldChar w:fldCharType="separate"/>
      </w:r>
      <w:r w:rsidR="002E5C6A">
        <w:t>(a)</w:t>
      </w:r>
      <w:r w:rsidR="00E625EC">
        <w:fldChar w:fldCharType="end"/>
      </w:r>
      <w:r>
        <w:t xml:space="preserve"> and Project Operator </w:t>
      </w:r>
      <w:r w:rsidRPr="00444521">
        <w:t xml:space="preserve">becomes aware that the value of the Relevant Cost Change </w:t>
      </w:r>
      <w:r w:rsidRPr="00202965">
        <w:t xml:space="preserve">is more or less than the Relevant Cost Change </w:t>
      </w:r>
      <w:r w:rsidR="005570B2">
        <w:t>a</w:t>
      </w:r>
      <w:r w:rsidRPr="00202965">
        <w:t xml:space="preserve">mount considered by the parties pursuant to </w:t>
      </w:r>
      <w:r>
        <w:fldChar w:fldCharType="begin"/>
      </w:r>
      <w:r>
        <w:instrText xml:space="preserve"> REF _Ref165289111 \r \h </w:instrText>
      </w:r>
      <w:r>
        <w:fldChar w:fldCharType="separate"/>
      </w:r>
      <w:r w:rsidR="002E5C6A">
        <w:t>21.4</w:t>
      </w:r>
      <w:r>
        <w:fldChar w:fldCharType="end"/>
      </w:r>
      <w:r w:rsidR="00E625EC">
        <w:fldChar w:fldCharType="begin"/>
      </w:r>
      <w:r w:rsidR="00E625EC">
        <w:instrText xml:space="preserve"> REF _Ref180587626 \n \h </w:instrText>
      </w:r>
      <w:r w:rsidR="00E625EC">
        <w:fldChar w:fldCharType="separate"/>
      </w:r>
      <w:r w:rsidR="002E5C6A">
        <w:t>(a)</w:t>
      </w:r>
      <w:r w:rsidR="00E625EC">
        <w:fldChar w:fldCharType="end"/>
      </w:r>
      <w:r w:rsidRPr="00202965">
        <w:t xml:space="preserve"> by an amount that is greater than the Specified Amount</w:t>
      </w:r>
      <w:r w:rsidRPr="00444521">
        <w:t>,</w:t>
      </w:r>
      <w:r>
        <w:t xml:space="preserve"> then </w:t>
      </w:r>
      <w:r w:rsidRPr="2C388DF0">
        <w:t>the parties will negotiate in good faith a</w:t>
      </w:r>
      <w:r>
        <w:t xml:space="preserve"> further</w:t>
      </w:r>
      <w:r w:rsidRPr="2C388DF0">
        <w:t xml:space="preserve"> adjustment to the Annual Floor</w:t>
      </w:r>
      <w:r w:rsidRPr="00C66D3D">
        <w:t xml:space="preserve">, </w:t>
      </w:r>
      <w:r w:rsidRPr="00E330E8">
        <w:t>Annual</w:t>
      </w:r>
      <w:r w:rsidRPr="2C388DF0">
        <w:t xml:space="preserve"> Ceiling</w:t>
      </w:r>
      <w:r w:rsidRPr="00792B2E">
        <w:t xml:space="preserve"> </w:t>
      </w:r>
      <w:r>
        <w:t>and/</w:t>
      </w:r>
      <w:r w:rsidRPr="00792B2E">
        <w:t xml:space="preserve">or Annual </w:t>
      </w:r>
      <w:r w:rsidRPr="2C388DF0">
        <w:t xml:space="preserve">Payment Cap </w:t>
      </w:r>
      <w:r>
        <w:t>that</w:t>
      </w:r>
      <w:r w:rsidRPr="2C388DF0">
        <w:t xml:space="preserve"> the parties consider is required to pass through </w:t>
      </w:r>
      <w:r>
        <w:t xml:space="preserve">no more than </w:t>
      </w:r>
      <w:r w:rsidRPr="00B80E5D">
        <w:t xml:space="preserve">50% of the </w:t>
      </w:r>
      <w:r>
        <w:t xml:space="preserve">revised value of the </w:t>
      </w:r>
      <w:r w:rsidRPr="00B80E5D">
        <w:t>Relevant Cost Change</w:t>
      </w:r>
      <w:r>
        <w:t xml:space="preserve"> </w:t>
      </w:r>
      <w:r w:rsidRPr="00B80E5D">
        <w:t>to the Commonwealth in accordance with the</w:t>
      </w:r>
      <w:r w:rsidRPr="2C388DF0">
        <w:t xml:space="preserve"> Cost Change Principles</w:t>
      </w:r>
      <w:r>
        <w:t xml:space="preserve">. </w:t>
      </w:r>
    </w:p>
    <w:p w14:paraId="23B39011" w14:textId="4B312C57" w:rsidR="00A62C91" w:rsidRDefault="00A62C91" w:rsidP="00A62C91">
      <w:pPr>
        <w:pStyle w:val="Heading3"/>
      </w:pPr>
      <w:bookmarkStart w:id="3905" w:name="_Ref205751551"/>
      <w:r>
        <w:t xml:space="preserve">In this </w:t>
      </w:r>
      <w:r w:rsidRPr="00E9294D">
        <w:t xml:space="preserve">clause </w:t>
      </w:r>
      <w:r>
        <w:fldChar w:fldCharType="begin"/>
      </w:r>
      <w:r>
        <w:instrText xml:space="preserve"> REF _Ref165289111 \r \h </w:instrText>
      </w:r>
      <w:r>
        <w:fldChar w:fldCharType="separate"/>
      </w:r>
      <w:r w:rsidR="002E5C6A">
        <w:t>21.4</w:t>
      </w:r>
      <w:r>
        <w:fldChar w:fldCharType="end"/>
      </w:r>
      <w:r w:rsidRPr="00E9294D">
        <w:t>, “</w:t>
      </w:r>
      <w:r w:rsidRPr="00202965">
        <w:rPr>
          <w:b/>
          <w:bCs/>
        </w:rPr>
        <w:t>Specified Amount</w:t>
      </w:r>
      <w:r w:rsidRPr="00E9294D">
        <w:t>” is an amount equal to 50% of the Cost Change Threshold.</w:t>
      </w:r>
      <w:bookmarkEnd w:id="3905"/>
    </w:p>
    <w:p w14:paraId="4B38427F" w14:textId="2225EDF4" w:rsidR="00A62C91" w:rsidRDefault="00A62C91" w:rsidP="0058045D">
      <w:pPr>
        <w:pStyle w:val="Heading2"/>
        <w:rPr>
          <w:iCs/>
        </w:rPr>
      </w:pPr>
      <w:bookmarkStart w:id="3906" w:name="_Toc180560228"/>
      <w:bookmarkStart w:id="3907" w:name="_Toc180560457"/>
      <w:bookmarkStart w:id="3908" w:name="_Toc180560229"/>
      <w:bookmarkStart w:id="3909" w:name="_Toc180560458"/>
      <w:bookmarkStart w:id="3910" w:name="_Toc180560230"/>
      <w:bookmarkStart w:id="3911" w:name="_Toc180560459"/>
      <w:bookmarkStart w:id="3912" w:name="_Toc180560231"/>
      <w:bookmarkStart w:id="3913" w:name="_Toc180560460"/>
      <w:bookmarkStart w:id="3914" w:name="_Toc180560232"/>
      <w:bookmarkStart w:id="3915" w:name="_Toc180560461"/>
      <w:bookmarkStart w:id="3916" w:name="_Ref180587600"/>
      <w:bookmarkStart w:id="3917" w:name="_Toc207309666"/>
      <w:bookmarkStart w:id="3918" w:name="_Ref101364739"/>
      <w:bookmarkEnd w:id="3904"/>
      <w:bookmarkEnd w:id="3906"/>
      <w:bookmarkEnd w:id="3907"/>
      <w:bookmarkEnd w:id="3908"/>
      <w:bookmarkEnd w:id="3909"/>
      <w:bookmarkEnd w:id="3910"/>
      <w:bookmarkEnd w:id="3911"/>
      <w:bookmarkEnd w:id="3912"/>
      <w:bookmarkEnd w:id="3913"/>
      <w:bookmarkEnd w:id="3914"/>
      <w:bookmarkEnd w:id="3915"/>
      <w:r>
        <w:rPr>
          <w:iCs/>
        </w:rPr>
        <w:t>Dispute resolution in respect of adjustments to the Annual Floor, Annual Ceiling or Annual Payment Cap</w:t>
      </w:r>
      <w:bookmarkEnd w:id="3916"/>
      <w:bookmarkEnd w:id="3917"/>
      <w:r>
        <w:rPr>
          <w:iCs/>
        </w:rPr>
        <w:t xml:space="preserve"> </w:t>
      </w:r>
    </w:p>
    <w:p w14:paraId="290B99F2" w14:textId="679A60B9" w:rsidR="00A62C91" w:rsidRPr="00A016A2" w:rsidRDefault="00A62C91" w:rsidP="0076796C">
      <w:pPr>
        <w:pStyle w:val="Heading3"/>
        <w:keepNext/>
        <w:numPr>
          <w:ilvl w:val="2"/>
          <w:numId w:val="44"/>
        </w:numPr>
      </w:pPr>
      <w:r w:rsidRPr="00A016A2">
        <w:t xml:space="preserve">If the parties fail to agree the required adjustment to the Annual Floor, Annual Ceiling or Annual Payment Cap under clause </w:t>
      </w:r>
      <w:r w:rsidRPr="00A016A2">
        <w:fldChar w:fldCharType="begin"/>
      </w:r>
      <w:r w:rsidRPr="00A016A2">
        <w:instrText xml:space="preserve"> REF _Ref104286930 \n \h </w:instrText>
      </w:r>
      <w:r>
        <w:instrText xml:space="preserve"> \* MERGEFORMAT </w:instrText>
      </w:r>
      <w:r w:rsidRPr="00A016A2">
        <w:fldChar w:fldCharType="separate"/>
      </w:r>
      <w:r w:rsidR="002E5C6A">
        <w:t>21.4</w:t>
      </w:r>
      <w:r w:rsidRPr="00A016A2">
        <w:fldChar w:fldCharType="end"/>
      </w:r>
      <w:r w:rsidRPr="00A016A2">
        <w:t xml:space="preserve"> (“</w:t>
      </w:r>
      <w:r w:rsidRPr="00A016A2">
        <w:fldChar w:fldCharType="begin"/>
      </w:r>
      <w:r w:rsidRPr="00A016A2">
        <w:instrText xml:space="preserve"> REF _Ref165289111 \h </w:instrText>
      </w:r>
      <w:r>
        <w:instrText xml:space="preserve"> \* MERGEFORMAT </w:instrText>
      </w:r>
      <w:r w:rsidRPr="00A016A2">
        <w:fldChar w:fldCharType="separate"/>
      </w:r>
      <w:r w:rsidR="002E5C6A">
        <w:t>Adjustment to amounts and payment cap</w:t>
      </w:r>
      <w:r w:rsidRPr="00A016A2">
        <w:fldChar w:fldCharType="end"/>
      </w:r>
      <w:r w:rsidRPr="00A016A2">
        <w:t>”) by the later of the date that is:</w:t>
      </w:r>
    </w:p>
    <w:p w14:paraId="3D1D92AF" w14:textId="6D74931F" w:rsidR="00A62C91" w:rsidRPr="00A016A2" w:rsidRDefault="00A62C91" w:rsidP="001A4268">
      <w:pPr>
        <w:pStyle w:val="Heading4"/>
        <w:numPr>
          <w:ilvl w:val="3"/>
          <w:numId w:val="45"/>
        </w:numPr>
        <w:tabs>
          <w:tab w:val="clear" w:pos="2211"/>
          <w:tab w:val="num" w:pos="2571"/>
        </w:tabs>
        <w:ind w:left="1800" w:hanging="360"/>
      </w:pPr>
      <w:r w:rsidRPr="00A016A2">
        <w:t xml:space="preserve">60 Business Days after receipt of the notice under clause </w:t>
      </w:r>
      <w:r w:rsidRPr="00A016A2">
        <w:fldChar w:fldCharType="begin"/>
      </w:r>
      <w:r w:rsidRPr="00A016A2">
        <w:instrText xml:space="preserve"> REF _Ref104289434 \n \h </w:instrText>
      </w:r>
      <w:r>
        <w:instrText xml:space="preserve"> \* MERGEFORMAT </w:instrText>
      </w:r>
      <w:r w:rsidRPr="00A016A2">
        <w:fldChar w:fldCharType="separate"/>
      </w:r>
      <w:r w:rsidR="002E5C6A">
        <w:t>21.3</w:t>
      </w:r>
      <w:r w:rsidRPr="00A016A2">
        <w:fldChar w:fldCharType="end"/>
      </w:r>
      <w:r w:rsidRPr="00A016A2">
        <w:t xml:space="preserve"> (“</w:t>
      </w:r>
      <w:r w:rsidRPr="00A016A2">
        <w:fldChar w:fldCharType="begin"/>
      </w:r>
      <w:r w:rsidRPr="00A016A2">
        <w:instrText xml:space="preserve"> REF _Ref104289434 \h </w:instrText>
      </w:r>
      <w:r>
        <w:instrText xml:space="preserve"> \* MERGEFORMAT </w:instrText>
      </w:r>
      <w:r w:rsidRPr="00A016A2">
        <w:fldChar w:fldCharType="separate"/>
      </w:r>
      <w:r w:rsidR="002E5C6A">
        <w:t>Notice</w:t>
      </w:r>
      <w:r w:rsidRPr="00A016A2">
        <w:fldChar w:fldCharType="end"/>
      </w:r>
      <w:r w:rsidRPr="00A016A2">
        <w:t>”); and</w:t>
      </w:r>
    </w:p>
    <w:p w14:paraId="32911F23" w14:textId="77777777" w:rsidR="00A62C91" w:rsidRPr="00A016A2" w:rsidRDefault="00A62C91" w:rsidP="001A4268">
      <w:pPr>
        <w:pStyle w:val="Heading4"/>
        <w:keepNext/>
        <w:numPr>
          <w:ilvl w:val="3"/>
          <w:numId w:val="45"/>
        </w:numPr>
        <w:tabs>
          <w:tab w:val="clear" w:pos="2211"/>
          <w:tab w:val="num" w:pos="2571"/>
        </w:tabs>
        <w:ind w:left="1800" w:hanging="360"/>
        <w:rPr>
          <w:iCs/>
        </w:rPr>
      </w:pPr>
      <w:r w:rsidRPr="00A016A2">
        <w:t>120 Business Days after the commencement of the relevant Change in Law,</w:t>
      </w:r>
    </w:p>
    <w:p w14:paraId="04645A36" w14:textId="4A95A66E" w:rsidR="00A62C91" w:rsidRPr="00A016A2" w:rsidRDefault="00A62C91" w:rsidP="00A62C91">
      <w:pPr>
        <w:pStyle w:val="Heading4"/>
        <w:numPr>
          <w:ilvl w:val="0"/>
          <w:numId w:val="0"/>
        </w:numPr>
        <w:ind w:left="1474"/>
        <w:rPr>
          <w:i/>
        </w:rPr>
      </w:pPr>
      <w:r w:rsidRPr="00A016A2">
        <w:rPr>
          <w:szCs w:val="18"/>
        </w:rPr>
        <w:t xml:space="preserve">then </w:t>
      </w:r>
      <w:r w:rsidRPr="00A016A2">
        <w:t xml:space="preserve">either party may refer the Dispute to an Independent </w:t>
      </w:r>
      <w:r w:rsidRPr="00A016A2">
        <w:rPr>
          <w:szCs w:val="18"/>
        </w:rPr>
        <w:t>Expert</w:t>
      </w:r>
      <w:r w:rsidRPr="00A016A2">
        <w:t xml:space="preserve"> for determination under clause </w:t>
      </w:r>
      <w:r w:rsidRPr="00A016A2">
        <w:fldChar w:fldCharType="begin"/>
      </w:r>
      <w:r w:rsidRPr="00A016A2">
        <w:instrText xml:space="preserve"> REF _Ref515106310 \w \h </w:instrText>
      </w:r>
      <w:r>
        <w:instrText xml:space="preserve"> \* MERGEFORMAT </w:instrText>
      </w:r>
      <w:r w:rsidRPr="00A016A2">
        <w:fldChar w:fldCharType="separate"/>
      </w:r>
      <w:r w:rsidR="002E5C6A">
        <w:t>27.6</w:t>
      </w:r>
      <w:r w:rsidRPr="00A016A2">
        <w:fldChar w:fldCharType="end"/>
      </w:r>
      <w:r w:rsidRPr="00A016A2">
        <w:t xml:space="preserve"> (“</w:t>
      </w:r>
      <w:r w:rsidRPr="00A016A2">
        <w:fldChar w:fldCharType="begin"/>
      </w:r>
      <w:r w:rsidRPr="00A016A2">
        <w:instrText xml:space="preserve"> REF _Ref515106310 \h </w:instrText>
      </w:r>
      <w:r>
        <w:instrText xml:space="preserve"> \* MERGEFORMAT </w:instrText>
      </w:r>
      <w:r w:rsidRPr="00A016A2">
        <w:fldChar w:fldCharType="separate"/>
      </w:r>
      <w:r w:rsidR="002E5C6A">
        <w:t>Independent Expert</w:t>
      </w:r>
      <w:r w:rsidRPr="00A016A2">
        <w:fldChar w:fldCharType="end"/>
      </w:r>
      <w:r w:rsidRPr="00A016A2">
        <w:t>”).</w:t>
      </w:r>
    </w:p>
    <w:p w14:paraId="0EFC6EFA" w14:textId="33456F3E" w:rsidR="00A62C91" w:rsidRPr="00A62C91" w:rsidRDefault="00A62C91" w:rsidP="0076796C">
      <w:pPr>
        <w:pStyle w:val="Heading3"/>
        <w:numPr>
          <w:ilvl w:val="2"/>
          <w:numId w:val="44"/>
        </w:numPr>
      </w:pPr>
      <w:r w:rsidRPr="00A016A2">
        <w:t>If a Dispute is referred to an Independent Expert</w:t>
      </w:r>
      <w:r w:rsidRPr="00A016A2">
        <w:rPr>
          <w:szCs w:val="18"/>
        </w:rPr>
        <w:t xml:space="preserve"> </w:t>
      </w:r>
      <w:r w:rsidRPr="00A016A2">
        <w:t xml:space="preserve">under this clause </w:t>
      </w:r>
      <w:r w:rsidR="00E625EC">
        <w:fldChar w:fldCharType="begin"/>
      </w:r>
      <w:r w:rsidR="00E625EC">
        <w:instrText xml:space="preserve"> REF _Ref180587600 \n \h </w:instrText>
      </w:r>
      <w:r w:rsidR="00E625EC">
        <w:fldChar w:fldCharType="separate"/>
      </w:r>
      <w:r w:rsidR="002E5C6A">
        <w:t>21.5</w:t>
      </w:r>
      <w:r w:rsidR="00E625EC">
        <w:fldChar w:fldCharType="end"/>
      </w:r>
      <w:r w:rsidRPr="00A016A2">
        <w:t xml:space="preserve">, then that Independent Expert must base </w:t>
      </w:r>
      <w:r w:rsidR="00663559">
        <w:t>their</w:t>
      </w:r>
      <w:r w:rsidR="00663559" w:rsidRPr="00A016A2">
        <w:t xml:space="preserve"> </w:t>
      </w:r>
      <w:r w:rsidRPr="00A016A2">
        <w:t>recommendation or decision on the Cost Change Principles.</w:t>
      </w:r>
    </w:p>
    <w:p w14:paraId="384FC997" w14:textId="31C0C452" w:rsidR="007368E4" w:rsidRPr="0058045D" w:rsidRDefault="2C388DF0" w:rsidP="0058045D">
      <w:pPr>
        <w:pStyle w:val="Heading2"/>
        <w:rPr>
          <w:iCs/>
        </w:rPr>
      </w:pPr>
      <w:bookmarkStart w:id="3919" w:name="_Ref177060495"/>
      <w:bookmarkStart w:id="3920" w:name="_Ref177060531"/>
      <w:bookmarkStart w:id="3921" w:name="_Toc207309667"/>
      <w:r w:rsidRPr="00A016A2">
        <w:t>Cost Change Principles</w:t>
      </w:r>
      <w:bookmarkEnd w:id="3918"/>
      <w:bookmarkEnd w:id="3919"/>
      <w:bookmarkEnd w:id="3920"/>
      <w:bookmarkEnd w:id="3921"/>
    </w:p>
    <w:p w14:paraId="67F5779A" w14:textId="77777777" w:rsidR="007368E4" w:rsidRPr="00A016A2" w:rsidRDefault="007368E4" w:rsidP="007368E4">
      <w:pPr>
        <w:pStyle w:val="Indent2"/>
        <w:rPr>
          <w:szCs w:val="18"/>
        </w:rPr>
      </w:pPr>
      <w:r w:rsidRPr="00A016A2">
        <w:rPr>
          <w:szCs w:val="18"/>
        </w:rPr>
        <w:t xml:space="preserve">The </w:t>
      </w:r>
      <w:r w:rsidR="00442075" w:rsidRPr="00A016A2">
        <w:rPr>
          <w:szCs w:val="18"/>
        </w:rPr>
        <w:t>“</w:t>
      </w:r>
      <w:r w:rsidRPr="00A016A2">
        <w:rPr>
          <w:b/>
          <w:bCs/>
          <w:szCs w:val="18"/>
        </w:rPr>
        <w:t>Cost Change Principles</w:t>
      </w:r>
      <w:r w:rsidR="00442075" w:rsidRPr="00A016A2">
        <w:rPr>
          <w:szCs w:val="18"/>
        </w:rPr>
        <w:t>”</w:t>
      </w:r>
      <w:r w:rsidRPr="00A016A2">
        <w:rPr>
          <w:szCs w:val="18"/>
        </w:rPr>
        <w:t xml:space="preserve"> </w:t>
      </w:r>
      <w:r w:rsidR="00442075" w:rsidRPr="00A016A2">
        <w:rPr>
          <w:szCs w:val="18"/>
        </w:rPr>
        <w:t xml:space="preserve">to be applied in determining an adjustment to the </w:t>
      </w:r>
      <w:r w:rsidR="005316D4" w:rsidRPr="00A016A2">
        <w:rPr>
          <w:szCs w:val="18"/>
        </w:rPr>
        <w:t>Annual Floor</w:t>
      </w:r>
      <w:r w:rsidR="00610147" w:rsidRPr="00A016A2">
        <w:rPr>
          <w:szCs w:val="18"/>
        </w:rPr>
        <w:t>,</w:t>
      </w:r>
      <w:r w:rsidR="005316D4" w:rsidRPr="00A016A2">
        <w:rPr>
          <w:szCs w:val="18"/>
        </w:rPr>
        <w:t xml:space="preserve"> Annual Ceiling</w:t>
      </w:r>
      <w:r w:rsidR="00610147" w:rsidRPr="00A016A2">
        <w:rPr>
          <w:szCs w:val="18"/>
        </w:rPr>
        <w:t xml:space="preserve"> or Annual Payment Cap</w:t>
      </w:r>
      <w:r w:rsidR="00442075" w:rsidRPr="00A016A2">
        <w:rPr>
          <w:szCs w:val="18"/>
        </w:rPr>
        <w:t xml:space="preserve"> </w:t>
      </w:r>
      <w:r w:rsidRPr="00A016A2">
        <w:rPr>
          <w:szCs w:val="18"/>
        </w:rPr>
        <w:t>are</w:t>
      </w:r>
      <w:r w:rsidR="005632E6" w:rsidRPr="00A016A2">
        <w:rPr>
          <w:szCs w:val="18"/>
        </w:rPr>
        <w:t xml:space="preserve"> as follows</w:t>
      </w:r>
      <w:r w:rsidRPr="00A016A2">
        <w:rPr>
          <w:szCs w:val="18"/>
        </w:rPr>
        <w:t>:</w:t>
      </w:r>
    </w:p>
    <w:p w14:paraId="4EFA2F4D" w14:textId="10D78A9B" w:rsidR="007368E4" w:rsidRPr="00A016A2" w:rsidRDefault="2C388DF0" w:rsidP="0058045D">
      <w:pPr>
        <w:pStyle w:val="Heading3"/>
        <w:rPr>
          <w:szCs w:val="18"/>
        </w:rPr>
      </w:pPr>
      <w:r w:rsidRPr="00A016A2">
        <w:t xml:space="preserve">the cost or benefit passed through to the Commonwealth will </w:t>
      </w:r>
      <w:r w:rsidR="0091353E">
        <w:t>be calculated after deduction of</w:t>
      </w:r>
      <w:r w:rsidRPr="00A016A2">
        <w:t xml:space="preserve"> the Cost Change Threshold amount;</w:t>
      </w:r>
    </w:p>
    <w:p w14:paraId="6EF58D70" w14:textId="77777777" w:rsidR="00255BFA" w:rsidRPr="00A016A2" w:rsidRDefault="2C388DF0" w:rsidP="0058045D">
      <w:pPr>
        <w:pStyle w:val="Heading3"/>
        <w:rPr>
          <w:szCs w:val="18"/>
        </w:rPr>
      </w:pPr>
      <w:r w:rsidRPr="00A016A2">
        <w:t xml:space="preserve">any adjustment to the Annual Floor, Annual Ceiling or Annual Payment Cap will commence at the start of the next </w:t>
      </w:r>
      <w:r w:rsidR="00B51FCA">
        <w:t>Support</w:t>
      </w:r>
      <w:r w:rsidR="00B51FCA" w:rsidRPr="00A016A2" w:rsidDel="00B51FCA">
        <w:t xml:space="preserve"> </w:t>
      </w:r>
      <w:r w:rsidRPr="00A016A2">
        <w:t>Year;</w:t>
      </w:r>
    </w:p>
    <w:p w14:paraId="5D3FF42D" w14:textId="0FCDDC17" w:rsidR="00FF7153" w:rsidRPr="00A016A2" w:rsidRDefault="2C388DF0" w:rsidP="0058045D">
      <w:pPr>
        <w:pStyle w:val="Heading3"/>
        <w:rPr>
          <w:szCs w:val="18"/>
        </w:rPr>
      </w:pPr>
      <w:r w:rsidRPr="00A016A2">
        <w:t>the adjusted Annual Floor, Annual Ceiling or Annual Payment Cap may vary throughout the remaining Term, provided that any such variation(s) occur</w:t>
      </w:r>
      <w:r w:rsidR="0091353E">
        <w:t>(</w:t>
      </w:r>
      <w:r w:rsidRPr="00A016A2">
        <w:t>s</w:t>
      </w:r>
      <w:r w:rsidR="0091353E">
        <w:t>)</w:t>
      </w:r>
      <w:r w:rsidRPr="00A016A2">
        <w:t xml:space="preserve"> at the start of the next</w:t>
      </w:r>
      <w:bookmarkStart w:id="3922" w:name="_Hlk160874063"/>
      <w:r w:rsidRPr="00A016A2">
        <w:t xml:space="preserve"> </w:t>
      </w:r>
      <w:r w:rsidR="00B51FCA">
        <w:t>Support</w:t>
      </w:r>
      <w:r w:rsidR="00B51FCA" w:rsidRPr="00A016A2" w:rsidDel="00B51FCA">
        <w:t xml:space="preserve"> </w:t>
      </w:r>
      <w:r w:rsidRPr="00A016A2">
        <w:t>Year;</w:t>
      </w:r>
    </w:p>
    <w:p w14:paraId="7987512A" w14:textId="48D33F9B" w:rsidR="007368E4" w:rsidRPr="00A016A2" w:rsidRDefault="2C388DF0" w:rsidP="0058045D">
      <w:pPr>
        <w:pStyle w:val="Heading3"/>
      </w:pPr>
      <w:r w:rsidRPr="00A016A2">
        <w:t xml:space="preserve">the adjustment will reflect the impact </w:t>
      </w:r>
      <w:r w:rsidR="0091353E">
        <w:t>that</w:t>
      </w:r>
      <w:r w:rsidR="0091353E" w:rsidRPr="00A016A2">
        <w:t xml:space="preserve"> </w:t>
      </w:r>
      <w:r w:rsidRPr="00A016A2">
        <w:t xml:space="preserve">the Change in Law </w:t>
      </w:r>
      <w:r w:rsidR="0091353E">
        <w:t xml:space="preserve">would have had </w:t>
      </w:r>
      <w:r w:rsidRPr="00A016A2">
        <w:t xml:space="preserve">on Project Operator </w:t>
      </w:r>
      <w:r w:rsidR="0091353E">
        <w:t>if</w:t>
      </w:r>
      <w:r w:rsidR="0091353E" w:rsidRPr="00A016A2">
        <w:t xml:space="preserve"> </w:t>
      </w:r>
      <w:r w:rsidRPr="00A016A2">
        <w:t xml:space="preserve">Project Operator </w:t>
      </w:r>
      <w:r w:rsidR="0091353E">
        <w:t xml:space="preserve">had </w:t>
      </w:r>
      <w:r w:rsidRPr="00A016A2">
        <w:t xml:space="preserve">used its best endeavours to </w:t>
      </w:r>
      <w:r w:rsidR="00663559">
        <w:t>minimise</w:t>
      </w:r>
      <w:r w:rsidR="00663559" w:rsidRPr="00A016A2">
        <w:t xml:space="preserve"> </w:t>
      </w:r>
      <w:r w:rsidRPr="00A016A2">
        <w:t xml:space="preserve">additional costs and maximise reductions in costs in accordance with clause </w:t>
      </w:r>
      <w:r w:rsidR="00C00DBF" w:rsidRPr="00A016A2">
        <w:fldChar w:fldCharType="begin"/>
      </w:r>
      <w:r w:rsidR="00C00DBF" w:rsidRPr="00A016A2">
        <w:instrText xml:space="preserve"> REF _Ref104286512 \w \h </w:instrText>
      </w:r>
      <w:r w:rsidR="00A016A2">
        <w:instrText xml:space="preserve"> \* MERGEFORMAT </w:instrText>
      </w:r>
      <w:r w:rsidR="00C00DBF" w:rsidRPr="00A016A2">
        <w:fldChar w:fldCharType="separate"/>
      </w:r>
      <w:r w:rsidR="002E5C6A">
        <w:t>21.1(a)(i)</w:t>
      </w:r>
      <w:r w:rsidR="00C00DBF" w:rsidRPr="00A016A2">
        <w:fldChar w:fldCharType="end"/>
      </w:r>
      <w:r w:rsidRPr="00A016A2">
        <w:t xml:space="preserve"> (“</w:t>
      </w:r>
      <w:r w:rsidR="00C00DBF" w:rsidRPr="00A016A2">
        <w:fldChar w:fldCharType="begin"/>
      </w:r>
      <w:r w:rsidR="00C00DBF" w:rsidRPr="00A016A2">
        <w:instrText xml:space="preserve"> REF _Ref493340328 \h </w:instrText>
      </w:r>
      <w:r w:rsidR="00A016A2">
        <w:instrText xml:space="preserve"> \* MERGEFORMAT </w:instrText>
      </w:r>
      <w:r w:rsidR="00C00DBF" w:rsidRPr="00A016A2">
        <w:fldChar w:fldCharType="separate"/>
      </w:r>
      <w:r w:rsidR="002E5C6A">
        <w:t>Change in Law</w:t>
      </w:r>
      <w:r w:rsidR="00C00DBF" w:rsidRPr="00A016A2">
        <w:fldChar w:fldCharType="end"/>
      </w:r>
      <w:r w:rsidRPr="00A016A2">
        <w:t>”);</w:t>
      </w:r>
    </w:p>
    <w:p w14:paraId="5741AAE6" w14:textId="209D11FF" w:rsidR="007368E4" w:rsidRPr="00A016A2" w:rsidRDefault="2C388DF0" w:rsidP="0058045D">
      <w:pPr>
        <w:pStyle w:val="Heading3"/>
        <w:rPr>
          <w:szCs w:val="18"/>
        </w:rPr>
      </w:pPr>
      <w:r w:rsidRPr="00A016A2">
        <w:t xml:space="preserve">any increase in Project Operator’s costs will be discounted </w:t>
      </w:r>
      <w:r w:rsidR="0091353E">
        <w:t>to take into account</w:t>
      </w:r>
      <w:r w:rsidR="0091353E" w:rsidRPr="00A016A2">
        <w:t xml:space="preserve"> </w:t>
      </w:r>
      <w:r w:rsidRPr="00A016A2">
        <w:t xml:space="preserve">any related economic benefit to Project Operator in respect of the Project associated with the relevant Change in Law (including any tax benefits); </w:t>
      </w:r>
    </w:p>
    <w:p w14:paraId="0D46101A" w14:textId="77777777" w:rsidR="007368E4" w:rsidRPr="00A016A2" w:rsidRDefault="2C388DF0" w:rsidP="0058045D">
      <w:pPr>
        <w:pStyle w:val="Heading3"/>
      </w:pPr>
      <w:r w:rsidRPr="00A016A2">
        <w:t>if the most efficient response to the Change in Law involves the incurring of capital expenditure by Project Operator, then the cost of that capital expenditure will be annualised and allocated on a proportional basis over the longer of the remaining part of the Term and the expected useful economic life of the relevant capital item; and</w:t>
      </w:r>
    </w:p>
    <w:p w14:paraId="53E4610D" w14:textId="3A187C32" w:rsidR="007368E4" w:rsidRDefault="2C388DF0" w:rsidP="0058045D">
      <w:pPr>
        <w:pStyle w:val="Heading3"/>
      </w:pPr>
      <w:r w:rsidRPr="00A016A2">
        <w:t>if a cost or benefit must be apportioned between the Project and another energy generation</w:t>
      </w:r>
      <w:r w:rsidR="00C621D1">
        <w:t>, dispatchable capacity</w:t>
      </w:r>
      <w:r w:rsidRPr="00A016A2">
        <w:t xml:space="preserve"> or storage project behind the Connection Point</w:t>
      </w:r>
      <w:r w:rsidR="008F4CFC">
        <w:t xml:space="preserve"> or the Measurement Point for the Project (as the case may be)[</w:t>
      </w:r>
      <w:r w:rsidRPr="00A016A2">
        <w:t xml:space="preserve">, </w:t>
      </w:r>
      <w:r w:rsidR="00760ADE">
        <w:t xml:space="preserve">[including the [Associated/Existing] Project], </w:t>
      </w:r>
      <w:r w:rsidRPr="00A016A2">
        <w:t xml:space="preserve">the apportionment will be </w:t>
      </w:r>
      <w:r w:rsidR="0091353E">
        <w:t xml:space="preserve">done in a manner </w:t>
      </w:r>
      <w:r w:rsidRPr="00A016A2">
        <w:t>consistent with the Apportionment Principles.</w:t>
      </w:r>
    </w:p>
    <w:p w14:paraId="24A50858" w14:textId="4BA01482" w:rsidR="00760ADE" w:rsidRPr="00A016A2" w:rsidRDefault="00760ADE" w:rsidP="001A4268">
      <w:pPr>
        <w:ind w:left="1474"/>
      </w:pPr>
      <w:r w:rsidRPr="008129EB">
        <w:t>[</w:t>
      </w:r>
      <w:r w:rsidRPr="00C500CE">
        <w:rPr>
          <w:b/>
          <w:bCs/>
          <w:i/>
          <w:iCs/>
          <w:highlight w:val="lightGray"/>
        </w:rPr>
        <w:t xml:space="preserve">Note: </w:t>
      </w:r>
      <w:r w:rsidR="00A717DD">
        <w:rPr>
          <w:b/>
          <w:bCs/>
          <w:i/>
          <w:iCs/>
          <w:highlight w:val="lightGray"/>
        </w:rPr>
        <w:t xml:space="preserve">the </w:t>
      </w:r>
      <w:r w:rsidRPr="00C500CE">
        <w:rPr>
          <w:b/>
          <w:bCs/>
          <w:i/>
          <w:iCs/>
          <w:highlight w:val="lightGray"/>
        </w:rPr>
        <w:t xml:space="preserve">words in square brackets </w:t>
      </w:r>
      <w:r w:rsidR="00A717DD">
        <w:rPr>
          <w:b/>
          <w:bCs/>
          <w:i/>
          <w:iCs/>
          <w:highlight w:val="lightGray"/>
        </w:rPr>
        <w:t xml:space="preserve">are </w:t>
      </w:r>
      <w:r w:rsidRPr="00C500CE">
        <w:rPr>
          <w:b/>
          <w:bCs/>
          <w:i/>
          <w:iCs/>
          <w:highlight w:val="lightGray"/>
        </w:rPr>
        <w:t>to be included for all Hybrid Projects and Staged Projects (as applicable).</w:t>
      </w:r>
      <w:r w:rsidRPr="008129EB">
        <w:t>]</w:t>
      </w:r>
    </w:p>
    <w:p w14:paraId="7B6C24FB" w14:textId="77777777" w:rsidR="007368E4" w:rsidRPr="00A016A2" w:rsidRDefault="2C388DF0" w:rsidP="0058045D">
      <w:pPr>
        <w:pStyle w:val="Heading2"/>
      </w:pPr>
      <w:bookmarkStart w:id="3923" w:name="_Toc207309668"/>
      <w:r w:rsidRPr="00A016A2">
        <w:t>No adjustment to amounts and payment cap</w:t>
      </w:r>
      <w:bookmarkEnd w:id="3923"/>
    </w:p>
    <w:p w14:paraId="7ED3BBA6" w14:textId="0DA4C7E6" w:rsidR="007368E4" w:rsidRDefault="007368E4" w:rsidP="007368E4">
      <w:pPr>
        <w:pStyle w:val="BodyText"/>
        <w:ind w:left="710"/>
      </w:pPr>
      <w:r w:rsidRPr="00A016A2">
        <w:t xml:space="preserve">Notwithstanding any other provision of this agreement, no adjustment will be made to the </w:t>
      </w:r>
      <w:r w:rsidR="005316D4" w:rsidRPr="00A016A2">
        <w:t>Annual Floor</w:t>
      </w:r>
      <w:r w:rsidR="005632E6" w:rsidRPr="00A016A2">
        <w:t>,</w:t>
      </w:r>
      <w:r w:rsidR="005316D4" w:rsidRPr="00A016A2">
        <w:t xml:space="preserve"> Annual Ceiling</w:t>
      </w:r>
      <w:r w:rsidR="005632E6" w:rsidRPr="00A016A2">
        <w:t xml:space="preserve"> or Annual </w:t>
      </w:r>
      <w:r w:rsidR="005632E6">
        <w:t>Payment Cap</w:t>
      </w:r>
      <w:r w:rsidRPr="00B662B1">
        <w:t xml:space="preserve"> for</w:t>
      </w:r>
      <w:r w:rsidR="0091353E">
        <w:t>,</w:t>
      </w:r>
      <w:r w:rsidRPr="00B662B1">
        <w:t xml:space="preserve"> </w:t>
      </w:r>
      <w:r w:rsidR="00E766F9">
        <w:t>or as a result of</w:t>
      </w:r>
      <w:r w:rsidR="008F4CFC">
        <w:t>:</w:t>
      </w:r>
    </w:p>
    <w:p w14:paraId="7D9D456A" w14:textId="77777777" w:rsidR="008F4CFC" w:rsidRDefault="008F4CFC" w:rsidP="008F660B">
      <w:pPr>
        <w:pStyle w:val="Heading3"/>
      </w:pPr>
      <w:r>
        <w:t>the commencement or cessation of any Green Product Scheme or the Reserve Capacity Mechanism (as defined in the ESM Rules); or</w:t>
      </w:r>
    </w:p>
    <w:p w14:paraId="31499AA5" w14:textId="5083E08D" w:rsidR="008F4CFC" w:rsidRDefault="008F4CFC" w:rsidP="008F660B">
      <w:pPr>
        <w:pStyle w:val="Heading3"/>
      </w:pPr>
      <w:r>
        <w:t xml:space="preserve">any change in the ESM Rules that implements a change in timeframes for settlement in the WEM, such that settlement under the ESM Rules is amended from 30 minutes. </w:t>
      </w:r>
    </w:p>
    <w:p w14:paraId="1BD2C2EC" w14:textId="77777777" w:rsidR="00B1487C" w:rsidRDefault="2BC382E4" w:rsidP="0058045D">
      <w:pPr>
        <w:pStyle w:val="Heading1"/>
      </w:pPr>
      <w:bookmarkStart w:id="3924" w:name="_Toc94781309"/>
      <w:bookmarkStart w:id="3925" w:name="_Toc94782219"/>
      <w:bookmarkStart w:id="3926" w:name="_Toc94782541"/>
      <w:bookmarkStart w:id="3927" w:name="_Toc94798274"/>
      <w:bookmarkStart w:id="3928" w:name="_Toc94872200"/>
      <w:bookmarkStart w:id="3929" w:name="_Toc94885473"/>
      <w:bookmarkStart w:id="3930" w:name="_Toc94885908"/>
      <w:bookmarkStart w:id="3931" w:name="_Toc94886351"/>
      <w:bookmarkStart w:id="3932" w:name="_Toc99723477"/>
      <w:bookmarkStart w:id="3933" w:name="_Toc94781310"/>
      <w:bookmarkStart w:id="3934" w:name="_Toc94782220"/>
      <w:bookmarkStart w:id="3935" w:name="_Toc94782542"/>
      <w:bookmarkStart w:id="3936" w:name="_Toc94798275"/>
      <w:bookmarkStart w:id="3937" w:name="_Toc94872201"/>
      <w:bookmarkStart w:id="3938" w:name="_Toc94885474"/>
      <w:bookmarkStart w:id="3939" w:name="_Toc94885909"/>
      <w:bookmarkStart w:id="3940" w:name="_Toc94886352"/>
      <w:bookmarkStart w:id="3941" w:name="_Toc99723478"/>
      <w:bookmarkStart w:id="3942" w:name="_Toc94781311"/>
      <w:bookmarkStart w:id="3943" w:name="_Toc94782221"/>
      <w:bookmarkStart w:id="3944" w:name="_Toc94782543"/>
      <w:bookmarkStart w:id="3945" w:name="_Toc94798276"/>
      <w:bookmarkStart w:id="3946" w:name="_Toc94872202"/>
      <w:bookmarkStart w:id="3947" w:name="_Toc94885475"/>
      <w:bookmarkStart w:id="3948" w:name="_Toc94885910"/>
      <w:bookmarkStart w:id="3949" w:name="_Toc94886353"/>
      <w:bookmarkStart w:id="3950" w:name="_Toc99723479"/>
      <w:bookmarkStart w:id="3951" w:name="_Toc94781312"/>
      <w:bookmarkStart w:id="3952" w:name="_Toc94782222"/>
      <w:bookmarkStart w:id="3953" w:name="_Toc94782544"/>
      <w:bookmarkStart w:id="3954" w:name="_Toc94798277"/>
      <w:bookmarkStart w:id="3955" w:name="_Toc94872203"/>
      <w:bookmarkStart w:id="3956" w:name="_Toc94885476"/>
      <w:bookmarkStart w:id="3957" w:name="_Toc94885911"/>
      <w:bookmarkStart w:id="3958" w:name="_Toc94886354"/>
      <w:bookmarkStart w:id="3959" w:name="_Toc99723480"/>
      <w:bookmarkStart w:id="3960" w:name="_Toc106118525"/>
      <w:bookmarkStart w:id="3961" w:name="_Toc106290459"/>
      <w:bookmarkStart w:id="3962" w:name="_Toc159511838"/>
      <w:bookmarkStart w:id="3963" w:name="_Toc94886372"/>
      <w:bookmarkStart w:id="3964" w:name="_Toc99723498"/>
      <w:bookmarkStart w:id="3965" w:name="_Toc94781337"/>
      <w:bookmarkStart w:id="3966" w:name="_Toc94782247"/>
      <w:bookmarkStart w:id="3967" w:name="_Toc94782569"/>
      <w:bookmarkStart w:id="3968" w:name="_Toc94798302"/>
      <w:bookmarkStart w:id="3969" w:name="_Toc94872228"/>
      <w:bookmarkStart w:id="3970" w:name="_Toc94885501"/>
      <w:bookmarkStart w:id="3971" w:name="_Toc94885936"/>
      <w:bookmarkStart w:id="3972" w:name="_Toc94886381"/>
      <w:bookmarkStart w:id="3973" w:name="_Toc99723507"/>
      <w:bookmarkStart w:id="3974" w:name="_Toc56502198"/>
      <w:bookmarkStart w:id="3975" w:name="_Toc56502459"/>
      <w:bookmarkStart w:id="3976" w:name="_Toc56502720"/>
      <w:bookmarkStart w:id="3977" w:name="_Toc56502199"/>
      <w:bookmarkStart w:id="3978" w:name="_Toc56502460"/>
      <w:bookmarkStart w:id="3979" w:name="_Toc56502721"/>
      <w:bookmarkStart w:id="3980" w:name="_Toc56502200"/>
      <w:bookmarkStart w:id="3981" w:name="_Toc56502461"/>
      <w:bookmarkStart w:id="3982" w:name="_Toc56502722"/>
      <w:bookmarkStart w:id="3983" w:name="_Toc56502201"/>
      <w:bookmarkStart w:id="3984" w:name="_Toc56502462"/>
      <w:bookmarkStart w:id="3985" w:name="_Toc56502723"/>
      <w:bookmarkStart w:id="3986" w:name="_Toc56502202"/>
      <w:bookmarkStart w:id="3987" w:name="_Toc56502463"/>
      <w:bookmarkStart w:id="3988" w:name="_Toc56502724"/>
      <w:bookmarkStart w:id="3989" w:name="_Toc56502203"/>
      <w:bookmarkStart w:id="3990" w:name="_Toc56502464"/>
      <w:bookmarkStart w:id="3991" w:name="_Toc56502725"/>
      <w:bookmarkStart w:id="3992" w:name="_Toc56502204"/>
      <w:bookmarkStart w:id="3993" w:name="_Toc56502465"/>
      <w:bookmarkStart w:id="3994" w:name="_Toc56502726"/>
      <w:bookmarkStart w:id="3995" w:name="_Toc56502205"/>
      <w:bookmarkStart w:id="3996" w:name="_Toc56502466"/>
      <w:bookmarkStart w:id="3997" w:name="_Toc56502727"/>
      <w:bookmarkStart w:id="3998" w:name="_Toc56502206"/>
      <w:bookmarkStart w:id="3999" w:name="_Toc56502467"/>
      <w:bookmarkStart w:id="4000" w:name="_Toc56502728"/>
      <w:bookmarkStart w:id="4001" w:name="_Toc94885502"/>
      <w:bookmarkStart w:id="4002" w:name="_Toc94885937"/>
      <w:bookmarkStart w:id="4003" w:name="_Toc94886382"/>
      <w:bookmarkStart w:id="4004" w:name="_Toc99723508"/>
      <w:bookmarkStart w:id="4005" w:name="_Toc94885503"/>
      <w:bookmarkStart w:id="4006" w:name="_Toc94885938"/>
      <w:bookmarkStart w:id="4007" w:name="_Toc94886383"/>
      <w:bookmarkStart w:id="4008" w:name="_Toc99723509"/>
      <w:bookmarkStart w:id="4009" w:name="_Toc94885504"/>
      <w:bookmarkStart w:id="4010" w:name="_Toc94885939"/>
      <w:bookmarkStart w:id="4011" w:name="_Toc94886384"/>
      <w:bookmarkStart w:id="4012" w:name="_Toc99723510"/>
      <w:bookmarkStart w:id="4013" w:name="_Toc94885505"/>
      <w:bookmarkStart w:id="4014" w:name="_Toc94885940"/>
      <w:bookmarkStart w:id="4015" w:name="_Toc94886385"/>
      <w:bookmarkStart w:id="4016" w:name="_Toc99723511"/>
      <w:bookmarkStart w:id="4017" w:name="_Toc94885506"/>
      <w:bookmarkStart w:id="4018" w:name="_Toc94885941"/>
      <w:bookmarkStart w:id="4019" w:name="_Toc94886386"/>
      <w:bookmarkStart w:id="4020" w:name="_Toc99723512"/>
      <w:bookmarkStart w:id="4021" w:name="_Toc94885507"/>
      <w:bookmarkStart w:id="4022" w:name="_Toc94885942"/>
      <w:bookmarkStart w:id="4023" w:name="_Toc94886387"/>
      <w:bookmarkStart w:id="4024" w:name="_Toc99723513"/>
      <w:bookmarkStart w:id="4025" w:name="_Toc94885508"/>
      <w:bookmarkStart w:id="4026" w:name="_Toc94885943"/>
      <w:bookmarkStart w:id="4027" w:name="_Toc94886388"/>
      <w:bookmarkStart w:id="4028" w:name="_Toc99723514"/>
      <w:bookmarkStart w:id="4029" w:name="_Toc94885509"/>
      <w:bookmarkStart w:id="4030" w:name="_Toc94885944"/>
      <w:bookmarkStart w:id="4031" w:name="_Toc94886389"/>
      <w:bookmarkStart w:id="4032" w:name="_Toc99723515"/>
      <w:bookmarkStart w:id="4033" w:name="_Toc94885510"/>
      <w:bookmarkStart w:id="4034" w:name="_Toc94885945"/>
      <w:bookmarkStart w:id="4035" w:name="_Toc94886390"/>
      <w:bookmarkStart w:id="4036" w:name="_Toc99723516"/>
      <w:bookmarkStart w:id="4037" w:name="_Toc94885511"/>
      <w:bookmarkStart w:id="4038" w:name="_Toc94885946"/>
      <w:bookmarkStart w:id="4039" w:name="_Toc94886391"/>
      <w:bookmarkStart w:id="4040" w:name="_Toc99723517"/>
      <w:bookmarkStart w:id="4041" w:name="_Toc94885512"/>
      <w:bookmarkStart w:id="4042" w:name="_Toc94885947"/>
      <w:bookmarkStart w:id="4043" w:name="_Toc94886392"/>
      <w:bookmarkStart w:id="4044" w:name="_Toc99723518"/>
      <w:bookmarkStart w:id="4045" w:name="_Toc492494329"/>
      <w:bookmarkStart w:id="4046" w:name="_Toc492504560"/>
      <w:bookmarkStart w:id="4047" w:name="_Toc492504820"/>
      <w:bookmarkStart w:id="4048" w:name="_Toc492494330"/>
      <w:bookmarkStart w:id="4049" w:name="_Toc492504561"/>
      <w:bookmarkStart w:id="4050" w:name="_Toc492504821"/>
      <w:bookmarkStart w:id="4051" w:name="_Toc492494331"/>
      <w:bookmarkStart w:id="4052" w:name="_Toc492504562"/>
      <w:bookmarkStart w:id="4053" w:name="_Toc492504822"/>
      <w:bookmarkStart w:id="4054" w:name="_Toc492494332"/>
      <w:bookmarkStart w:id="4055" w:name="_Toc492504563"/>
      <w:bookmarkStart w:id="4056" w:name="_Toc492504823"/>
      <w:bookmarkStart w:id="4057" w:name="_Toc492494333"/>
      <w:bookmarkStart w:id="4058" w:name="_Toc492504564"/>
      <w:bookmarkStart w:id="4059" w:name="_Toc492504824"/>
      <w:bookmarkStart w:id="4060" w:name="_Toc492494334"/>
      <w:bookmarkStart w:id="4061" w:name="_Toc492504565"/>
      <w:bookmarkStart w:id="4062" w:name="_Toc492504825"/>
      <w:bookmarkStart w:id="4063" w:name="_Toc492494335"/>
      <w:bookmarkStart w:id="4064" w:name="_Toc492504566"/>
      <w:bookmarkStart w:id="4065" w:name="_Toc492504826"/>
      <w:bookmarkStart w:id="4066" w:name="_Toc492494336"/>
      <w:bookmarkStart w:id="4067" w:name="_Toc492504567"/>
      <w:bookmarkStart w:id="4068" w:name="_Toc492504827"/>
      <w:bookmarkStart w:id="4069" w:name="_Toc492494337"/>
      <w:bookmarkStart w:id="4070" w:name="_Toc492504568"/>
      <w:bookmarkStart w:id="4071" w:name="_Toc492504828"/>
      <w:bookmarkStart w:id="4072" w:name="_Toc94623752"/>
      <w:bookmarkStart w:id="4073" w:name="_Toc94624066"/>
      <w:bookmarkStart w:id="4074" w:name="_Toc94781346"/>
      <w:bookmarkStart w:id="4075" w:name="_Toc94782256"/>
      <w:bookmarkStart w:id="4076" w:name="_Toc94782578"/>
      <w:bookmarkStart w:id="4077" w:name="_Toc94798312"/>
      <w:bookmarkStart w:id="4078" w:name="_Toc94872238"/>
      <w:bookmarkStart w:id="4079" w:name="_Toc94885517"/>
      <w:bookmarkStart w:id="4080" w:name="_Toc94885952"/>
      <w:bookmarkStart w:id="4081" w:name="_Toc94886397"/>
      <w:bookmarkStart w:id="4082" w:name="_Toc99723523"/>
      <w:bookmarkStart w:id="4083" w:name="_Toc94623753"/>
      <w:bookmarkStart w:id="4084" w:name="_Toc94624067"/>
      <w:bookmarkStart w:id="4085" w:name="_Toc94781347"/>
      <w:bookmarkStart w:id="4086" w:name="_Toc94782257"/>
      <w:bookmarkStart w:id="4087" w:name="_Toc94782579"/>
      <w:bookmarkStart w:id="4088" w:name="_Toc94798313"/>
      <w:bookmarkStart w:id="4089" w:name="_Toc94872239"/>
      <w:bookmarkStart w:id="4090" w:name="_Toc94885518"/>
      <w:bookmarkStart w:id="4091" w:name="_Toc94885953"/>
      <w:bookmarkStart w:id="4092" w:name="_Toc94886398"/>
      <w:bookmarkStart w:id="4093" w:name="_Toc99723524"/>
      <w:bookmarkStart w:id="4094" w:name="_Toc94623754"/>
      <w:bookmarkStart w:id="4095" w:name="_Toc94624068"/>
      <w:bookmarkStart w:id="4096" w:name="_Toc94781348"/>
      <w:bookmarkStart w:id="4097" w:name="_Toc94782258"/>
      <w:bookmarkStart w:id="4098" w:name="_Toc94782580"/>
      <w:bookmarkStart w:id="4099" w:name="_Toc94798314"/>
      <w:bookmarkStart w:id="4100" w:name="_Toc94872240"/>
      <w:bookmarkStart w:id="4101" w:name="_Toc94885519"/>
      <w:bookmarkStart w:id="4102" w:name="_Toc94885954"/>
      <w:bookmarkStart w:id="4103" w:name="_Toc94886399"/>
      <w:bookmarkStart w:id="4104" w:name="_Toc99723525"/>
      <w:bookmarkStart w:id="4105" w:name="_Toc94623755"/>
      <w:bookmarkStart w:id="4106" w:name="_Toc94624069"/>
      <w:bookmarkStart w:id="4107" w:name="_Toc94781349"/>
      <w:bookmarkStart w:id="4108" w:name="_Toc94782259"/>
      <w:bookmarkStart w:id="4109" w:name="_Toc94782581"/>
      <w:bookmarkStart w:id="4110" w:name="_Toc94798315"/>
      <w:bookmarkStart w:id="4111" w:name="_Toc94872241"/>
      <w:bookmarkStart w:id="4112" w:name="_Toc94885520"/>
      <w:bookmarkStart w:id="4113" w:name="_Toc94885955"/>
      <w:bookmarkStart w:id="4114" w:name="_Toc94886400"/>
      <w:bookmarkStart w:id="4115" w:name="_Toc99723526"/>
      <w:bookmarkStart w:id="4116" w:name="_Toc94623756"/>
      <w:bookmarkStart w:id="4117" w:name="_Toc94624070"/>
      <w:bookmarkStart w:id="4118" w:name="_Toc94781350"/>
      <w:bookmarkStart w:id="4119" w:name="_Toc94782260"/>
      <w:bookmarkStart w:id="4120" w:name="_Toc94782582"/>
      <w:bookmarkStart w:id="4121" w:name="_Toc94798316"/>
      <w:bookmarkStart w:id="4122" w:name="_Toc94872242"/>
      <w:bookmarkStart w:id="4123" w:name="_Toc94885521"/>
      <w:bookmarkStart w:id="4124" w:name="_Toc94885956"/>
      <w:bookmarkStart w:id="4125" w:name="_Toc94886401"/>
      <w:bookmarkStart w:id="4126" w:name="_Toc99723527"/>
      <w:bookmarkStart w:id="4127" w:name="_Toc94623757"/>
      <w:bookmarkStart w:id="4128" w:name="_Toc94624071"/>
      <w:bookmarkStart w:id="4129" w:name="_Toc94781351"/>
      <w:bookmarkStart w:id="4130" w:name="_Toc94782261"/>
      <w:bookmarkStart w:id="4131" w:name="_Toc94782583"/>
      <w:bookmarkStart w:id="4132" w:name="_Toc94798317"/>
      <w:bookmarkStart w:id="4133" w:name="_Toc94872243"/>
      <w:bookmarkStart w:id="4134" w:name="_Toc94885522"/>
      <w:bookmarkStart w:id="4135" w:name="_Toc94885957"/>
      <w:bookmarkStart w:id="4136" w:name="_Toc94886402"/>
      <w:bookmarkStart w:id="4137" w:name="_Toc99723528"/>
      <w:bookmarkStart w:id="4138" w:name="_Toc94623758"/>
      <w:bookmarkStart w:id="4139" w:name="_Toc94624072"/>
      <w:bookmarkStart w:id="4140" w:name="_Toc94781352"/>
      <w:bookmarkStart w:id="4141" w:name="_Toc94782262"/>
      <w:bookmarkStart w:id="4142" w:name="_Toc94782584"/>
      <w:bookmarkStart w:id="4143" w:name="_Toc94798318"/>
      <w:bookmarkStart w:id="4144" w:name="_Toc94872244"/>
      <w:bookmarkStart w:id="4145" w:name="_Toc94885523"/>
      <w:bookmarkStart w:id="4146" w:name="_Toc94885958"/>
      <w:bookmarkStart w:id="4147" w:name="_Toc94886403"/>
      <w:bookmarkStart w:id="4148" w:name="_Toc99723529"/>
      <w:bookmarkStart w:id="4149" w:name="_Toc94623759"/>
      <w:bookmarkStart w:id="4150" w:name="_Toc94624073"/>
      <w:bookmarkStart w:id="4151" w:name="_Toc94781353"/>
      <w:bookmarkStart w:id="4152" w:name="_Toc94782263"/>
      <w:bookmarkStart w:id="4153" w:name="_Toc94782585"/>
      <w:bookmarkStart w:id="4154" w:name="_Toc94798319"/>
      <w:bookmarkStart w:id="4155" w:name="_Toc94872245"/>
      <w:bookmarkStart w:id="4156" w:name="_Toc94885524"/>
      <w:bookmarkStart w:id="4157" w:name="_Toc94885959"/>
      <w:bookmarkStart w:id="4158" w:name="_Toc94886404"/>
      <w:bookmarkStart w:id="4159" w:name="_Toc99723530"/>
      <w:bookmarkStart w:id="4160" w:name="_Toc94623760"/>
      <w:bookmarkStart w:id="4161" w:name="_Toc94624074"/>
      <w:bookmarkStart w:id="4162" w:name="_Toc94781354"/>
      <w:bookmarkStart w:id="4163" w:name="_Toc94782264"/>
      <w:bookmarkStart w:id="4164" w:name="_Toc94782586"/>
      <w:bookmarkStart w:id="4165" w:name="_Toc94798320"/>
      <w:bookmarkStart w:id="4166" w:name="_Toc94872246"/>
      <w:bookmarkStart w:id="4167" w:name="_Toc94885525"/>
      <w:bookmarkStart w:id="4168" w:name="_Toc94885960"/>
      <w:bookmarkStart w:id="4169" w:name="_Toc94886405"/>
      <w:bookmarkStart w:id="4170" w:name="_Toc99723531"/>
      <w:bookmarkStart w:id="4171" w:name="_Toc94623761"/>
      <w:bookmarkStart w:id="4172" w:name="_Toc94624075"/>
      <w:bookmarkStart w:id="4173" w:name="_Toc94781355"/>
      <w:bookmarkStart w:id="4174" w:name="_Toc94782265"/>
      <w:bookmarkStart w:id="4175" w:name="_Toc94782587"/>
      <w:bookmarkStart w:id="4176" w:name="_Toc94798321"/>
      <w:bookmarkStart w:id="4177" w:name="_Toc94872247"/>
      <w:bookmarkStart w:id="4178" w:name="_Toc94885526"/>
      <w:bookmarkStart w:id="4179" w:name="_Toc94885961"/>
      <w:bookmarkStart w:id="4180" w:name="_Toc94886406"/>
      <w:bookmarkStart w:id="4181" w:name="_Toc99723532"/>
      <w:bookmarkStart w:id="4182" w:name="_Toc94623762"/>
      <w:bookmarkStart w:id="4183" w:name="_Toc94624076"/>
      <w:bookmarkStart w:id="4184" w:name="_Toc94781356"/>
      <w:bookmarkStart w:id="4185" w:name="_Toc94782266"/>
      <w:bookmarkStart w:id="4186" w:name="_Toc94782588"/>
      <w:bookmarkStart w:id="4187" w:name="_Toc94798322"/>
      <w:bookmarkStart w:id="4188" w:name="_Toc94872248"/>
      <w:bookmarkStart w:id="4189" w:name="_Toc94885527"/>
      <w:bookmarkStart w:id="4190" w:name="_Toc94885962"/>
      <w:bookmarkStart w:id="4191" w:name="_Toc94886407"/>
      <w:bookmarkStart w:id="4192" w:name="_Toc99723533"/>
      <w:bookmarkStart w:id="4193" w:name="_Toc94623763"/>
      <w:bookmarkStart w:id="4194" w:name="_Toc94624077"/>
      <w:bookmarkStart w:id="4195" w:name="_Toc94781357"/>
      <w:bookmarkStart w:id="4196" w:name="_Toc94782267"/>
      <w:bookmarkStart w:id="4197" w:name="_Toc94782589"/>
      <w:bookmarkStart w:id="4198" w:name="_Toc94798323"/>
      <w:bookmarkStart w:id="4199" w:name="_Toc94872249"/>
      <w:bookmarkStart w:id="4200" w:name="_Toc94885528"/>
      <w:bookmarkStart w:id="4201" w:name="_Toc94885963"/>
      <w:bookmarkStart w:id="4202" w:name="_Toc94886408"/>
      <w:bookmarkStart w:id="4203" w:name="_Toc99723534"/>
      <w:bookmarkStart w:id="4204" w:name="_Toc94623764"/>
      <w:bookmarkStart w:id="4205" w:name="_Toc94624078"/>
      <w:bookmarkStart w:id="4206" w:name="_Toc94781358"/>
      <w:bookmarkStart w:id="4207" w:name="_Toc94782268"/>
      <w:bookmarkStart w:id="4208" w:name="_Toc94782590"/>
      <w:bookmarkStart w:id="4209" w:name="_Toc94798324"/>
      <w:bookmarkStart w:id="4210" w:name="_Toc94872250"/>
      <w:bookmarkStart w:id="4211" w:name="_Toc94885529"/>
      <w:bookmarkStart w:id="4212" w:name="_Toc94885964"/>
      <w:bookmarkStart w:id="4213" w:name="_Toc94886409"/>
      <w:bookmarkStart w:id="4214" w:name="_Toc99723535"/>
      <w:bookmarkStart w:id="4215" w:name="_Toc94623765"/>
      <w:bookmarkStart w:id="4216" w:name="_Toc94624079"/>
      <w:bookmarkStart w:id="4217" w:name="_Toc94781359"/>
      <w:bookmarkStart w:id="4218" w:name="_Toc94782269"/>
      <w:bookmarkStart w:id="4219" w:name="_Toc94782591"/>
      <w:bookmarkStart w:id="4220" w:name="_Toc94798325"/>
      <w:bookmarkStart w:id="4221" w:name="_Toc94872251"/>
      <w:bookmarkStart w:id="4222" w:name="_Toc94885530"/>
      <w:bookmarkStart w:id="4223" w:name="_Toc94885965"/>
      <w:bookmarkStart w:id="4224" w:name="_Toc94886410"/>
      <w:bookmarkStart w:id="4225" w:name="_Toc99723536"/>
      <w:bookmarkStart w:id="4226" w:name="_Toc94623766"/>
      <w:bookmarkStart w:id="4227" w:name="_Toc94624080"/>
      <w:bookmarkStart w:id="4228" w:name="_Toc94781360"/>
      <w:bookmarkStart w:id="4229" w:name="_Toc94782270"/>
      <w:bookmarkStart w:id="4230" w:name="_Toc94782592"/>
      <w:bookmarkStart w:id="4231" w:name="_Toc94798326"/>
      <w:bookmarkStart w:id="4232" w:name="_Toc94872252"/>
      <w:bookmarkStart w:id="4233" w:name="_Toc94885531"/>
      <w:bookmarkStart w:id="4234" w:name="_Toc94885966"/>
      <w:bookmarkStart w:id="4235" w:name="_Toc94886411"/>
      <w:bookmarkStart w:id="4236" w:name="_Toc99723537"/>
      <w:bookmarkStart w:id="4237" w:name="_Toc94623767"/>
      <w:bookmarkStart w:id="4238" w:name="_Toc94624081"/>
      <w:bookmarkStart w:id="4239" w:name="_Toc94781361"/>
      <w:bookmarkStart w:id="4240" w:name="_Toc94782271"/>
      <w:bookmarkStart w:id="4241" w:name="_Toc94782593"/>
      <w:bookmarkStart w:id="4242" w:name="_Toc94798327"/>
      <w:bookmarkStart w:id="4243" w:name="_Toc94872253"/>
      <w:bookmarkStart w:id="4244" w:name="_Toc94885532"/>
      <w:bookmarkStart w:id="4245" w:name="_Toc94885967"/>
      <w:bookmarkStart w:id="4246" w:name="_Toc94886412"/>
      <w:bookmarkStart w:id="4247" w:name="_Toc99723538"/>
      <w:bookmarkStart w:id="4248" w:name="_Toc94623768"/>
      <w:bookmarkStart w:id="4249" w:name="_Toc94624082"/>
      <w:bookmarkStart w:id="4250" w:name="_Toc94781362"/>
      <w:bookmarkStart w:id="4251" w:name="_Toc94782272"/>
      <w:bookmarkStart w:id="4252" w:name="_Toc94782594"/>
      <w:bookmarkStart w:id="4253" w:name="_Toc94798328"/>
      <w:bookmarkStart w:id="4254" w:name="_Toc94872254"/>
      <w:bookmarkStart w:id="4255" w:name="_Toc94885533"/>
      <w:bookmarkStart w:id="4256" w:name="_Toc94885968"/>
      <w:bookmarkStart w:id="4257" w:name="_Toc94886413"/>
      <w:bookmarkStart w:id="4258" w:name="_Toc99723539"/>
      <w:bookmarkStart w:id="4259" w:name="_Toc94623769"/>
      <w:bookmarkStart w:id="4260" w:name="_Toc94624083"/>
      <w:bookmarkStart w:id="4261" w:name="_Toc94781363"/>
      <w:bookmarkStart w:id="4262" w:name="_Toc94782273"/>
      <w:bookmarkStart w:id="4263" w:name="_Toc94782595"/>
      <w:bookmarkStart w:id="4264" w:name="_Toc94798329"/>
      <w:bookmarkStart w:id="4265" w:name="_Toc94872255"/>
      <w:bookmarkStart w:id="4266" w:name="_Toc94885534"/>
      <w:bookmarkStart w:id="4267" w:name="_Toc94885969"/>
      <w:bookmarkStart w:id="4268" w:name="_Toc94886414"/>
      <w:bookmarkStart w:id="4269" w:name="_Toc99723540"/>
      <w:bookmarkStart w:id="4270" w:name="_Toc94623770"/>
      <w:bookmarkStart w:id="4271" w:name="_Toc94624084"/>
      <w:bookmarkStart w:id="4272" w:name="_Toc94781364"/>
      <w:bookmarkStart w:id="4273" w:name="_Toc94782274"/>
      <w:bookmarkStart w:id="4274" w:name="_Toc94782596"/>
      <w:bookmarkStart w:id="4275" w:name="_Toc94798330"/>
      <w:bookmarkStart w:id="4276" w:name="_Toc94872256"/>
      <w:bookmarkStart w:id="4277" w:name="_Toc94885535"/>
      <w:bookmarkStart w:id="4278" w:name="_Toc94885970"/>
      <w:bookmarkStart w:id="4279" w:name="_Toc94886415"/>
      <w:bookmarkStart w:id="4280" w:name="_Toc99723541"/>
      <w:bookmarkStart w:id="4281" w:name="_Toc94623771"/>
      <w:bookmarkStart w:id="4282" w:name="_Toc94624085"/>
      <w:bookmarkStart w:id="4283" w:name="_Toc94781365"/>
      <w:bookmarkStart w:id="4284" w:name="_Toc94782275"/>
      <w:bookmarkStart w:id="4285" w:name="_Toc94782597"/>
      <w:bookmarkStart w:id="4286" w:name="_Toc94798331"/>
      <w:bookmarkStart w:id="4287" w:name="_Toc94872257"/>
      <w:bookmarkStart w:id="4288" w:name="_Toc94885536"/>
      <w:bookmarkStart w:id="4289" w:name="_Toc94885971"/>
      <w:bookmarkStart w:id="4290" w:name="_Toc94886416"/>
      <w:bookmarkStart w:id="4291" w:name="_Toc99723542"/>
      <w:bookmarkStart w:id="4292" w:name="_Toc94623772"/>
      <w:bookmarkStart w:id="4293" w:name="_Toc94624086"/>
      <w:bookmarkStart w:id="4294" w:name="_Toc94781366"/>
      <w:bookmarkStart w:id="4295" w:name="_Toc94782276"/>
      <w:bookmarkStart w:id="4296" w:name="_Toc94782598"/>
      <w:bookmarkStart w:id="4297" w:name="_Toc94798332"/>
      <w:bookmarkStart w:id="4298" w:name="_Toc94872258"/>
      <w:bookmarkStart w:id="4299" w:name="_Toc94885537"/>
      <w:bookmarkStart w:id="4300" w:name="_Toc94885972"/>
      <w:bookmarkStart w:id="4301" w:name="_Toc94886417"/>
      <w:bookmarkStart w:id="4302" w:name="_Toc99723543"/>
      <w:bookmarkStart w:id="4303" w:name="_Toc94623773"/>
      <w:bookmarkStart w:id="4304" w:name="_Toc94624087"/>
      <w:bookmarkStart w:id="4305" w:name="_Toc94781367"/>
      <w:bookmarkStart w:id="4306" w:name="_Toc94782277"/>
      <w:bookmarkStart w:id="4307" w:name="_Toc94782599"/>
      <w:bookmarkStart w:id="4308" w:name="_Toc94798333"/>
      <w:bookmarkStart w:id="4309" w:name="_Toc94872259"/>
      <w:bookmarkStart w:id="4310" w:name="_Toc94885538"/>
      <w:bookmarkStart w:id="4311" w:name="_Toc94885973"/>
      <w:bookmarkStart w:id="4312" w:name="_Toc94886418"/>
      <w:bookmarkStart w:id="4313" w:name="_Toc99723544"/>
      <w:bookmarkStart w:id="4314" w:name="_Toc94623774"/>
      <w:bookmarkStart w:id="4315" w:name="_Toc94624088"/>
      <w:bookmarkStart w:id="4316" w:name="_Toc94781368"/>
      <w:bookmarkStart w:id="4317" w:name="_Toc94782278"/>
      <w:bookmarkStart w:id="4318" w:name="_Toc94782600"/>
      <w:bookmarkStart w:id="4319" w:name="_Toc94798334"/>
      <w:bookmarkStart w:id="4320" w:name="_Toc94872260"/>
      <w:bookmarkStart w:id="4321" w:name="_Toc94885539"/>
      <w:bookmarkStart w:id="4322" w:name="_Toc94885974"/>
      <w:bookmarkStart w:id="4323" w:name="_Toc94886419"/>
      <w:bookmarkStart w:id="4324" w:name="_Toc99723545"/>
      <w:bookmarkStart w:id="4325" w:name="_Toc94623775"/>
      <w:bookmarkStart w:id="4326" w:name="_Toc94624089"/>
      <w:bookmarkStart w:id="4327" w:name="_Toc94781369"/>
      <w:bookmarkStart w:id="4328" w:name="_Toc94782279"/>
      <w:bookmarkStart w:id="4329" w:name="_Toc94782601"/>
      <w:bookmarkStart w:id="4330" w:name="_Toc94798335"/>
      <w:bookmarkStart w:id="4331" w:name="_Toc94872261"/>
      <w:bookmarkStart w:id="4332" w:name="_Toc94885540"/>
      <w:bookmarkStart w:id="4333" w:name="_Toc94885975"/>
      <w:bookmarkStart w:id="4334" w:name="_Toc94886420"/>
      <w:bookmarkStart w:id="4335" w:name="_Toc99723546"/>
      <w:bookmarkStart w:id="4336" w:name="_Toc94623776"/>
      <w:bookmarkStart w:id="4337" w:name="_Toc94624090"/>
      <w:bookmarkStart w:id="4338" w:name="_Toc94781370"/>
      <w:bookmarkStart w:id="4339" w:name="_Toc94782280"/>
      <w:bookmarkStart w:id="4340" w:name="_Toc94782602"/>
      <w:bookmarkStart w:id="4341" w:name="_Toc94798336"/>
      <w:bookmarkStart w:id="4342" w:name="_Toc94872262"/>
      <w:bookmarkStart w:id="4343" w:name="_Toc94885541"/>
      <w:bookmarkStart w:id="4344" w:name="_Toc94885976"/>
      <w:bookmarkStart w:id="4345" w:name="_Toc94886421"/>
      <w:bookmarkStart w:id="4346" w:name="_Toc99723547"/>
      <w:bookmarkStart w:id="4347" w:name="_Toc94623777"/>
      <w:bookmarkStart w:id="4348" w:name="_Toc94624091"/>
      <w:bookmarkStart w:id="4349" w:name="_Toc94781371"/>
      <w:bookmarkStart w:id="4350" w:name="_Toc94782281"/>
      <w:bookmarkStart w:id="4351" w:name="_Toc94782603"/>
      <w:bookmarkStart w:id="4352" w:name="_Toc94798337"/>
      <w:bookmarkStart w:id="4353" w:name="_Toc94872263"/>
      <w:bookmarkStart w:id="4354" w:name="_Toc94885542"/>
      <w:bookmarkStart w:id="4355" w:name="_Toc94885977"/>
      <w:bookmarkStart w:id="4356" w:name="_Toc94886422"/>
      <w:bookmarkStart w:id="4357" w:name="_Toc99723548"/>
      <w:bookmarkStart w:id="4358" w:name="_Toc94623778"/>
      <w:bookmarkStart w:id="4359" w:name="_Toc94624092"/>
      <w:bookmarkStart w:id="4360" w:name="_Toc94781372"/>
      <w:bookmarkStart w:id="4361" w:name="_Toc94782282"/>
      <w:bookmarkStart w:id="4362" w:name="_Toc94782604"/>
      <w:bookmarkStart w:id="4363" w:name="_Toc94798338"/>
      <w:bookmarkStart w:id="4364" w:name="_Toc94872264"/>
      <w:bookmarkStart w:id="4365" w:name="_Toc94885543"/>
      <w:bookmarkStart w:id="4366" w:name="_Toc94885978"/>
      <w:bookmarkStart w:id="4367" w:name="_Toc94886423"/>
      <w:bookmarkStart w:id="4368" w:name="_Toc99723549"/>
      <w:bookmarkStart w:id="4369" w:name="_Toc492504834"/>
      <w:bookmarkStart w:id="4370" w:name="_Toc515359027"/>
      <w:bookmarkStart w:id="4371" w:name="_Toc515470261"/>
      <w:bookmarkStart w:id="4372" w:name="_Ref58424873"/>
      <w:bookmarkStart w:id="4373" w:name="_Ref467050275"/>
      <w:bookmarkStart w:id="4374" w:name="_Ref104299167"/>
      <w:bookmarkStart w:id="4375" w:name="_Ref104395283"/>
      <w:bookmarkStart w:id="4376" w:name="_Ref204188847"/>
      <w:bookmarkStart w:id="4377" w:name="_Toc207309669"/>
      <w:bookmarkEnd w:id="3922"/>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r>
        <w:t>Default and Termination</w:t>
      </w:r>
      <w:bookmarkEnd w:id="4369"/>
      <w:bookmarkEnd w:id="4370"/>
      <w:bookmarkEnd w:id="4371"/>
      <w:bookmarkEnd w:id="4372"/>
      <w:bookmarkEnd w:id="4373"/>
      <w:bookmarkEnd w:id="4374"/>
      <w:bookmarkEnd w:id="4375"/>
      <w:bookmarkEnd w:id="4376"/>
      <w:bookmarkEnd w:id="4377"/>
    </w:p>
    <w:p w14:paraId="7F8C95B2" w14:textId="66135F5E" w:rsidR="00AE6542" w:rsidRDefault="2C388DF0" w:rsidP="0058045D">
      <w:pPr>
        <w:pStyle w:val="Heading2"/>
      </w:pPr>
      <w:bookmarkStart w:id="4378" w:name="_Ref165026407"/>
      <w:bookmarkStart w:id="4379" w:name="_Toc207309670"/>
      <w:r>
        <w:t xml:space="preserve">Automatic </w:t>
      </w:r>
      <w:r w:rsidRPr="00847C21">
        <w:t>termination</w:t>
      </w:r>
      <w:bookmarkEnd w:id="4378"/>
      <w:r w:rsidRPr="00847C21">
        <w:t xml:space="preserve"> </w:t>
      </w:r>
      <w:r w:rsidR="00A717DD" w:rsidRPr="008F660B">
        <w:t>for failure to achieve a Milestone</w:t>
      </w:r>
      <w:bookmarkEnd w:id="4379"/>
    </w:p>
    <w:p w14:paraId="4F57D62F" w14:textId="2DFE2236" w:rsidR="00AE6542" w:rsidRPr="00AE6542" w:rsidRDefault="00AE6542" w:rsidP="007F1A89">
      <w:pPr>
        <w:pStyle w:val="Indent2"/>
      </w:pPr>
      <w:r>
        <w:t xml:space="preserve">If clause </w:t>
      </w:r>
      <w:r>
        <w:fldChar w:fldCharType="begin"/>
      </w:r>
      <w:r>
        <w:instrText xml:space="preserve"> REF _Ref165024555 \w \h </w:instrText>
      </w:r>
      <w:r>
        <w:fldChar w:fldCharType="separate"/>
      </w:r>
      <w:r w:rsidR="002E5C6A">
        <w:t>5.4(d)</w:t>
      </w:r>
      <w:r>
        <w:fldChar w:fldCharType="end"/>
      </w:r>
      <w:r>
        <w:t xml:space="preserve"> (“</w:t>
      </w:r>
      <w:r w:rsidR="00061D6C">
        <w:fldChar w:fldCharType="begin"/>
      </w:r>
      <w:r w:rsidR="00061D6C">
        <w:instrText xml:space="preserve"> REF _Ref165036155 \h </w:instrText>
      </w:r>
      <w:r w:rsidR="00061D6C">
        <w:fldChar w:fldCharType="separate"/>
      </w:r>
      <w:r w:rsidR="002E5C6A">
        <w:t>Failure to achieve a Milestone</w:t>
      </w:r>
      <w:r w:rsidR="00061D6C">
        <w:fldChar w:fldCharType="end"/>
      </w:r>
      <w:r>
        <w:t xml:space="preserve">”) applies, then this agreement will automatically terminate with immediate effect in accordance with clause </w:t>
      </w:r>
      <w:r>
        <w:fldChar w:fldCharType="begin"/>
      </w:r>
      <w:r>
        <w:instrText xml:space="preserve"> REF _Ref165024555 \w \h </w:instrText>
      </w:r>
      <w:r>
        <w:fldChar w:fldCharType="separate"/>
      </w:r>
      <w:r w:rsidR="002E5C6A">
        <w:t>5.4(d)</w:t>
      </w:r>
      <w:r>
        <w:fldChar w:fldCharType="end"/>
      </w:r>
      <w:r>
        <w:t>.</w:t>
      </w:r>
    </w:p>
    <w:p w14:paraId="77C0A11D" w14:textId="77777777" w:rsidR="00B1487C" w:rsidRDefault="2C388DF0" w:rsidP="0058045D">
      <w:pPr>
        <w:pStyle w:val="Heading2"/>
      </w:pPr>
      <w:bookmarkStart w:id="4380" w:name="_Toc159511840"/>
      <w:bookmarkStart w:id="4381" w:name="_Toc159511841"/>
      <w:bookmarkStart w:id="4382" w:name="_Ref467736875"/>
      <w:bookmarkStart w:id="4383" w:name="_Ref467048685"/>
      <w:bookmarkStart w:id="4384" w:name="_Ref467048722"/>
      <w:bookmarkStart w:id="4385" w:name="_Ref467049342"/>
      <w:bookmarkStart w:id="4386" w:name="_Ref492565149"/>
      <w:bookmarkStart w:id="4387" w:name="_Toc492504835"/>
      <w:bookmarkStart w:id="4388" w:name="_Toc515359028"/>
      <w:bookmarkStart w:id="4389" w:name="_Toc515470262"/>
      <w:bookmarkStart w:id="4390" w:name="_Ref94793465"/>
      <w:bookmarkStart w:id="4391" w:name="_Ref94793652"/>
      <w:bookmarkStart w:id="4392" w:name="_Ref94793841"/>
      <w:bookmarkStart w:id="4393" w:name="_Ref_ContractCompanion_9kb9Ur468"/>
      <w:bookmarkStart w:id="4394" w:name="_Toc207309671"/>
      <w:bookmarkEnd w:id="4380"/>
      <w:bookmarkEnd w:id="4381"/>
      <w:r>
        <w:t>Termination</w:t>
      </w:r>
      <w:bookmarkEnd w:id="4382"/>
      <w:r>
        <w:t xml:space="preserve"> </w:t>
      </w:r>
      <w:bookmarkEnd w:id="4383"/>
      <w:bookmarkEnd w:id="4384"/>
      <w:bookmarkEnd w:id="4385"/>
      <w:r>
        <w:t>by Project Operator</w:t>
      </w:r>
      <w:bookmarkEnd w:id="4386"/>
      <w:bookmarkEnd w:id="4387"/>
      <w:bookmarkEnd w:id="4388"/>
      <w:bookmarkEnd w:id="4389"/>
      <w:bookmarkEnd w:id="4390"/>
      <w:bookmarkEnd w:id="4391"/>
      <w:bookmarkEnd w:id="4392"/>
      <w:bookmarkEnd w:id="4393"/>
      <w:bookmarkEnd w:id="4394"/>
    </w:p>
    <w:p w14:paraId="33F1BFC9" w14:textId="77777777" w:rsidR="0009764A" w:rsidRDefault="00411B14" w:rsidP="007F58B6">
      <w:pPr>
        <w:pStyle w:val="Indent2"/>
      </w:pPr>
      <w:r>
        <w:t>Project Operator</w:t>
      </w:r>
      <w:r w:rsidR="00DE7974" w:rsidRPr="00C77864">
        <w:t xml:space="preserve"> </w:t>
      </w:r>
      <w:r w:rsidR="00B1487C" w:rsidRPr="00C77864">
        <w:t xml:space="preserve">may terminate </w:t>
      </w:r>
      <w:r w:rsidR="00C045FA" w:rsidRPr="00C77864">
        <w:t xml:space="preserve">this </w:t>
      </w:r>
      <w:r w:rsidR="003C7021" w:rsidRPr="00C77864">
        <w:t>a</w:t>
      </w:r>
      <w:r w:rsidR="008D7B01" w:rsidRPr="00C77864">
        <w:t>greement</w:t>
      </w:r>
      <w:r w:rsidR="00205145">
        <w:t xml:space="preserve"> </w:t>
      </w:r>
      <w:r w:rsidR="008529B2">
        <w:t xml:space="preserve">with immediate effect </w:t>
      </w:r>
      <w:r w:rsidR="00205145">
        <w:t xml:space="preserve">by notice </w:t>
      </w:r>
      <w:r w:rsidR="00B54BB5">
        <w:t xml:space="preserve">in writing </w:t>
      </w:r>
      <w:r w:rsidR="00205145">
        <w:t xml:space="preserve">to </w:t>
      </w:r>
      <w:r w:rsidR="00BE77D6" w:rsidRPr="005050C4">
        <w:t>the Commonwealth</w:t>
      </w:r>
      <w:r w:rsidR="00205145" w:rsidRPr="005050C4">
        <w:t xml:space="preserve"> </w:t>
      </w:r>
      <w:r w:rsidR="00B1487C" w:rsidRPr="005050C4">
        <w:t>if</w:t>
      </w:r>
      <w:bookmarkStart w:id="4395" w:name="_Ref467048772"/>
      <w:bookmarkStart w:id="4396" w:name="_Toc515359029"/>
      <w:r w:rsidR="00AD1A99">
        <w:t xml:space="preserve"> </w:t>
      </w:r>
      <w:r w:rsidR="0009764A">
        <w:t xml:space="preserve">any of the following occur: </w:t>
      </w:r>
    </w:p>
    <w:p w14:paraId="0A3FB1C3" w14:textId="77777777" w:rsidR="00760ADE" w:rsidRDefault="2C388DF0" w:rsidP="0058045D">
      <w:pPr>
        <w:pStyle w:val="Heading3"/>
      </w:pPr>
      <w:r>
        <w:t>(</w:t>
      </w:r>
      <w:r w:rsidRPr="2C388DF0">
        <w:rPr>
          <w:b/>
          <w:bCs/>
        </w:rPr>
        <w:t>transfer</w:t>
      </w:r>
      <w:r>
        <w:t>)</w:t>
      </w:r>
      <w:r w:rsidR="00760ADE">
        <w:t>:</w:t>
      </w:r>
    </w:p>
    <w:p w14:paraId="5C574B5F" w14:textId="73AA7E49" w:rsidR="009F6907" w:rsidRDefault="2C388DF0" w:rsidP="00760ADE">
      <w:pPr>
        <w:pStyle w:val="Heading4"/>
      </w:pPr>
      <w:r>
        <w:t xml:space="preserve">the Commonwealth assigns, novates, transfers or otherwise deals with the Commonwealth’s rights or obligations under, title to or interest in any Project Document other than in accordance with the requirements of this agreement and the Commonwealth fails to remedy </w:t>
      </w:r>
      <w:r w:rsidR="00760ADE">
        <w:t xml:space="preserve">the </w:t>
      </w:r>
      <w:r w:rsidRPr="00847C21">
        <w:t xml:space="preserve">situation within 60 Business Days after receiving notice from Project Operator </w:t>
      </w:r>
      <w:r w:rsidR="00A717DD" w:rsidRPr="008F660B">
        <w:t xml:space="preserve">requesting that it </w:t>
      </w:r>
      <w:r w:rsidRPr="00847C21">
        <w:t>do</w:t>
      </w:r>
      <w:r>
        <w:t xml:space="preserve"> so; </w:t>
      </w:r>
      <w:r w:rsidR="00760ADE">
        <w:t xml:space="preserve">or </w:t>
      </w:r>
    </w:p>
    <w:p w14:paraId="15920A5E" w14:textId="137E7885" w:rsidR="00760ADE" w:rsidRDefault="00760ADE" w:rsidP="00760ADE">
      <w:pPr>
        <w:pStyle w:val="Heading4"/>
      </w:pPr>
      <w:r>
        <w:t xml:space="preserve">following an assignment, novation or transfer in accordance with clause </w:t>
      </w:r>
      <w:r w:rsidR="008F0D30">
        <w:fldChar w:fldCharType="begin"/>
      </w:r>
      <w:r w:rsidR="008F0D30">
        <w:instrText xml:space="preserve"> REF _Ref104317299 \r \h </w:instrText>
      </w:r>
      <w:r w:rsidR="008F0D30">
        <w:fldChar w:fldCharType="separate"/>
      </w:r>
      <w:r w:rsidR="002E5C6A">
        <w:t>23.2(c)</w:t>
      </w:r>
      <w:r w:rsidR="008F0D30">
        <w:fldChar w:fldCharType="end"/>
      </w:r>
      <w:r w:rsidR="00BC2BE9">
        <w:t xml:space="preserve"> </w:t>
      </w:r>
      <w:r>
        <w:t>(“</w:t>
      </w:r>
      <w:r w:rsidR="008D0D45">
        <w:fldChar w:fldCharType="begin"/>
      </w:r>
      <w:r w:rsidR="008D0D45">
        <w:instrText xml:space="preserve"> REF _Ref199426563 \h </w:instrText>
      </w:r>
      <w:r w:rsidR="008D0D45">
        <w:fldChar w:fldCharType="separate"/>
      </w:r>
      <w:r w:rsidR="002E5C6A" w:rsidRPr="00EF3418">
        <w:t>Assignment by the Commonwealth</w:t>
      </w:r>
      <w:r w:rsidR="008D0D45">
        <w:fldChar w:fldCharType="end"/>
      </w:r>
      <w:r>
        <w:t>”), the relevant assignee, novatee or transferee ceases:</w:t>
      </w:r>
    </w:p>
    <w:p w14:paraId="1EA4663B" w14:textId="77777777" w:rsidR="00760ADE" w:rsidRDefault="00760ADE" w:rsidP="00760ADE">
      <w:pPr>
        <w:pStyle w:val="Heading5"/>
      </w:pPr>
      <w:r>
        <w:t>to be a Commonwealth Entity; or</w:t>
      </w:r>
    </w:p>
    <w:p w14:paraId="23F2B41C" w14:textId="77777777" w:rsidR="00760ADE" w:rsidRDefault="00760ADE" w:rsidP="00760ADE">
      <w:pPr>
        <w:pStyle w:val="Heading5"/>
      </w:pPr>
      <w:r>
        <w:t>to be guaranteed by the Commonwealth,</w:t>
      </w:r>
    </w:p>
    <w:p w14:paraId="17290245" w14:textId="68F704AD" w:rsidR="00760ADE" w:rsidRPr="00847C21" w:rsidRDefault="00760ADE" w:rsidP="00D315FD">
      <w:pPr>
        <w:spacing w:after="240"/>
        <w:ind w:left="2211"/>
      </w:pPr>
      <w:r>
        <w:t xml:space="preserve">and the Commonwealth fails to remedy the situation within 60 </w:t>
      </w:r>
      <w:r w:rsidRPr="00847C21">
        <w:t xml:space="preserve">Business Days after receiving notice from Project Operator </w:t>
      </w:r>
      <w:r w:rsidR="00A717DD" w:rsidRPr="008F660B">
        <w:t xml:space="preserve">requesting that it </w:t>
      </w:r>
      <w:r w:rsidRPr="00847C21">
        <w:t>do so; or</w:t>
      </w:r>
    </w:p>
    <w:p w14:paraId="1BF3750C" w14:textId="6EBBA530" w:rsidR="00196C00" w:rsidRPr="00847C21" w:rsidRDefault="2C388DF0" w:rsidP="0058045D">
      <w:pPr>
        <w:pStyle w:val="Heading3"/>
      </w:pPr>
      <w:r w:rsidRPr="00847C21">
        <w:t>(</w:t>
      </w:r>
      <w:r w:rsidRPr="00847C21">
        <w:rPr>
          <w:b/>
          <w:bCs/>
        </w:rPr>
        <w:t>payment default</w:t>
      </w:r>
      <w:r w:rsidRPr="00847C21">
        <w:t xml:space="preserve">) the Commonwealth fails to pay any amount due to Project Operator under this agreement (other than an amount </w:t>
      </w:r>
      <w:r w:rsidR="0091353E" w:rsidRPr="00847C21">
        <w:t xml:space="preserve">that </w:t>
      </w:r>
      <w:r w:rsidRPr="00847C21">
        <w:t xml:space="preserve">is the subject of a good faith dispute) by the due date for that payment and the Commonwealth </w:t>
      </w:r>
      <w:r w:rsidR="0091353E" w:rsidRPr="00847C21">
        <w:t xml:space="preserve">then </w:t>
      </w:r>
      <w:r w:rsidRPr="00847C21">
        <w:t>does not pay that amount in full within 60</w:t>
      </w:r>
      <w:r w:rsidR="0091353E" w:rsidRPr="00847C21">
        <w:t> </w:t>
      </w:r>
      <w:r w:rsidRPr="00847C21">
        <w:t xml:space="preserve">Business Days after receiving notice from Project Operator </w:t>
      </w:r>
      <w:r w:rsidR="00A717DD" w:rsidRPr="008F660B">
        <w:t>advising</w:t>
      </w:r>
      <w:r w:rsidR="00A717DD" w:rsidRPr="00847C21">
        <w:t xml:space="preserve"> </w:t>
      </w:r>
      <w:r w:rsidRPr="00847C21">
        <w:t xml:space="preserve">of that </w:t>
      </w:r>
      <w:r w:rsidR="0091353E" w:rsidRPr="00847C21">
        <w:t xml:space="preserve">initial </w:t>
      </w:r>
      <w:r w:rsidRPr="00847C21">
        <w:t>failure</w:t>
      </w:r>
      <w:r w:rsidR="0091353E" w:rsidRPr="00847C21">
        <w:t xml:space="preserve"> to pay</w:t>
      </w:r>
      <w:r w:rsidR="00A717DD" w:rsidRPr="008F660B">
        <w:t xml:space="preserve"> and requesting it to make payment within 60 Business Days after receiving the notice</w:t>
      </w:r>
      <w:r w:rsidR="00A717DD" w:rsidRPr="00847C21">
        <w:t>.</w:t>
      </w:r>
      <w:bookmarkStart w:id="4397" w:name="_Toc166244928"/>
      <w:bookmarkEnd w:id="4395"/>
      <w:bookmarkEnd w:id="4396"/>
      <w:bookmarkEnd w:id="4397"/>
    </w:p>
    <w:p w14:paraId="65DE18A9" w14:textId="77777777" w:rsidR="00B1487C" w:rsidRPr="00847C21" w:rsidRDefault="2C388DF0" w:rsidP="0058045D">
      <w:pPr>
        <w:pStyle w:val="Heading2"/>
      </w:pPr>
      <w:bookmarkStart w:id="4398" w:name="_Toc499021895"/>
      <w:bookmarkStart w:id="4399" w:name="_Toc492504836"/>
      <w:bookmarkStart w:id="4400" w:name="_Ref492591972"/>
      <w:bookmarkStart w:id="4401" w:name="_Ref492591982"/>
      <w:bookmarkStart w:id="4402" w:name="_Ref492591989"/>
      <w:bookmarkStart w:id="4403" w:name="_Ref499214080"/>
      <w:bookmarkStart w:id="4404" w:name="_Ref512524113"/>
      <w:bookmarkStart w:id="4405" w:name="_Toc515359034"/>
      <w:bookmarkStart w:id="4406" w:name="_Ref515892118"/>
      <w:bookmarkStart w:id="4407" w:name="_Toc515470263"/>
      <w:bookmarkStart w:id="4408" w:name="_Ref56607418"/>
      <w:bookmarkStart w:id="4409" w:name="_Ref467511437"/>
      <w:bookmarkStart w:id="4410" w:name="_Ref467511485"/>
      <w:bookmarkStart w:id="4411" w:name="_Ref74668645"/>
      <w:bookmarkStart w:id="4412" w:name="_Ref83110658"/>
      <w:bookmarkStart w:id="4413" w:name="_Ref94793473"/>
      <w:bookmarkStart w:id="4414" w:name="_Ref94793873"/>
      <w:bookmarkStart w:id="4415" w:name="_Ref159420790"/>
      <w:bookmarkStart w:id="4416" w:name="_Toc207309672"/>
      <w:bookmarkEnd w:id="4398"/>
      <w:r w:rsidRPr="00847C21">
        <w:t xml:space="preserve">Termination by </w:t>
      </w:r>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r w:rsidRPr="00847C21">
        <w:t>the Commonwealth for default</w:t>
      </w:r>
      <w:bookmarkEnd w:id="4415"/>
      <w:bookmarkEnd w:id="4416"/>
    </w:p>
    <w:p w14:paraId="1464FA4B" w14:textId="77777777" w:rsidR="00B1487C" w:rsidRPr="00C77864" w:rsidRDefault="00AF30E9" w:rsidP="008C038D">
      <w:pPr>
        <w:pStyle w:val="Indent2"/>
        <w:keepNext/>
      </w:pPr>
      <w:bookmarkStart w:id="4417" w:name="_Toc515359035"/>
      <w:r w:rsidRPr="00792B2E">
        <w:t>Subject to the Tripartite Deed</w:t>
      </w:r>
      <w:r w:rsidR="001F71B2" w:rsidRPr="00792B2E">
        <w:t xml:space="preserve"> (if applicable)</w:t>
      </w:r>
      <w:r w:rsidRPr="00792B2E">
        <w:t>, t</w:t>
      </w:r>
      <w:r w:rsidR="00BE77D6" w:rsidRPr="00A016A2">
        <w:t>he</w:t>
      </w:r>
      <w:r w:rsidR="00BE77D6" w:rsidRPr="005050C4">
        <w:t xml:space="preserve"> Commonwealth</w:t>
      </w:r>
      <w:r w:rsidR="00B1487C" w:rsidRPr="005050C4">
        <w:t xml:space="preserve"> may terminate </w:t>
      </w:r>
      <w:r w:rsidR="00C045FA" w:rsidRPr="005050C4">
        <w:t xml:space="preserve">this </w:t>
      </w:r>
      <w:r w:rsidR="008D7B01" w:rsidRPr="005050C4">
        <w:t>agreement</w:t>
      </w:r>
      <w:bookmarkStart w:id="4418" w:name="_Ref467048941"/>
      <w:r w:rsidR="006F6D76" w:rsidRPr="005050C4">
        <w:t xml:space="preserve"> </w:t>
      </w:r>
      <w:r w:rsidR="008529B2" w:rsidRPr="005050C4">
        <w:t xml:space="preserve">with immediate effect </w:t>
      </w:r>
      <w:r w:rsidR="00A66563" w:rsidRPr="005050C4">
        <w:t xml:space="preserve">by notice in writing to </w:t>
      </w:r>
      <w:r w:rsidR="00411B14" w:rsidRPr="005050C4">
        <w:t>Project Operator</w:t>
      </w:r>
      <w:r w:rsidR="00A66563" w:rsidRPr="005050C4">
        <w:t xml:space="preserve"> if</w:t>
      </w:r>
      <w:r w:rsidR="00320474">
        <w:t xml:space="preserve"> any of the following occur</w:t>
      </w:r>
      <w:r w:rsidR="00B1487C" w:rsidRPr="005050C4">
        <w:t>:</w:t>
      </w:r>
      <w:bookmarkEnd w:id="4417"/>
      <w:bookmarkEnd w:id="4418"/>
    </w:p>
    <w:p w14:paraId="00E2BC22" w14:textId="214EC449" w:rsidR="00703FC9" w:rsidRPr="00AF1B77" w:rsidRDefault="2C388DF0" w:rsidP="0058045D">
      <w:pPr>
        <w:pStyle w:val="Heading3"/>
      </w:pPr>
      <w:bookmarkStart w:id="4419" w:name="_Ref104298583"/>
      <w:bookmarkStart w:id="4420" w:name="_Toc515359037"/>
      <w:bookmarkStart w:id="4421" w:name="_Ref86668861"/>
      <w:bookmarkStart w:id="4422" w:name="_Ref94793913"/>
      <w:r>
        <w:t>(</w:t>
      </w:r>
      <w:r w:rsidRPr="2C388DF0">
        <w:rPr>
          <w:b/>
          <w:bCs/>
        </w:rPr>
        <w:t>payment default</w:t>
      </w:r>
      <w:r>
        <w:t xml:space="preserve">) Project Operator fails to pay any amount due to the Commonwealth under this agreement (other than an amount </w:t>
      </w:r>
      <w:r w:rsidR="0091353E">
        <w:t xml:space="preserve">that </w:t>
      </w:r>
      <w:r>
        <w:t xml:space="preserve">is the subject of a good faith dispute) by the due date for that payment and Project Operator </w:t>
      </w:r>
      <w:r w:rsidR="0091353E">
        <w:t xml:space="preserve">then </w:t>
      </w:r>
      <w:r>
        <w:t>does not pay that amount in full within 20</w:t>
      </w:r>
      <w:r w:rsidR="0091353E">
        <w:t> </w:t>
      </w:r>
      <w:r>
        <w:t xml:space="preserve">Business Days after receiving notice from the Commonwealth of that </w:t>
      </w:r>
      <w:r w:rsidR="0091353E">
        <w:t xml:space="preserve">initial </w:t>
      </w:r>
      <w:r>
        <w:t>failure</w:t>
      </w:r>
      <w:r w:rsidR="0091353E">
        <w:t xml:space="preserve"> to pay</w:t>
      </w:r>
      <w:r>
        <w:t>;</w:t>
      </w:r>
      <w:bookmarkEnd w:id="4419"/>
      <w:r>
        <w:t xml:space="preserve"> </w:t>
      </w:r>
    </w:p>
    <w:p w14:paraId="15581043" w14:textId="713DA5C6" w:rsidR="0074329C" w:rsidRDefault="2C388DF0" w:rsidP="0058045D">
      <w:pPr>
        <w:pStyle w:val="Heading3"/>
      </w:pPr>
      <w:bookmarkStart w:id="4423" w:name="_Ref166078687"/>
      <w:bookmarkStart w:id="4424" w:name="_Ref104298589"/>
      <w:bookmarkStart w:id="4425" w:name="_Toc515359038"/>
      <w:bookmarkStart w:id="4426" w:name="_Ref94793915"/>
      <w:bookmarkEnd w:id="4420"/>
      <w:bookmarkEnd w:id="4421"/>
      <w:bookmarkEnd w:id="4422"/>
      <w:r>
        <w:t>(</w:t>
      </w:r>
      <w:r w:rsidRPr="2C388DF0">
        <w:rPr>
          <w:b/>
          <w:bCs/>
        </w:rPr>
        <w:t>breach</w:t>
      </w:r>
      <w:r>
        <w:t>) Project Operator fails to comply in a material respect with an obligation under this agreement (other than an obligation to pay an amount due</w:t>
      </w:r>
      <w:r w:rsidR="008D0D45">
        <w:t xml:space="preserve"> under this agreement</w:t>
      </w:r>
      <w:r>
        <w:t>) and:</w:t>
      </w:r>
      <w:bookmarkEnd w:id="4423"/>
      <w:r>
        <w:t xml:space="preserve"> </w:t>
      </w:r>
    </w:p>
    <w:p w14:paraId="6E749EBF" w14:textId="77777777" w:rsidR="003B69A0" w:rsidRDefault="2C388DF0" w:rsidP="0058045D">
      <w:pPr>
        <w:pStyle w:val="Heading4"/>
      </w:pPr>
      <w:r>
        <w:t>Project Operator does not commence remedying that failure within 20 Business Days after receiving notice from the Commonwealth of that failure (“</w:t>
      </w:r>
      <w:r w:rsidRPr="2C388DF0">
        <w:rPr>
          <w:b/>
          <w:bCs/>
        </w:rPr>
        <w:t>Breach Notice</w:t>
      </w:r>
      <w:r>
        <w:t>”); or</w:t>
      </w:r>
    </w:p>
    <w:p w14:paraId="0AFB0AE0" w14:textId="77777777" w:rsidR="003B69A0" w:rsidRDefault="2C388DF0" w:rsidP="0005264D">
      <w:pPr>
        <w:pStyle w:val="Heading4"/>
        <w:keepNext/>
      </w:pPr>
      <w:r>
        <w:t>if Project Operator has commenced remedying that failure within 20 Business Days after receiving the Breach Notice, Project Operator:</w:t>
      </w:r>
    </w:p>
    <w:p w14:paraId="5BDCEA72" w14:textId="77777777" w:rsidR="003B69A0" w:rsidRDefault="2C388DF0" w:rsidP="0058045D">
      <w:pPr>
        <w:pStyle w:val="Heading5"/>
      </w:pPr>
      <w:r>
        <w:t>does not pursue that remedy in a diligent manner; or</w:t>
      </w:r>
    </w:p>
    <w:p w14:paraId="451B04A9" w14:textId="7E3024F9" w:rsidR="003B69A0" w:rsidRDefault="2C388DF0" w:rsidP="0058045D">
      <w:pPr>
        <w:pStyle w:val="Heading5"/>
      </w:pPr>
      <w:bookmarkStart w:id="4427" w:name="_Ref113957101"/>
      <w:r>
        <w:t xml:space="preserve">does not remedy the relevant failure within 40 Business Days after receiving the Breach Notice (or by any later date agreed </w:t>
      </w:r>
      <w:r w:rsidR="0091353E">
        <w:t xml:space="preserve">in writing </w:t>
      </w:r>
      <w:r>
        <w:t>by the Commonwealth</w:t>
      </w:r>
      <w:r w:rsidR="0091353E">
        <w:t>,</w:t>
      </w:r>
      <w:r>
        <w:t xml:space="preserve"> acting reasonably);</w:t>
      </w:r>
      <w:bookmarkEnd w:id="4427"/>
      <w:r>
        <w:t xml:space="preserve"> </w:t>
      </w:r>
    </w:p>
    <w:p w14:paraId="74D98C12" w14:textId="2059D3D4" w:rsidR="008D0D45" w:rsidRDefault="008D0D45" w:rsidP="00D315FD">
      <w:pPr>
        <w:spacing w:after="240"/>
        <w:ind w:left="1474"/>
      </w:pPr>
      <w:r>
        <w:t xml:space="preserve">For the avoidance of doubt, unless expressly stated otherwise in this agreement, the omission of a reference to a ‘material breach’ or a 'failure to comply in a material respect' in connection with a provision of this agreement does not preclude a breach of that provision by Project Operator from being a material breach of, or a failure to comply in a material respect with, this agreement for the purpose of this </w:t>
      </w:r>
      <w:r w:rsidR="00D90D43">
        <w:t>paragraph</w:t>
      </w:r>
      <w:r w:rsidR="00954595">
        <w:t> </w:t>
      </w:r>
      <w:r>
        <w:fldChar w:fldCharType="begin"/>
      </w:r>
      <w:r>
        <w:instrText xml:space="preserve"> REF _Ref166078687 \r \h </w:instrText>
      </w:r>
      <w:r>
        <w:fldChar w:fldCharType="separate"/>
      </w:r>
      <w:r w:rsidR="002E5C6A">
        <w:t>(b)</w:t>
      </w:r>
      <w:r>
        <w:fldChar w:fldCharType="end"/>
      </w:r>
      <w:r>
        <w:t>.</w:t>
      </w:r>
    </w:p>
    <w:p w14:paraId="51D51797" w14:textId="35D72EC9" w:rsidR="00983137" w:rsidRPr="00847C21" w:rsidRDefault="008A7F3E" w:rsidP="008A7F3E">
      <w:pPr>
        <w:pStyle w:val="Heading3"/>
      </w:pPr>
      <w:bookmarkStart w:id="4428" w:name="_Ref107949990"/>
      <w:bookmarkStart w:id="4429" w:name="_Ref106121031"/>
      <w:bookmarkStart w:id="4430" w:name="_Hlk107949738"/>
      <w:bookmarkEnd w:id="4424"/>
      <w:r>
        <w:t>(</w:t>
      </w:r>
      <w:r w:rsidRPr="0091353E">
        <w:rPr>
          <w:b/>
          <w:bCs/>
        </w:rPr>
        <w:t>general</w:t>
      </w:r>
      <w:r>
        <w:t xml:space="preserve"> </w:t>
      </w:r>
      <w:r w:rsidRPr="008C038D">
        <w:rPr>
          <w:b/>
          <w:bCs/>
        </w:rPr>
        <w:t>misrepresentation</w:t>
      </w:r>
      <w:r>
        <w:t>)</w:t>
      </w:r>
      <w:bookmarkEnd w:id="4428"/>
      <w:r>
        <w:t xml:space="preserve"> </w:t>
      </w:r>
      <w:r w:rsidR="2C388DF0">
        <w:t xml:space="preserve">an express representation made by Project Operator under this agreement (other than under clause </w:t>
      </w:r>
      <w:r w:rsidR="00472453">
        <w:fldChar w:fldCharType="begin"/>
      </w:r>
      <w:r w:rsidR="00472453">
        <w:instrText xml:space="preserve"> REF _Ref105594132 \r \h  \* MERGEFORMAT </w:instrText>
      </w:r>
      <w:r w:rsidR="00472453">
        <w:fldChar w:fldCharType="separate"/>
      </w:r>
      <w:r w:rsidR="002E5C6A">
        <w:t>25.4</w:t>
      </w:r>
      <w:r w:rsidR="00472453">
        <w:fldChar w:fldCharType="end"/>
      </w:r>
      <w:r w:rsidR="2C388DF0">
        <w:t xml:space="preserve"> (“</w:t>
      </w:r>
      <w:r w:rsidR="00472453">
        <w:fldChar w:fldCharType="begin"/>
      </w:r>
      <w:r w:rsidR="00472453">
        <w:instrText xml:space="preserve"> REF _Ref105594132 \h  \* MERGEFORMAT </w:instrText>
      </w:r>
      <w:r w:rsidR="00472453">
        <w:fldChar w:fldCharType="separate"/>
      </w:r>
      <w:r w:rsidR="002E5C6A">
        <w:t>Tender representations and warranties from Project Operator</w:t>
      </w:r>
      <w:r w:rsidR="00472453">
        <w:fldChar w:fldCharType="end"/>
      </w:r>
      <w:r w:rsidR="2C388DF0">
        <w:t xml:space="preserve">”)) is incorrect or misleading in any </w:t>
      </w:r>
      <w:r w:rsidR="2C388DF0" w:rsidRPr="00847C21">
        <w:t>material</w:t>
      </w:r>
      <w:r w:rsidR="002879C5" w:rsidRPr="00847C21">
        <w:t xml:space="preserve"> </w:t>
      </w:r>
      <w:r w:rsidR="2C388DF0" w:rsidRPr="00847C21">
        <w:t>respect when made and</w:t>
      </w:r>
      <w:r w:rsidR="002879C5" w:rsidRPr="008F660B">
        <w:t xml:space="preserve"> the Commonwealth is of the view that</w:t>
      </w:r>
      <w:r w:rsidR="002879C5" w:rsidRPr="00847C21">
        <w:t>:</w:t>
      </w:r>
    </w:p>
    <w:p w14:paraId="1C36585A" w14:textId="77777777" w:rsidR="002879C5" w:rsidRPr="008F660B" w:rsidRDefault="002879C5" w:rsidP="008F660B">
      <w:pPr>
        <w:pStyle w:val="Heading4"/>
        <w:numPr>
          <w:ilvl w:val="3"/>
          <w:numId w:val="95"/>
        </w:numPr>
      </w:pPr>
      <w:bookmarkStart w:id="4431" w:name="_Ref134706530"/>
      <w:r w:rsidRPr="008F660B">
        <w:t>the effect of the incorrect or misleading representation cannot be remedied by Project Operator; or</w:t>
      </w:r>
    </w:p>
    <w:p w14:paraId="426C6B0A" w14:textId="77777777" w:rsidR="002879C5" w:rsidRPr="00847C21" w:rsidRDefault="002879C5" w:rsidP="0058045D">
      <w:pPr>
        <w:pStyle w:val="Heading4"/>
      </w:pPr>
      <w:bookmarkStart w:id="4432" w:name="_Ref206082461"/>
      <w:r w:rsidRPr="008F660B">
        <w:t>the effect of the incorrect or misleading representation can be remedied but</w:t>
      </w:r>
      <w:r w:rsidRPr="00847C21">
        <w:t xml:space="preserve"> </w:t>
      </w:r>
      <w:r w:rsidR="2C388DF0" w:rsidRPr="00847C21">
        <w:t>Project Operator does not remedy</w:t>
      </w:r>
      <w:r w:rsidRPr="00847C21">
        <w:t>,</w:t>
      </w:r>
      <w:r w:rsidR="2C388DF0" w:rsidRPr="00847C21">
        <w:t xml:space="preserve"> </w:t>
      </w:r>
      <w:r w:rsidRPr="008F660B">
        <w:t>to the Commonwealth’s satisfaction,</w:t>
      </w:r>
      <w:r w:rsidRPr="00847C21">
        <w:t xml:space="preserve"> </w:t>
      </w:r>
      <w:r w:rsidR="2C388DF0" w:rsidRPr="00847C21">
        <w:t>that incorrect or misleading representation within 60 Business Days after receiving notice from the Commonwealth of that incorrect or misleading representation (including by Project Operator paying the Commonwealth compensation reasonably acceptable to the Commonwealth on account of loss suffered by it)</w:t>
      </w:r>
      <w:r w:rsidRPr="00847C21">
        <w:t>.</w:t>
      </w:r>
      <w:bookmarkEnd w:id="4432"/>
    </w:p>
    <w:p w14:paraId="76F6DE62" w14:textId="05125748" w:rsidR="00425E5E" w:rsidRPr="007C6878" w:rsidRDefault="002879C5" w:rsidP="008F660B">
      <w:pPr>
        <w:pStyle w:val="Heading4"/>
        <w:numPr>
          <w:ilvl w:val="0"/>
          <w:numId w:val="0"/>
        </w:numPr>
        <w:ind w:left="1474"/>
      </w:pPr>
      <w:bookmarkStart w:id="4433" w:name="_Hlk204701725"/>
      <w:r w:rsidRPr="008F660B">
        <w:t>and, if subparagraph</w:t>
      </w:r>
      <w:r w:rsidR="00D97A4E">
        <w:t xml:space="preserve"> </w:t>
      </w:r>
      <w:r w:rsidR="00D97A4E">
        <w:fldChar w:fldCharType="begin"/>
      </w:r>
      <w:r w:rsidR="00D97A4E">
        <w:instrText xml:space="preserve"> REF _Ref206082461 \r \h </w:instrText>
      </w:r>
      <w:r w:rsidR="00D97A4E">
        <w:fldChar w:fldCharType="separate"/>
      </w:r>
      <w:r w:rsidR="002E5C6A">
        <w:t>(ii)</w:t>
      </w:r>
      <w:r w:rsidR="00D97A4E">
        <w:fldChar w:fldCharType="end"/>
      </w:r>
      <w:r w:rsidRPr="008F660B">
        <w:t xml:space="preserve"> applies, any amounts that would otherwise have been payable to Project Operator under this agreement after the date on which the Commonwealth gives notice to Project Operator under subparagraph </w:t>
      </w:r>
      <w:r w:rsidR="00D97A4E">
        <w:fldChar w:fldCharType="begin"/>
      </w:r>
      <w:r w:rsidR="00D97A4E">
        <w:instrText xml:space="preserve"> REF _Ref206082461 \r \h </w:instrText>
      </w:r>
      <w:r w:rsidR="00D97A4E">
        <w:fldChar w:fldCharType="separate"/>
      </w:r>
      <w:r w:rsidR="002E5C6A">
        <w:t>(ii)</w:t>
      </w:r>
      <w:r w:rsidR="00D97A4E">
        <w:fldChar w:fldCharType="end"/>
      </w:r>
      <w:r w:rsidR="00D97A4E">
        <w:t xml:space="preserve"> </w:t>
      </w:r>
      <w:r w:rsidRPr="008F660B">
        <w:t>will not become payable unless and until the effect of the incorrect or misleading representation has been remedied by Project Operator to the Commonwealth’s satisfaction</w:t>
      </w:r>
      <w:bookmarkEnd w:id="4433"/>
      <w:r w:rsidRPr="00847C21">
        <w:t>;</w:t>
      </w:r>
      <w:bookmarkEnd w:id="4429"/>
      <w:bookmarkEnd w:id="4431"/>
    </w:p>
    <w:p w14:paraId="77BE5055" w14:textId="77777777" w:rsidR="00F01432" w:rsidRDefault="2C388DF0" w:rsidP="0058045D">
      <w:pPr>
        <w:pStyle w:val="Heading3"/>
      </w:pPr>
      <w:bookmarkStart w:id="4434" w:name="_Ref161847081"/>
      <w:r>
        <w:t>(</w:t>
      </w:r>
      <w:r w:rsidRPr="008C038D">
        <w:rPr>
          <w:b/>
          <w:bCs/>
        </w:rPr>
        <w:t>reporting misrepresentation</w:t>
      </w:r>
      <w:r>
        <w:t>)</w:t>
      </w:r>
      <w:bookmarkEnd w:id="4434"/>
    </w:p>
    <w:p w14:paraId="5B1CBB19" w14:textId="5758E98F" w:rsidR="00F01432" w:rsidRPr="00847C21" w:rsidRDefault="2C388DF0" w:rsidP="0058045D">
      <w:pPr>
        <w:pStyle w:val="Heading4"/>
      </w:pPr>
      <w:r>
        <w:t xml:space="preserve">Project Operator fraudulently, recklessly or knowingly provides a </w:t>
      </w:r>
      <w:r w:rsidRPr="00847C21">
        <w:t xml:space="preserve">report or other information required under clause </w:t>
      </w:r>
      <w:r w:rsidR="00F01432" w:rsidRPr="00847C21">
        <w:fldChar w:fldCharType="begin"/>
      </w:r>
      <w:r w:rsidR="00F01432" w:rsidRPr="00847C21">
        <w:instrText xml:space="preserve"> REF _Ref160875595 \w \h </w:instrText>
      </w:r>
      <w:r w:rsidR="00801FA4">
        <w:instrText xml:space="preserve"> \* MERGEFORMAT </w:instrText>
      </w:r>
      <w:r w:rsidR="00F01432" w:rsidRPr="00847C21">
        <w:fldChar w:fldCharType="separate"/>
      </w:r>
      <w:r w:rsidR="002E5C6A">
        <w:t>12</w:t>
      </w:r>
      <w:r w:rsidR="00F01432" w:rsidRPr="00847C21">
        <w:fldChar w:fldCharType="end"/>
      </w:r>
      <w:r w:rsidRPr="00847C21">
        <w:t xml:space="preserve"> (“</w:t>
      </w:r>
      <w:r w:rsidR="00F01432" w:rsidRPr="00847C21">
        <w:fldChar w:fldCharType="begin"/>
      </w:r>
      <w:r w:rsidR="00F01432" w:rsidRPr="00847C21">
        <w:instrText xml:space="preserve"> REF _Ref161846678 \h </w:instrText>
      </w:r>
      <w:r w:rsidR="00801FA4">
        <w:instrText xml:space="preserve"> \* MERGEFORMAT </w:instrText>
      </w:r>
      <w:r w:rsidR="00F01432" w:rsidRPr="00847C21">
        <w:fldChar w:fldCharType="separate"/>
      </w:r>
      <w:r w:rsidR="002E5C6A" w:rsidRPr="00F06646">
        <w:t>Reporting</w:t>
      </w:r>
      <w:r w:rsidR="00F01432" w:rsidRPr="00847C21">
        <w:fldChar w:fldCharType="end"/>
      </w:r>
      <w:r w:rsidRPr="00847C21">
        <w:t>”) that is incorrect or misleading in any material</w:t>
      </w:r>
      <w:r w:rsidR="002879C5" w:rsidRPr="00847C21">
        <w:t xml:space="preserve"> </w:t>
      </w:r>
      <w:r w:rsidRPr="00847C21">
        <w:t>respect</w:t>
      </w:r>
      <w:r w:rsidR="002879C5" w:rsidRPr="00847C21">
        <w:t xml:space="preserve"> </w:t>
      </w:r>
      <w:r w:rsidR="002879C5" w:rsidRPr="008F660B">
        <w:t>(“</w:t>
      </w:r>
      <w:r w:rsidR="002879C5" w:rsidRPr="008F660B">
        <w:rPr>
          <w:b/>
        </w:rPr>
        <w:t>Misleading</w:t>
      </w:r>
      <w:r w:rsidR="002879C5" w:rsidRPr="008F660B">
        <w:t xml:space="preserve"> </w:t>
      </w:r>
      <w:r w:rsidR="002879C5" w:rsidRPr="008F660B">
        <w:rPr>
          <w:b/>
        </w:rPr>
        <w:t>Report</w:t>
      </w:r>
      <w:r w:rsidR="002879C5" w:rsidRPr="008F660B">
        <w:t>”)</w:t>
      </w:r>
      <w:r w:rsidRPr="00847C21">
        <w:t xml:space="preserve">; and </w:t>
      </w:r>
    </w:p>
    <w:p w14:paraId="78428F69" w14:textId="3E0B085A" w:rsidR="00F01432" w:rsidRPr="00847C21" w:rsidRDefault="2C388DF0" w:rsidP="0058045D">
      <w:pPr>
        <w:pStyle w:val="Heading4"/>
      </w:pPr>
      <w:r w:rsidRPr="00847C21">
        <w:t xml:space="preserve">within 60 Business Days after receiving notice from the Commonwealth of that </w:t>
      </w:r>
      <w:r w:rsidR="00335876">
        <w:t>Misleading Report</w:t>
      </w:r>
      <w:r w:rsidRPr="00847C21">
        <w:t>, Project Operator does not</w:t>
      </w:r>
      <w:r w:rsidR="0091353E" w:rsidRPr="00847C21">
        <w:t xml:space="preserve"> do each of the following</w:t>
      </w:r>
      <w:r w:rsidRPr="00847C21">
        <w:t xml:space="preserve">: </w:t>
      </w:r>
    </w:p>
    <w:p w14:paraId="2C84AD7A" w14:textId="77777777" w:rsidR="00F01432" w:rsidRPr="00847C21" w:rsidRDefault="2C388DF0" w:rsidP="0058045D">
      <w:pPr>
        <w:pStyle w:val="Heading5"/>
      </w:pPr>
      <w:r w:rsidRPr="00847C21">
        <w:t>remedy that incorrect or misleading representation (including by Project Operator paying the Commonwealth compensation reasonably acceptable to the Commonwealth on account of loss suffered by it);</w:t>
      </w:r>
    </w:p>
    <w:p w14:paraId="78FFDE62" w14:textId="7A073D78" w:rsidR="00F01432" w:rsidRPr="00847C21" w:rsidRDefault="2C388DF0" w:rsidP="0058045D">
      <w:pPr>
        <w:pStyle w:val="Heading5"/>
      </w:pPr>
      <w:r w:rsidRPr="00847C21">
        <w:t xml:space="preserve">ensure that the persons involved in preparing and/or providing the </w:t>
      </w:r>
      <w:r w:rsidR="002879C5" w:rsidRPr="008F660B">
        <w:t xml:space="preserve">Misleading </w:t>
      </w:r>
      <w:r w:rsidR="008D0D45" w:rsidRPr="00847C21">
        <w:t>R</w:t>
      </w:r>
      <w:r w:rsidRPr="00847C21">
        <w:t>eport</w:t>
      </w:r>
      <w:r w:rsidR="008D0D45" w:rsidRPr="00847C21">
        <w:t>(</w:t>
      </w:r>
      <w:r w:rsidRPr="00847C21">
        <w:t>s</w:t>
      </w:r>
      <w:r w:rsidR="008D0D45" w:rsidRPr="00847C21">
        <w:t>)</w:t>
      </w:r>
      <w:r w:rsidRPr="00847C21">
        <w:t xml:space="preserve"> and/or information which gave rise to the </w:t>
      </w:r>
      <w:r w:rsidR="002879C5" w:rsidRPr="00847C21">
        <w:t>M</w:t>
      </w:r>
      <w:r w:rsidRPr="00847C21">
        <w:t xml:space="preserve">isleading </w:t>
      </w:r>
      <w:r w:rsidR="002879C5" w:rsidRPr="00847C21">
        <w:t xml:space="preserve">Report </w:t>
      </w:r>
      <w:r w:rsidRPr="00847C21">
        <w:t>will have no future involvement in respect of the Project or this agreement;</w:t>
      </w:r>
    </w:p>
    <w:p w14:paraId="0B03573B" w14:textId="1DD4695C" w:rsidR="00F01432" w:rsidRPr="00847C21" w:rsidRDefault="2C388DF0" w:rsidP="0058045D">
      <w:pPr>
        <w:pStyle w:val="Heading5"/>
      </w:pPr>
      <w:r w:rsidRPr="00847C21">
        <w:t xml:space="preserve">procure that an auditing firm approved by the Commonwealth conducts an audit of all previous </w:t>
      </w:r>
      <w:r w:rsidR="00335876">
        <w:t>r</w:t>
      </w:r>
      <w:r w:rsidRPr="00847C21">
        <w:t xml:space="preserve">eports </w:t>
      </w:r>
      <w:r w:rsidR="002879C5" w:rsidRPr="008F660B">
        <w:t xml:space="preserve">provided under clause </w:t>
      </w:r>
      <w:r w:rsidR="002879C5" w:rsidRPr="008F660B">
        <w:fldChar w:fldCharType="begin"/>
      </w:r>
      <w:r w:rsidR="002879C5" w:rsidRPr="008F660B">
        <w:instrText xml:space="preserve"> REF _Ref160875595 \w \h  \* MERGEFORMAT </w:instrText>
      </w:r>
      <w:r w:rsidR="002879C5" w:rsidRPr="008F660B">
        <w:fldChar w:fldCharType="separate"/>
      </w:r>
      <w:r w:rsidR="002E5C6A">
        <w:t>12</w:t>
      </w:r>
      <w:r w:rsidR="002879C5" w:rsidRPr="008F660B">
        <w:fldChar w:fldCharType="end"/>
      </w:r>
      <w:r w:rsidR="002879C5" w:rsidRPr="00847C21">
        <w:t xml:space="preserve"> </w:t>
      </w:r>
      <w:r w:rsidRPr="00847C21">
        <w:t>and provides</w:t>
      </w:r>
      <w:r w:rsidR="0091353E" w:rsidRPr="00847C21">
        <w:t xml:space="preserve"> to</w:t>
      </w:r>
      <w:r w:rsidRPr="00847C21">
        <w:t xml:space="preserve"> the Commonwealth the results of such audit (in each case at the cost of Project Operator); and </w:t>
      </w:r>
    </w:p>
    <w:p w14:paraId="1A362F34" w14:textId="761D2AC0" w:rsidR="00F01432" w:rsidRPr="00847C21" w:rsidRDefault="2C388DF0" w:rsidP="0058045D">
      <w:pPr>
        <w:pStyle w:val="Heading5"/>
      </w:pPr>
      <w:r w:rsidRPr="00847C21">
        <w:t xml:space="preserve">undertake to procure that an appropriately qualified independent auditing firm nominated by Project Operator and approved by the Commonwealth (acting reasonably) conducts an annual audit of all </w:t>
      </w:r>
      <w:r w:rsidR="002879C5" w:rsidRPr="00847C21">
        <w:t>r</w:t>
      </w:r>
      <w:r w:rsidRPr="00847C21">
        <w:t>eports provided to the Commonwealth</w:t>
      </w:r>
      <w:r w:rsidR="002879C5" w:rsidRPr="008F660B">
        <w:t xml:space="preserve"> under clause </w:t>
      </w:r>
      <w:r w:rsidR="002879C5" w:rsidRPr="008F660B">
        <w:fldChar w:fldCharType="begin"/>
      </w:r>
      <w:r w:rsidR="002879C5" w:rsidRPr="008F660B">
        <w:instrText xml:space="preserve"> REF _Ref160875595 \w \h  \* MERGEFORMAT </w:instrText>
      </w:r>
      <w:r w:rsidR="002879C5" w:rsidRPr="008F660B">
        <w:fldChar w:fldCharType="separate"/>
      </w:r>
      <w:r w:rsidR="002E5C6A">
        <w:t>12</w:t>
      </w:r>
      <w:r w:rsidR="002879C5" w:rsidRPr="008F660B">
        <w:fldChar w:fldCharType="end"/>
      </w:r>
      <w:r w:rsidRPr="00847C21">
        <w:t xml:space="preserve"> in respect of each future year and</w:t>
      </w:r>
      <w:r w:rsidR="002879C5" w:rsidRPr="008F660B">
        <w:t xml:space="preserve"> to</w:t>
      </w:r>
      <w:r w:rsidRPr="00847C21">
        <w:t xml:space="preserve"> provide </w:t>
      </w:r>
      <w:r w:rsidR="0091353E" w:rsidRPr="00847C21">
        <w:t xml:space="preserve">to </w:t>
      </w:r>
      <w:r w:rsidRPr="00847C21">
        <w:t>the Commonwealth the results of such audits</w:t>
      </w:r>
      <w:r>
        <w:t xml:space="preserve"> within 40 </w:t>
      </w:r>
      <w:r w:rsidRPr="00847C21">
        <w:t>Business Days after the end of th</w:t>
      </w:r>
      <w:r w:rsidR="002879C5" w:rsidRPr="00847C21">
        <w:t>e</w:t>
      </w:r>
      <w:r w:rsidRPr="00847C21">
        <w:t xml:space="preserve"> year</w:t>
      </w:r>
      <w:r w:rsidR="002879C5" w:rsidRPr="008F660B">
        <w:t xml:space="preserve"> to which the report relates</w:t>
      </w:r>
      <w:r w:rsidR="002879C5" w:rsidRPr="00847C21">
        <w:t>;</w:t>
      </w:r>
    </w:p>
    <w:p w14:paraId="2BBD9D48" w14:textId="77777777" w:rsidR="00FA74D7" w:rsidRPr="00847C21" w:rsidRDefault="2C388DF0" w:rsidP="0058045D">
      <w:pPr>
        <w:pStyle w:val="Heading3"/>
      </w:pPr>
      <w:bookmarkStart w:id="4435" w:name="_Ref114137712"/>
      <w:r w:rsidRPr="00847C21">
        <w:t>(</w:t>
      </w:r>
      <w:r w:rsidRPr="00847C21">
        <w:rPr>
          <w:b/>
          <w:bCs/>
        </w:rPr>
        <w:t>Tender misrepresentation</w:t>
      </w:r>
      <w:r w:rsidRPr="00847C21">
        <w:t>)</w:t>
      </w:r>
      <w:bookmarkEnd w:id="4435"/>
    </w:p>
    <w:p w14:paraId="2447A042" w14:textId="10B7E53E" w:rsidR="00294031" w:rsidRPr="00847C21" w:rsidRDefault="2C388DF0" w:rsidP="0058045D">
      <w:pPr>
        <w:pStyle w:val="Heading4"/>
      </w:pPr>
      <w:bookmarkStart w:id="4436" w:name="_Hlk107997117"/>
      <w:bookmarkStart w:id="4437" w:name="_Ref114075998"/>
      <w:r w:rsidRPr="00847C21">
        <w:t xml:space="preserve">an express representation made by Project Operator under clause </w:t>
      </w:r>
      <w:r w:rsidR="00FA74D7" w:rsidRPr="00847C21">
        <w:fldChar w:fldCharType="begin"/>
      </w:r>
      <w:r w:rsidR="00FA74D7" w:rsidRPr="00847C21">
        <w:instrText xml:space="preserve"> REF _Ref105594132 \r \h  \* MERGEFORMAT </w:instrText>
      </w:r>
      <w:r w:rsidR="00FA74D7" w:rsidRPr="00847C21">
        <w:fldChar w:fldCharType="separate"/>
      </w:r>
      <w:r w:rsidR="002E5C6A">
        <w:t>25.4</w:t>
      </w:r>
      <w:r w:rsidR="00FA74D7" w:rsidRPr="00847C21">
        <w:fldChar w:fldCharType="end"/>
      </w:r>
      <w:r w:rsidRPr="00847C21">
        <w:t xml:space="preserve"> (“</w:t>
      </w:r>
      <w:r w:rsidR="00FA74D7" w:rsidRPr="00847C21">
        <w:fldChar w:fldCharType="begin"/>
      </w:r>
      <w:r w:rsidR="00FA74D7" w:rsidRPr="00847C21">
        <w:instrText xml:space="preserve"> REF _Ref105594132 \h  \* MERGEFORMAT </w:instrText>
      </w:r>
      <w:r w:rsidR="00FA74D7" w:rsidRPr="00847C21">
        <w:fldChar w:fldCharType="separate"/>
      </w:r>
      <w:r w:rsidR="002E5C6A">
        <w:t>Tender representations and warranties from Project Operator</w:t>
      </w:r>
      <w:r w:rsidR="00FA74D7" w:rsidRPr="00847C21">
        <w:fldChar w:fldCharType="end"/>
      </w:r>
      <w:r w:rsidRPr="00847C21">
        <w:t>”)</w:t>
      </w:r>
      <w:bookmarkEnd w:id="4436"/>
      <w:r w:rsidRPr="00847C21">
        <w:t xml:space="preserve"> is incorrect or misleading in any material</w:t>
      </w:r>
      <w:r w:rsidR="002879C5" w:rsidRPr="00847C21">
        <w:t xml:space="preserve"> </w:t>
      </w:r>
      <w:r w:rsidRPr="00847C21">
        <w:t xml:space="preserve">respect when made; </w:t>
      </w:r>
      <w:bookmarkStart w:id="4438" w:name="_Hlk108009554"/>
    </w:p>
    <w:p w14:paraId="6ADBDA4B" w14:textId="77777777" w:rsidR="003836A6" w:rsidRPr="00847C21" w:rsidRDefault="2C388DF0" w:rsidP="0058045D">
      <w:pPr>
        <w:pStyle w:val="Heading4"/>
      </w:pPr>
      <w:r w:rsidRPr="00847C21">
        <w:t xml:space="preserve">the Commonwealth reasonably forms the view that it would not have entered into this agreement with Project Operator but for </w:t>
      </w:r>
      <w:bookmarkEnd w:id="4438"/>
      <w:r w:rsidRPr="00847C21">
        <w:t>the materials and information which caused or contributed to that representation being materially incorrect or misleading;</w:t>
      </w:r>
      <w:bookmarkStart w:id="4439" w:name="_Hlk106217415"/>
      <w:bookmarkEnd w:id="4430"/>
      <w:bookmarkEnd w:id="4437"/>
      <w:r w:rsidRPr="00847C21">
        <w:t xml:space="preserve"> </w:t>
      </w:r>
    </w:p>
    <w:p w14:paraId="0F5252AE" w14:textId="09120190" w:rsidR="007F02AB" w:rsidRPr="00847C21" w:rsidRDefault="2C388DF0" w:rsidP="0058045D">
      <w:pPr>
        <w:pStyle w:val="Heading4"/>
      </w:pPr>
      <w:bookmarkStart w:id="4440" w:name="_Ref161847076"/>
      <w:r w:rsidRPr="00847C21">
        <w:t xml:space="preserve">the Commonwealth notifies Project Operator of that incorrect or misleading representation in writing </w:t>
      </w:r>
      <w:r w:rsidR="0091353E" w:rsidRPr="00847C21">
        <w:t xml:space="preserve">by </w:t>
      </w:r>
      <w:r w:rsidRPr="00847C21">
        <w:t>no later than 2 years after the Commercial Operations Date; and</w:t>
      </w:r>
      <w:bookmarkEnd w:id="4440"/>
    </w:p>
    <w:p w14:paraId="4E3D1BE9" w14:textId="77777777" w:rsidR="002879C5" w:rsidRPr="008F660B" w:rsidRDefault="002879C5" w:rsidP="00915A9F">
      <w:pPr>
        <w:pStyle w:val="Heading4"/>
        <w:keepNext/>
        <w:numPr>
          <w:ilvl w:val="3"/>
          <w:numId w:val="95"/>
        </w:numPr>
      </w:pPr>
      <w:r w:rsidRPr="008F660B">
        <w:t>the Commonwealth is of the view that:</w:t>
      </w:r>
    </w:p>
    <w:p w14:paraId="0222A1DB" w14:textId="1E4504BB" w:rsidR="004578AA" w:rsidRPr="00847C21" w:rsidRDefault="002879C5" w:rsidP="008F660B">
      <w:pPr>
        <w:pStyle w:val="Heading5"/>
      </w:pPr>
      <w:r w:rsidRPr="008F660B">
        <w:t>the effect of the incorrect or misleading representation cannot be remedied by Project Operator; or</w:t>
      </w:r>
    </w:p>
    <w:p w14:paraId="643A922F" w14:textId="58D345FC" w:rsidR="003836A6" w:rsidRPr="00847C21" w:rsidRDefault="002879C5" w:rsidP="008F660B">
      <w:pPr>
        <w:pStyle w:val="Heading5"/>
      </w:pPr>
      <w:bookmarkStart w:id="4441" w:name="_Ref206082613"/>
      <w:bookmarkStart w:id="4442" w:name="_Ref134706537"/>
      <w:r w:rsidRPr="008F660B">
        <w:t>t</w:t>
      </w:r>
      <w:r w:rsidR="004578AA">
        <w:t>h</w:t>
      </w:r>
      <w:r w:rsidRPr="008F660B">
        <w:t>e effect of the incorrect or misleading representation can be remedied but</w:t>
      </w:r>
      <w:r w:rsidRPr="00847C21">
        <w:t xml:space="preserve"> </w:t>
      </w:r>
      <w:r w:rsidR="2C388DF0" w:rsidRPr="00847C21">
        <w:t>Project Operator does not remedy</w:t>
      </w:r>
      <w:r w:rsidR="00335876">
        <w:t>, to the Commonwealth’s satisfaction.</w:t>
      </w:r>
      <w:r w:rsidR="2C388DF0" w:rsidRPr="00847C21">
        <w:t xml:space="preserve"> that incorrect or misleading representation within 60 Business Days after receiving notice from the Commonwealth of that incorrect or misleading representation (including by Project Operator paying the Commonwealth compensation reasonably acceptable to the Commonwealth on account of loss suffered by it)</w:t>
      </w:r>
      <w:r w:rsidRPr="00847C21">
        <w:t>,</w:t>
      </w:r>
      <w:bookmarkEnd w:id="4441"/>
      <w:bookmarkEnd w:id="4442"/>
    </w:p>
    <w:p w14:paraId="4DC99969" w14:textId="46D69FB5" w:rsidR="002879C5" w:rsidRPr="00265A0B" w:rsidRDefault="002879C5" w:rsidP="00915A9F">
      <w:pPr>
        <w:pStyle w:val="Heading4"/>
        <w:numPr>
          <w:ilvl w:val="0"/>
          <w:numId w:val="0"/>
        </w:numPr>
        <w:ind w:left="2211"/>
      </w:pPr>
      <w:r w:rsidRPr="008F660B">
        <w:t>and, if subparagraph</w:t>
      </w:r>
      <w:r w:rsidR="004578AA">
        <w:t xml:space="preserve"> </w:t>
      </w:r>
      <w:r w:rsidR="004578AA">
        <w:fldChar w:fldCharType="begin"/>
      </w:r>
      <w:r w:rsidR="004578AA">
        <w:instrText xml:space="preserve"> REF _Ref206082613 \r \h </w:instrText>
      </w:r>
      <w:r w:rsidR="004578AA">
        <w:fldChar w:fldCharType="separate"/>
      </w:r>
      <w:r w:rsidR="002E5C6A">
        <w:t>(B)</w:t>
      </w:r>
      <w:r w:rsidR="004578AA">
        <w:fldChar w:fldCharType="end"/>
      </w:r>
      <w:r w:rsidR="004578AA">
        <w:t xml:space="preserve"> </w:t>
      </w:r>
      <w:r w:rsidRPr="008F660B">
        <w:t xml:space="preserve">applies, any amounts that would otherwise have been payable to Project Operator under this agreement after the date on which the Commonwealth gives notice to Project Operator under subparagraph </w:t>
      </w:r>
      <w:r w:rsidR="004578AA">
        <w:fldChar w:fldCharType="begin"/>
      </w:r>
      <w:r w:rsidR="004578AA">
        <w:instrText xml:space="preserve"> REF _Ref206082613 \r \h </w:instrText>
      </w:r>
      <w:r w:rsidR="004578AA">
        <w:fldChar w:fldCharType="separate"/>
      </w:r>
      <w:r w:rsidR="002E5C6A">
        <w:t>(B)</w:t>
      </w:r>
      <w:r w:rsidR="004578AA">
        <w:fldChar w:fldCharType="end"/>
      </w:r>
      <w:r w:rsidR="004578AA">
        <w:t xml:space="preserve"> </w:t>
      </w:r>
      <w:r w:rsidRPr="008F660B">
        <w:t>will not become payable unless and until the effect of the incorrect or misleading representation has been remedied by Project Operator to the Commonwealth’s satisfaction</w:t>
      </w:r>
      <w:r w:rsidRPr="00847C21">
        <w:t>;</w:t>
      </w:r>
    </w:p>
    <w:p w14:paraId="3606FF06" w14:textId="77777777" w:rsidR="00EB2560" w:rsidRDefault="2C388DF0" w:rsidP="0058045D">
      <w:pPr>
        <w:pStyle w:val="Heading3"/>
      </w:pPr>
      <w:bookmarkStart w:id="4443" w:name="_Ref104298594"/>
      <w:bookmarkEnd w:id="4439"/>
      <w:r>
        <w:t>(</w:t>
      </w:r>
      <w:r w:rsidRPr="2C388DF0">
        <w:rPr>
          <w:b/>
          <w:bCs/>
        </w:rPr>
        <w:t>insolvency</w:t>
      </w:r>
      <w:r>
        <w:t>) Project Operator is the subject of an Insolvency Event and Project Operator does not cure that Insolvency Event within 10 Business Days after receiving notice from the Commonwealth;</w:t>
      </w:r>
      <w:bookmarkEnd w:id="4425"/>
      <w:bookmarkEnd w:id="4426"/>
      <w:bookmarkEnd w:id="4443"/>
    </w:p>
    <w:p w14:paraId="45725CE0" w14:textId="77E6D942" w:rsidR="00265A0B" w:rsidRDefault="2C388DF0" w:rsidP="0058045D">
      <w:pPr>
        <w:pStyle w:val="Heading3"/>
      </w:pPr>
      <w:bookmarkStart w:id="4444" w:name="_Ref159343314"/>
      <w:r>
        <w:t>(</w:t>
      </w:r>
      <w:r w:rsidRPr="00AF30E9">
        <w:rPr>
          <w:b/>
          <w:bCs/>
        </w:rPr>
        <w:t>Performance Security</w:t>
      </w:r>
      <w:r>
        <w:t>) the termination is in accordance with clause </w:t>
      </w:r>
      <w:r w:rsidR="00265A0B">
        <w:fldChar w:fldCharType="begin"/>
      </w:r>
      <w:r w:rsidR="00265A0B">
        <w:instrText xml:space="preserve"> REF _Ref103541481 \w \h </w:instrText>
      </w:r>
      <w:r w:rsidR="00AF30E9">
        <w:instrText xml:space="preserve"> \* MERGEFORMAT </w:instrText>
      </w:r>
      <w:r w:rsidR="00265A0B">
        <w:fldChar w:fldCharType="separate"/>
      </w:r>
      <w:r w:rsidR="002E5C6A">
        <w:t>3.1(b)</w:t>
      </w:r>
      <w:r w:rsidR="00265A0B">
        <w:fldChar w:fldCharType="end"/>
      </w:r>
      <w:r>
        <w:t xml:space="preserve"> (“</w:t>
      </w:r>
      <w:r w:rsidR="00AF30E9">
        <w:fldChar w:fldCharType="begin"/>
      </w:r>
      <w:r w:rsidR="00AF30E9">
        <w:instrText xml:space="preserve"> REF _Ref167343570 \h </w:instrText>
      </w:r>
      <w:r w:rsidR="00AF30E9">
        <w:fldChar w:fldCharType="separate"/>
      </w:r>
      <w:r w:rsidR="002E5C6A">
        <w:t>Provision of Performance Security</w:t>
      </w:r>
      <w:r w:rsidR="00AF30E9">
        <w:fldChar w:fldCharType="end"/>
      </w:r>
      <w:r w:rsidR="00AF30E9">
        <w:t>”);</w:t>
      </w:r>
      <w:bookmarkEnd w:id="4444"/>
      <w:r>
        <w:t xml:space="preserve"> </w:t>
      </w:r>
    </w:p>
    <w:p w14:paraId="4F61D318" w14:textId="2FCCDD00" w:rsidR="00265A0B" w:rsidRDefault="2C388DF0" w:rsidP="0058045D">
      <w:pPr>
        <w:pStyle w:val="Heading3"/>
      </w:pPr>
      <w:bookmarkStart w:id="4445" w:name="_Ref159343167"/>
      <w:r>
        <w:t>(</w:t>
      </w:r>
      <w:r w:rsidRPr="2C388DF0">
        <w:rPr>
          <w:b/>
          <w:bCs/>
        </w:rPr>
        <w:t>Milestone Date</w:t>
      </w:r>
      <w:r>
        <w:t xml:space="preserve">) the termination is in accordance with clause </w:t>
      </w:r>
      <w:r w:rsidR="00265A0B">
        <w:fldChar w:fldCharType="begin"/>
      </w:r>
      <w:r w:rsidR="00265A0B">
        <w:instrText xml:space="preserve"> REF _Ref103710118 \w \h </w:instrText>
      </w:r>
      <w:r w:rsidR="00265A0B">
        <w:fldChar w:fldCharType="separate"/>
      </w:r>
      <w:r w:rsidR="002E5C6A">
        <w:t>5.4(a)</w:t>
      </w:r>
      <w:r w:rsidR="00265A0B">
        <w:fldChar w:fldCharType="end"/>
      </w:r>
      <w:r>
        <w:t xml:space="preserve"> (“</w:t>
      </w:r>
      <w:r w:rsidR="00265A0B">
        <w:fldChar w:fldCharType="begin"/>
      </w:r>
      <w:r w:rsidR="00265A0B">
        <w:instrText xml:space="preserve"> REF _Ref165036155 \h </w:instrText>
      </w:r>
      <w:r w:rsidR="00265A0B">
        <w:fldChar w:fldCharType="separate"/>
      </w:r>
      <w:r w:rsidR="002E5C6A">
        <w:t>Failure to achieve a Milestone</w:t>
      </w:r>
      <w:r w:rsidR="00265A0B">
        <w:fldChar w:fldCharType="end"/>
      </w:r>
      <w:r>
        <w:t>”);</w:t>
      </w:r>
      <w:bookmarkEnd w:id="4445"/>
      <w:r>
        <w:t xml:space="preserve"> </w:t>
      </w:r>
    </w:p>
    <w:p w14:paraId="76EC11C3" w14:textId="0EE212AA" w:rsidR="00F15A9B" w:rsidRDefault="2C388DF0" w:rsidP="00AC3F9A">
      <w:pPr>
        <w:pStyle w:val="Heading3"/>
      </w:pPr>
      <w:bookmarkStart w:id="4446" w:name="_Ref100133898"/>
      <w:r>
        <w:t>(</w:t>
      </w:r>
      <w:r w:rsidRPr="2C388DF0">
        <w:rPr>
          <w:b/>
          <w:bCs/>
        </w:rPr>
        <w:t>Commercial Operations Date</w:t>
      </w:r>
      <w:r>
        <w:t xml:space="preserve">) the termination is in accordance with clause </w:t>
      </w:r>
      <w:r w:rsidR="00265A0B">
        <w:fldChar w:fldCharType="begin"/>
      </w:r>
      <w:r w:rsidR="00265A0B">
        <w:instrText xml:space="preserve"> REF _Ref103540138 \w \h </w:instrText>
      </w:r>
      <w:r w:rsidR="00265A0B">
        <w:fldChar w:fldCharType="separate"/>
      </w:r>
      <w:r w:rsidR="002E5C6A">
        <w:t>7.4</w:t>
      </w:r>
      <w:r w:rsidR="00265A0B">
        <w:fldChar w:fldCharType="end"/>
      </w:r>
      <w:r>
        <w:t xml:space="preserve"> (“</w:t>
      </w:r>
      <w:r w:rsidR="00AC3F9A">
        <w:fldChar w:fldCharType="begin"/>
      </w:r>
      <w:r w:rsidR="00AC3F9A">
        <w:instrText xml:space="preserve"> REF _Ref100062312 \h </w:instrText>
      </w:r>
      <w:r w:rsidR="00AC3F9A">
        <w:fldChar w:fldCharType="separate"/>
      </w:r>
      <w:r w:rsidR="002E5C6A">
        <w:t>COD Cure Plan other than for Force Majeure Event</w:t>
      </w:r>
      <w:r w:rsidR="00AC3F9A">
        <w:fldChar w:fldCharType="end"/>
      </w:r>
      <w:r>
        <w:t>”);</w:t>
      </w:r>
      <w:bookmarkEnd w:id="4446"/>
      <w:r>
        <w:t xml:space="preserve"> </w:t>
      </w:r>
    </w:p>
    <w:p w14:paraId="59726212" w14:textId="16B01B6C" w:rsidR="00265A0B" w:rsidRDefault="2C388DF0" w:rsidP="0058045D">
      <w:pPr>
        <w:pStyle w:val="Heading3"/>
      </w:pPr>
      <w:bookmarkStart w:id="4447" w:name="_Ref159343171"/>
      <w:r>
        <w:t>(</w:t>
      </w:r>
      <w:r w:rsidRPr="2C388DF0">
        <w:rPr>
          <w:b/>
          <w:bCs/>
        </w:rPr>
        <w:t>Social Licence Commitments</w:t>
      </w:r>
      <w:r>
        <w:t xml:space="preserve">) the termination is in accordance with clause </w:t>
      </w:r>
      <w:r w:rsidR="00265A0B">
        <w:fldChar w:fldCharType="begin"/>
      </w:r>
      <w:r w:rsidR="00265A0B">
        <w:instrText xml:space="preserve"> REF _Ref103541570 \w \h </w:instrText>
      </w:r>
      <w:r w:rsidR="00265A0B">
        <w:fldChar w:fldCharType="separate"/>
      </w:r>
      <w:r w:rsidR="002E5C6A">
        <w:t>11.5</w:t>
      </w:r>
      <w:r w:rsidR="00265A0B">
        <w:fldChar w:fldCharType="end"/>
      </w:r>
      <w:r>
        <w:t xml:space="preserve"> (“</w:t>
      </w:r>
      <w:r w:rsidR="00265A0B">
        <w:fldChar w:fldCharType="begin"/>
      </w:r>
      <w:r w:rsidR="00265A0B">
        <w:instrText xml:space="preserve">  REF _Ref103541570 \h </w:instrText>
      </w:r>
      <w:r w:rsidR="00265A0B">
        <w:fldChar w:fldCharType="separate"/>
      </w:r>
      <w:r w:rsidR="002E5C6A" w:rsidRPr="00F06646">
        <w:t>Termination for failure to comply with Social Licence Commitments</w:t>
      </w:r>
      <w:r w:rsidR="00265A0B">
        <w:fldChar w:fldCharType="end"/>
      </w:r>
      <w:r>
        <w:t>”);</w:t>
      </w:r>
      <w:bookmarkEnd w:id="4447"/>
    </w:p>
    <w:p w14:paraId="14292CAD" w14:textId="77777777" w:rsidR="00EF13D9" w:rsidRPr="00514DFA" w:rsidRDefault="2C388DF0" w:rsidP="0058045D">
      <w:pPr>
        <w:pStyle w:val="Heading3"/>
        <w:rPr>
          <w:szCs w:val="18"/>
        </w:rPr>
      </w:pPr>
      <w:bookmarkStart w:id="4448" w:name="_Ref94793918"/>
      <w:r>
        <w:t>(</w:t>
      </w:r>
      <w:r w:rsidRPr="2C388DF0">
        <w:rPr>
          <w:b/>
          <w:bCs/>
        </w:rPr>
        <w:t>Major Casualty Event</w:t>
      </w:r>
      <w:r>
        <w:t>) a Major Casualty Event occurs and:</w:t>
      </w:r>
      <w:bookmarkEnd w:id="4448"/>
      <w:r>
        <w:t xml:space="preserve"> </w:t>
      </w:r>
    </w:p>
    <w:p w14:paraId="0AA39E0D" w14:textId="18C0AFFD" w:rsidR="00B7213E" w:rsidRDefault="00411B14" w:rsidP="0058045D">
      <w:pPr>
        <w:pStyle w:val="Heading4"/>
      </w:pPr>
      <w:bookmarkStart w:id="4449" w:name="_Ref104281795"/>
      <w:bookmarkStart w:id="4450" w:name="_Ref93942339"/>
      <w:r>
        <w:t>Project Operator</w:t>
      </w:r>
      <w:r w:rsidR="00EF13D9" w:rsidRPr="00514DFA">
        <w:t xml:space="preserve"> </w:t>
      </w:r>
      <w:r w:rsidR="00076A13" w:rsidRPr="2C388DF0">
        <w:t xml:space="preserve">gives a notice under clause </w:t>
      </w:r>
      <w:r w:rsidR="00076A13">
        <w:rPr>
          <w:szCs w:val="18"/>
        </w:rPr>
        <w:fldChar w:fldCharType="begin"/>
      </w:r>
      <w:r w:rsidR="00076A13">
        <w:rPr>
          <w:szCs w:val="18"/>
        </w:rPr>
        <w:instrText xml:space="preserve"> REF _Ref150268369 \w \h </w:instrText>
      </w:r>
      <w:r w:rsidR="00076A13">
        <w:rPr>
          <w:szCs w:val="18"/>
        </w:rPr>
      </w:r>
      <w:r w:rsidR="00076A13">
        <w:rPr>
          <w:szCs w:val="18"/>
        </w:rPr>
        <w:fldChar w:fldCharType="separate"/>
      </w:r>
      <w:r w:rsidR="002E5C6A">
        <w:rPr>
          <w:szCs w:val="18"/>
        </w:rPr>
        <w:t>20.1(b)</w:t>
      </w:r>
      <w:r w:rsidR="00076A13">
        <w:rPr>
          <w:szCs w:val="18"/>
        </w:rPr>
        <w:fldChar w:fldCharType="end"/>
      </w:r>
      <w:r w:rsidR="00A62C91">
        <w:rPr>
          <w:szCs w:val="18"/>
        </w:rPr>
        <w:t>(“</w:t>
      </w:r>
      <w:r w:rsidR="00A62C91">
        <w:rPr>
          <w:szCs w:val="18"/>
        </w:rPr>
        <w:fldChar w:fldCharType="begin"/>
      </w:r>
      <w:r w:rsidR="00A62C91">
        <w:rPr>
          <w:szCs w:val="18"/>
        </w:rPr>
        <w:instrText xml:space="preserve"> REF _Ref150268369 \h </w:instrText>
      </w:r>
      <w:r w:rsidR="00A62C91">
        <w:rPr>
          <w:szCs w:val="18"/>
        </w:rPr>
      </w:r>
      <w:r w:rsidR="00A62C91">
        <w:rPr>
          <w:szCs w:val="18"/>
        </w:rPr>
        <w:fldChar w:fldCharType="separate"/>
      </w:r>
      <w:r w:rsidR="002E5C6A">
        <w:t>a notice that Project Operator elects to not reinstate the Project,</w:t>
      </w:r>
      <w:r w:rsidR="00A62C91">
        <w:rPr>
          <w:szCs w:val="18"/>
        </w:rPr>
        <w:fldChar w:fldCharType="end"/>
      </w:r>
      <w:r w:rsidR="00EF13D9" w:rsidRPr="00514DFA">
        <w:t>;</w:t>
      </w:r>
      <w:bookmarkEnd w:id="4449"/>
      <w:r w:rsidR="00805468" w:rsidRPr="00514DFA">
        <w:t xml:space="preserve"> </w:t>
      </w:r>
      <w:r w:rsidR="0091353E">
        <w:t>and</w:t>
      </w:r>
    </w:p>
    <w:p w14:paraId="41F30ADA" w14:textId="3EAE85E1" w:rsidR="002F7F1E" w:rsidRPr="00514DFA" w:rsidRDefault="2C388DF0" w:rsidP="0058045D">
      <w:pPr>
        <w:pStyle w:val="Heading4"/>
      </w:pPr>
      <w:r>
        <w:t xml:space="preserve">Project Operator does not provide an amended Proposed Reinstatement Plan in accordance with clause </w:t>
      </w:r>
      <w:r w:rsidR="00411B14">
        <w:fldChar w:fldCharType="begin"/>
      </w:r>
      <w:r w:rsidR="00411B14">
        <w:instrText xml:space="preserve"> REF _Ref108533123 \r \h </w:instrText>
      </w:r>
      <w:r w:rsidR="00411B14">
        <w:fldChar w:fldCharType="separate"/>
      </w:r>
      <w:r w:rsidR="002E5C6A">
        <w:t>20.2(a)(ii)(A)</w:t>
      </w:r>
      <w:r w:rsidR="00411B14">
        <w:fldChar w:fldCharType="end"/>
      </w:r>
      <w:r>
        <w:t xml:space="preserve"> (“</w:t>
      </w:r>
      <w:r w:rsidR="00411B14">
        <w:fldChar w:fldCharType="begin"/>
      </w:r>
      <w:r w:rsidR="00411B14">
        <w:instrText xml:space="preserve">  REF _Ref104312909 \h </w:instrText>
      </w:r>
      <w:r w:rsidR="00411B14">
        <w:fldChar w:fldCharType="separate"/>
      </w:r>
      <w:r w:rsidR="002E5C6A">
        <w:t>Reinstatement plan</w:t>
      </w:r>
      <w:r w:rsidR="00411B14">
        <w:fldChar w:fldCharType="end"/>
      </w:r>
      <w:r>
        <w:t>”); or</w:t>
      </w:r>
    </w:p>
    <w:p w14:paraId="23F41487" w14:textId="6D1046D1" w:rsidR="00EF13D9" w:rsidRPr="00514DFA" w:rsidRDefault="00BE77D6" w:rsidP="0058045D">
      <w:pPr>
        <w:pStyle w:val="Heading4"/>
      </w:pPr>
      <w:bookmarkStart w:id="4451" w:name="_Ref104281806"/>
      <w:r w:rsidRPr="00564208">
        <w:t>the Commonwealth</w:t>
      </w:r>
      <w:r w:rsidR="002F7F1E" w:rsidRPr="00564208">
        <w:t xml:space="preserve"> rejects</w:t>
      </w:r>
      <w:r w:rsidR="002F7F1E" w:rsidRPr="00514DFA">
        <w:t xml:space="preserve"> a</w:t>
      </w:r>
      <w:r w:rsidR="00076A13">
        <w:t>n amended</w:t>
      </w:r>
      <w:r w:rsidR="002F7F1E" w:rsidRPr="00514DFA">
        <w:t xml:space="preserve"> Proposed Reinstatement Plan in accordance with clause </w:t>
      </w:r>
      <w:r w:rsidR="002F7F1E" w:rsidRPr="00514DFA">
        <w:rPr>
          <w:szCs w:val="18"/>
        </w:rPr>
        <w:fldChar w:fldCharType="begin"/>
      </w:r>
      <w:r w:rsidR="002F7F1E" w:rsidRPr="00514DFA">
        <w:rPr>
          <w:szCs w:val="18"/>
        </w:rPr>
        <w:instrText xml:space="preserve"> REF _Ref104281568 \w \h </w:instrText>
      </w:r>
      <w:r w:rsidR="00514DFA" w:rsidRPr="00514DFA">
        <w:rPr>
          <w:szCs w:val="18"/>
        </w:rPr>
        <w:instrText xml:space="preserve"> \* MERGEFORMAT </w:instrText>
      </w:r>
      <w:r w:rsidR="002F7F1E" w:rsidRPr="00514DFA">
        <w:rPr>
          <w:szCs w:val="18"/>
        </w:rPr>
      </w:r>
      <w:r w:rsidR="002F7F1E" w:rsidRPr="00514DFA">
        <w:rPr>
          <w:szCs w:val="18"/>
        </w:rPr>
        <w:fldChar w:fldCharType="separate"/>
      </w:r>
      <w:r w:rsidR="002E5C6A" w:rsidRPr="002E5C6A">
        <w:t>20.2(a)(ii)(B)</w:t>
      </w:r>
      <w:r w:rsidR="002F7F1E" w:rsidRPr="00514DFA">
        <w:rPr>
          <w:szCs w:val="18"/>
        </w:rPr>
        <w:fldChar w:fldCharType="end"/>
      </w:r>
      <w:r w:rsidR="00D12C35">
        <w:rPr>
          <w:szCs w:val="18"/>
        </w:rPr>
        <w:t xml:space="preserve"> (“</w:t>
      </w:r>
      <w:r w:rsidR="00D12C35">
        <w:rPr>
          <w:szCs w:val="18"/>
        </w:rPr>
        <w:fldChar w:fldCharType="begin"/>
      </w:r>
      <w:r w:rsidR="00D12C35">
        <w:rPr>
          <w:szCs w:val="18"/>
        </w:rPr>
        <w:instrText xml:space="preserve">  REF _Ref104312909 \h </w:instrText>
      </w:r>
      <w:r w:rsidR="00D12C35">
        <w:rPr>
          <w:szCs w:val="18"/>
        </w:rPr>
      </w:r>
      <w:r w:rsidR="00D12C35">
        <w:rPr>
          <w:szCs w:val="18"/>
        </w:rPr>
        <w:fldChar w:fldCharType="separate"/>
      </w:r>
      <w:r w:rsidR="002E5C6A">
        <w:t>Reinstatement plan</w:t>
      </w:r>
      <w:r w:rsidR="00D12C35">
        <w:rPr>
          <w:szCs w:val="18"/>
        </w:rPr>
        <w:fldChar w:fldCharType="end"/>
      </w:r>
      <w:r w:rsidR="00D12C35">
        <w:rPr>
          <w:szCs w:val="18"/>
        </w:rPr>
        <w:t>”)</w:t>
      </w:r>
      <w:r w:rsidR="002F7F1E" w:rsidRPr="00514DFA">
        <w:rPr>
          <w:szCs w:val="18"/>
        </w:rPr>
        <w:t>;</w:t>
      </w:r>
      <w:r w:rsidR="00EF13D9" w:rsidRPr="00514DFA">
        <w:t xml:space="preserve"> </w:t>
      </w:r>
      <w:bookmarkEnd w:id="4450"/>
      <w:bookmarkEnd w:id="4451"/>
    </w:p>
    <w:p w14:paraId="43B80731" w14:textId="77777777" w:rsidR="00A62C91" w:rsidRDefault="2C388DF0" w:rsidP="008E4A1B">
      <w:pPr>
        <w:pStyle w:val="Heading3"/>
      </w:pPr>
      <w:bookmarkStart w:id="4452" w:name="_Ref_ContractCompanion_9kb9Ur3DK"/>
      <w:bookmarkStart w:id="4453" w:name="_Ref199426998"/>
      <w:bookmarkStart w:id="4454" w:name="_Ref104298616"/>
      <w:r>
        <w:t>(</w:t>
      </w:r>
      <w:r w:rsidRPr="008E4A1B">
        <w:rPr>
          <w:b/>
          <w:bCs/>
        </w:rPr>
        <w:t>failure to comply with approved plan</w:t>
      </w:r>
      <w:r>
        <w:t>) Project Operator</w:t>
      </w:r>
      <w:bookmarkEnd w:id="4452"/>
      <w:r w:rsidR="00A62C91">
        <w:t>:</w:t>
      </w:r>
      <w:bookmarkEnd w:id="4453"/>
      <w:r w:rsidR="006041D4">
        <w:t xml:space="preserve"> </w:t>
      </w:r>
      <w:bookmarkEnd w:id="4454"/>
    </w:p>
    <w:p w14:paraId="589F4B2E" w14:textId="063F15A7" w:rsidR="00F813B4" w:rsidRDefault="2C388DF0" w:rsidP="00A0771D">
      <w:pPr>
        <w:pStyle w:val="Heading4"/>
      </w:pPr>
      <w:r>
        <w:t xml:space="preserve">fails to comply with an Approved </w:t>
      </w:r>
      <w:r w:rsidR="00F813B4">
        <w:t>PR Cure Plan, Approved COD Cure Plan, Approved Milestone Cure Plan, or Approved SLC Cure Plan;</w:t>
      </w:r>
    </w:p>
    <w:p w14:paraId="100876F0" w14:textId="026E36D2" w:rsidR="00F813B4" w:rsidRDefault="00F813B4" w:rsidP="00A0771D">
      <w:pPr>
        <w:pStyle w:val="Heading4"/>
      </w:pPr>
      <w:r>
        <w:t xml:space="preserve">fails to comply with a remediation plan that has been approved by the Commonwealth under section </w:t>
      </w:r>
      <w:r w:rsidRPr="00806C65">
        <w:fldChar w:fldCharType="begin"/>
      </w:r>
      <w:r w:rsidRPr="00806C65">
        <w:instrText xml:space="preserve"> REF _Ref151149310 \n \h </w:instrText>
      </w:r>
      <w:r>
        <w:instrText xml:space="preserve"> \* MERGEFORMAT </w:instrText>
      </w:r>
      <w:r w:rsidRPr="00806C65">
        <w:fldChar w:fldCharType="separate"/>
      </w:r>
      <w:r w:rsidR="002E5C6A">
        <w:t>5.5</w:t>
      </w:r>
      <w:r w:rsidRPr="00806C65">
        <w:fldChar w:fldCharType="end"/>
      </w:r>
      <w:r w:rsidRPr="00806C65">
        <w:t xml:space="preserve"> of </w:t>
      </w:r>
      <w:r w:rsidRPr="00806C65">
        <w:fldChar w:fldCharType="begin"/>
      </w:r>
      <w:r w:rsidRPr="00806C65">
        <w:instrText xml:space="preserve"> REF _Ref159420596 \n \h </w:instrText>
      </w:r>
      <w:r>
        <w:instrText xml:space="preserve"> \* MERGEFORMAT </w:instrText>
      </w:r>
      <w:r w:rsidRPr="00806C65">
        <w:fldChar w:fldCharType="separate"/>
      </w:r>
      <w:r w:rsidR="002E5C6A">
        <w:t>Schedule 6</w:t>
      </w:r>
      <w:r w:rsidRPr="00806C65">
        <w:fldChar w:fldCharType="end"/>
      </w:r>
      <w:r>
        <w:t>,</w:t>
      </w:r>
      <w:r w:rsidR="00BC2BE9">
        <w:t xml:space="preserve"> </w:t>
      </w:r>
    </w:p>
    <w:p w14:paraId="65C455E2" w14:textId="5007A685" w:rsidR="00C075C9" w:rsidRDefault="2C388DF0" w:rsidP="0076796C">
      <w:pPr>
        <w:pStyle w:val="Heading4"/>
        <w:numPr>
          <w:ilvl w:val="0"/>
          <w:numId w:val="0"/>
        </w:numPr>
        <w:ind w:left="1474"/>
      </w:pPr>
      <w:r>
        <w:t>in all material respects,</w:t>
      </w:r>
      <w:r w:rsidR="006041D4">
        <w:t xml:space="preserve"> </w:t>
      </w:r>
      <w:bookmarkStart w:id="4455" w:name="_Ref170371035"/>
      <w:r w:rsidR="00B4376D">
        <w:t xml:space="preserve">and </w:t>
      </w:r>
      <w:r w:rsidR="00805468">
        <w:t xml:space="preserve">does not remedy that </w:t>
      </w:r>
      <w:r w:rsidR="00805468" w:rsidRPr="00564208">
        <w:t xml:space="preserve">failure within </w:t>
      </w:r>
      <w:r w:rsidR="00F813B4">
        <w:t>two (</w:t>
      </w:r>
      <w:r w:rsidR="00805468" w:rsidRPr="00564208">
        <w:t>2</w:t>
      </w:r>
      <w:r w:rsidR="00F813B4">
        <w:t>)</w:t>
      </w:r>
      <w:r w:rsidR="00805468" w:rsidRPr="00564208">
        <w:t xml:space="preserve"> months after receiving notice from </w:t>
      </w:r>
      <w:r w:rsidR="00BE77D6" w:rsidRPr="00564208">
        <w:t>the Commonwealth</w:t>
      </w:r>
      <w:r w:rsidR="00805468" w:rsidRPr="00564208">
        <w:t xml:space="preserve"> of</w:t>
      </w:r>
      <w:r w:rsidR="00805468">
        <w:t xml:space="preserve"> that failure;</w:t>
      </w:r>
      <w:bookmarkEnd w:id="4455"/>
      <w:r w:rsidR="00B4376D">
        <w:t xml:space="preserve"> </w:t>
      </w:r>
    </w:p>
    <w:p w14:paraId="381FACF2" w14:textId="68D4FEFB" w:rsidR="00B823FA" w:rsidRPr="009F407F" w:rsidRDefault="00B823FA" w:rsidP="0058045D">
      <w:pPr>
        <w:pStyle w:val="Heading3"/>
      </w:pPr>
      <w:bookmarkStart w:id="4456" w:name="_Ref_ContractCompanion_9kb9Ur453"/>
      <w:r w:rsidRPr="009F407F">
        <w:t>(</w:t>
      </w:r>
      <w:r w:rsidRPr="008E4A1B">
        <w:rPr>
          <w:b/>
          <w:bCs/>
        </w:rPr>
        <w:t>Performance Requirements</w:t>
      </w:r>
      <w:r w:rsidRPr="009F407F">
        <w:t xml:space="preserve">) </w:t>
      </w:r>
      <w:r w:rsidR="009F407F" w:rsidRPr="009F407F">
        <w:t xml:space="preserve">the termination is in accordance with clause </w:t>
      </w:r>
      <w:r w:rsidR="009F407F" w:rsidRPr="009F407F">
        <w:fldChar w:fldCharType="begin"/>
      </w:r>
      <w:r w:rsidR="009F407F" w:rsidRPr="009F407F">
        <w:instrText xml:space="preserve"> REF _Ref170211672 \w \h </w:instrText>
      </w:r>
      <w:r w:rsidR="009F407F">
        <w:instrText xml:space="preserve"> \* MERGEFORMAT </w:instrText>
      </w:r>
      <w:r w:rsidR="009F407F" w:rsidRPr="009F407F">
        <w:fldChar w:fldCharType="separate"/>
      </w:r>
      <w:r w:rsidR="002E5C6A">
        <w:t>8.4(h)</w:t>
      </w:r>
      <w:r w:rsidR="009F407F" w:rsidRPr="009F407F">
        <w:fldChar w:fldCharType="end"/>
      </w:r>
      <w:r w:rsidR="007D7AC9">
        <w:t xml:space="preserve"> (“</w:t>
      </w:r>
      <w:r w:rsidR="007D7AC9">
        <w:fldChar w:fldCharType="begin"/>
      </w:r>
      <w:r w:rsidR="007D7AC9">
        <w:instrText xml:space="preserve"> REF _Ref170125550 \h </w:instrText>
      </w:r>
      <w:r w:rsidR="007D7AC9">
        <w:fldChar w:fldCharType="separate"/>
      </w:r>
      <w:r w:rsidR="002E5C6A">
        <w:t>Performance Requirement failures</w:t>
      </w:r>
      <w:r w:rsidR="007D7AC9">
        <w:fldChar w:fldCharType="end"/>
      </w:r>
      <w:r w:rsidR="007D7AC9">
        <w:t>”)</w:t>
      </w:r>
      <w:r w:rsidR="009F407F" w:rsidRPr="009F407F">
        <w:t>;</w:t>
      </w:r>
      <w:bookmarkEnd w:id="4456"/>
    </w:p>
    <w:p w14:paraId="323AA4B2" w14:textId="346F31C4" w:rsidR="00CF7688" w:rsidRDefault="00CF7688" w:rsidP="0058045D">
      <w:pPr>
        <w:pStyle w:val="Heading3"/>
      </w:pPr>
      <w:bookmarkStart w:id="4457" w:name="_Ref170371086"/>
      <w:r>
        <w:t>(</w:t>
      </w:r>
      <w:r w:rsidR="00C74E7A" w:rsidRPr="00131021">
        <w:rPr>
          <w:b/>
          <w:bCs/>
        </w:rPr>
        <w:t>Peak</w:t>
      </w:r>
      <w:r w:rsidR="00C74E7A">
        <w:t xml:space="preserve"> </w:t>
      </w:r>
      <w:r>
        <w:rPr>
          <w:b/>
          <w:bCs/>
        </w:rPr>
        <w:t>Capacity Credits</w:t>
      </w:r>
      <w:r>
        <w:t xml:space="preserve">) </w:t>
      </w:r>
      <w:r w:rsidR="00C2096B">
        <w:t xml:space="preserve">no </w:t>
      </w:r>
      <w:r w:rsidR="00C74E7A">
        <w:t xml:space="preserve">Peak </w:t>
      </w:r>
      <w:r w:rsidR="00C2096B">
        <w:t>Capacity Credits are assigned</w:t>
      </w:r>
      <w:r w:rsidR="0024714F">
        <w:t xml:space="preserve"> by AEMO in accordance with the </w:t>
      </w:r>
      <w:r w:rsidR="004A1236">
        <w:t>ESM Rules</w:t>
      </w:r>
      <w:r w:rsidR="0024714F">
        <w:t xml:space="preserve"> to </w:t>
      </w:r>
      <w:r w:rsidR="00C2096B">
        <w:t xml:space="preserve">the Project in respect of two consecutive </w:t>
      </w:r>
      <w:r w:rsidR="00993790">
        <w:t>Support</w:t>
      </w:r>
      <w:r w:rsidR="00C2096B">
        <w:t xml:space="preserve"> Years;</w:t>
      </w:r>
      <w:bookmarkEnd w:id="4457"/>
    </w:p>
    <w:p w14:paraId="355B8E88" w14:textId="6E829884" w:rsidR="0091353E" w:rsidRDefault="2C388DF0" w:rsidP="0058045D">
      <w:pPr>
        <w:pStyle w:val="Heading3"/>
      </w:pPr>
      <w:r>
        <w:t>(</w:t>
      </w:r>
      <w:r w:rsidRPr="2C388DF0">
        <w:rPr>
          <w:b/>
          <w:bCs/>
        </w:rPr>
        <w:t>Project Force Majeure Event</w:t>
      </w:r>
      <w:r>
        <w:t xml:space="preserve">) </w:t>
      </w:r>
      <w:bookmarkStart w:id="4458" w:name="_Ref151283648"/>
      <w:r>
        <w:t xml:space="preserve">if a Project Force Majeure Event occurs </w:t>
      </w:r>
      <w:r w:rsidR="00F813B4">
        <w:t xml:space="preserve">and has an adverse impact that </w:t>
      </w:r>
      <w:r w:rsidR="0091353E">
        <w:t xml:space="preserve">reduces the: </w:t>
      </w:r>
    </w:p>
    <w:p w14:paraId="00929C04" w14:textId="06171F93" w:rsidR="0091353E" w:rsidRDefault="0091353E" w:rsidP="0091353E">
      <w:pPr>
        <w:pStyle w:val="Heading4"/>
      </w:pPr>
      <w:r>
        <w:t xml:space="preserve">export capacity of the Project, as measured in MW at the </w:t>
      </w:r>
      <w:r w:rsidR="008F4CFC">
        <w:t xml:space="preserve">Measurement </w:t>
      </w:r>
      <w:r>
        <w:t>Point</w:t>
      </w:r>
      <w:r w:rsidR="008F4CFC">
        <w:t xml:space="preserve"> for Project</w:t>
      </w:r>
      <w:r>
        <w:t xml:space="preserve"> in AC,</w:t>
      </w:r>
      <w:r w:rsidDel="0091353E">
        <w:t xml:space="preserve"> </w:t>
      </w:r>
      <w:r>
        <w:t>to below</w:t>
      </w:r>
      <w:bookmarkEnd w:id="4458"/>
      <w:r w:rsidR="2C388DF0">
        <w:t xml:space="preserve"> 50% of the </w:t>
      </w:r>
      <w:r w:rsidR="004A0277">
        <w:t xml:space="preserve">Export </w:t>
      </w:r>
      <w:r w:rsidR="2C388DF0">
        <w:t>Capacity (in MW)</w:t>
      </w:r>
      <w:r>
        <w:t>;</w:t>
      </w:r>
      <w:r w:rsidR="00050F30">
        <w:t xml:space="preserve"> or </w:t>
      </w:r>
    </w:p>
    <w:p w14:paraId="326EEF11" w14:textId="0B42EAA7" w:rsidR="0091353E" w:rsidRDefault="0091353E" w:rsidP="0091353E">
      <w:pPr>
        <w:pStyle w:val="Heading4"/>
      </w:pPr>
      <w:r>
        <w:t>storage capacity of Project, as measured in MWh</w:t>
      </w:r>
      <w:r w:rsidR="008F4CFC">
        <w:t xml:space="preserve"> at the Measurement Point for the Project</w:t>
      </w:r>
      <w:r>
        <w:t xml:space="preserve">, to below 50% of </w:t>
      </w:r>
      <w:r w:rsidR="00050F30">
        <w:t>the Storage Capacity (in MWh)</w:t>
      </w:r>
      <w:r w:rsidR="2C388DF0">
        <w:t xml:space="preserve">, </w:t>
      </w:r>
    </w:p>
    <w:p w14:paraId="0ECCFFE8" w14:textId="42323C73" w:rsidR="00F15A9B" w:rsidRDefault="2C388DF0" w:rsidP="0091353E">
      <w:pPr>
        <w:spacing w:after="240"/>
        <w:ind w:left="1474"/>
      </w:pPr>
      <w:r>
        <w:t xml:space="preserve">for a continuous period of 18 months commencing from the first date of the Project Force Majeure Event; </w:t>
      </w:r>
      <w:r w:rsidR="00C621D1" w:rsidRPr="00AD4C09">
        <w:t>[</w:t>
      </w:r>
      <w:r w:rsidR="00C621D1" w:rsidRPr="00AD4C09">
        <w:rPr>
          <w:b/>
          <w:bCs/>
          <w:i/>
          <w:iCs/>
          <w:highlight w:val="lightGray"/>
        </w:rPr>
        <w:t xml:space="preserve">Note: </w:t>
      </w:r>
      <w:r w:rsidR="007E5406" w:rsidRPr="00AD4C09">
        <w:rPr>
          <w:b/>
          <w:bCs/>
          <w:i/>
          <w:iCs/>
          <w:highlight w:val="lightGray"/>
        </w:rPr>
        <w:t>see agreement cover note regarding Non-Storage Projects</w:t>
      </w:r>
      <w:r w:rsidR="00C621D1" w:rsidRPr="00AD4C09">
        <w:rPr>
          <w:b/>
          <w:bCs/>
          <w:i/>
          <w:iCs/>
          <w:highlight w:val="lightGray"/>
        </w:rPr>
        <w:t>.</w:t>
      </w:r>
      <w:r w:rsidR="00C621D1" w:rsidRPr="00AD4C09">
        <w:t>]</w:t>
      </w:r>
    </w:p>
    <w:p w14:paraId="69822672" w14:textId="4C95B9B2" w:rsidR="000F73C5" w:rsidRPr="005A3A42" w:rsidRDefault="000F73C5" w:rsidP="0058045D">
      <w:pPr>
        <w:pStyle w:val="Heading3"/>
      </w:pPr>
      <w:bookmarkStart w:id="4459" w:name="_Ref166578165"/>
      <w:bookmarkStart w:id="4460" w:name="_Ref165015934"/>
      <w:r>
        <w:t>(</w:t>
      </w:r>
      <w:r w:rsidRPr="005A3A42">
        <w:rPr>
          <w:b/>
          <w:bCs/>
        </w:rPr>
        <w:t>Workplace Laws</w:t>
      </w:r>
      <w:r w:rsidRPr="005A3A42">
        <w:t>) a breach</w:t>
      </w:r>
      <w:r w:rsidR="00AD023D" w:rsidRPr="005A3A42">
        <w:t>, or potential breach,</w:t>
      </w:r>
      <w:r w:rsidRPr="005A3A42">
        <w:t xml:space="preserve"> of a Workplace Law occurs</w:t>
      </w:r>
      <w:r w:rsidR="00EA5FCF" w:rsidRPr="005A3A42">
        <w:t xml:space="preserve"> </w:t>
      </w:r>
      <w:r w:rsidR="00EA5FCF" w:rsidRPr="00792B2E">
        <w:t>giving rise to a right of termination</w:t>
      </w:r>
      <w:r w:rsidRPr="00792B2E">
        <w:t xml:space="preserve">, as </w:t>
      </w:r>
      <w:r w:rsidR="00EA5FCF" w:rsidRPr="00792B2E">
        <w:t>set out</w:t>
      </w:r>
      <w:r w:rsidRPr="00792B2E">
        <w:t xml:space="preserve"> in </w:t>
      </w:r>
      <w:r w:rsidR="001B43C8" w:rsidRPr="00792B2E">
        <w:t xml:space="preserve">paragraph </w:t>
      </w:r>
      <w:r w:rsidR="001B43C8" w:rsidRPr="00792B2E">
        <w:fldChar w:fldCharType="begin"/>
      </w:r>
      <w:r w:rsidR="001B43C8" w:rsidRPr="00792B2E">
        <w:instrText xml:space="preserve"> REF _Ref167311274 \n \h </w:instrText>
      </w:r>
      <w:r w:rsidR="00F205EC" w:rsidRPr="00792B2E">
        <w:instrText xml:space="preserve"> \* MERGEFORMAT </w:instrText>
      </w:r>
      <w:r w:rsidR="001B43C8" w:rsidRPr="00792B2E">
        <w:fldChar w:fldCharType="separate"/>
      </w:r>
      <w:r w:rsidR="002E5C6A">
        <w:t>(d)</w:t>
      </w:r>
      <w:r w:rsidR="001B43C8" w:rsidRPr="00792B2E">
        <w:fldChar w:fldCharType="end"/>
      </w:r>
      <w:r w:rsidR="001B43C8" w:rsidRPr="00792B2E">
        <w:t xml:space="preserve"> of</w:t>
      </w:r>
      <w:r w:rsidR="001B43C8" w:rsidRPr="005A3A42">
        <w:t xml:space="preserve"> </w:t>
      </w:r>
      <w:r w:rsidRPr="005A3A42">
        <w:t xml:space="preserve">section </w:t>
      </w:r>
      <w:r w:rsidRPr="005A3A42">
        <w:fldChar w:fldCharType="begin"/>
      </w:r>
      <w:r w:rsidRPr="005A3A42">
        <w:instrText xml:space="preserve"> REF _Ref151146045 \n \h </w:instrText>
      </w:r>
      <w:r w:rsidR="00A016A2">
        <w:instrText xml:space="preserve"> \* MERGEFORMAT </w:instrText>
      </w:r>
      <w:r w:rsidRPr="005A3A42">
        <w:fldChar w:fldCharType="separate"/>
      </w:r>
      <w:r w:rsidR="002E5C6A">
        <w:t>4</w:t>
      </w:r>
      <w:r w:rsidRPr="005A3A42">
        <w:fldChar w:fldCharType="end"/>
      </w:r>
      <w:r w:rsidRPr="005A3A42">
        <w:t xml:space="preserve"> (“</w:t>
      </w:r>
      <w:r w:rsidRPr="005A3A42">
        <w:fldChar w:fldCharType="begin"/>
      </w:r>
      <w:r w:rsidRPr="005A3A42">
        <w:instrText xml:space="preserve"> REF _Ref151146045 \h </w:instrText>
      </w:r>
      <w:r w:rsidR="00A016A2">
        <w:instrText xml:space="preserve"> \* MERGEFORMAT </w:instrText>
      </w:r>
      <w:r w:rsidRPr="005A3A42">
        <w:fldChar w:fldCharType="separate"/>
      </w:r>
      <w:r w:rsidR="002E5C6A">
        <w:t>Workplace Laws</w:t>
      </w:r>
      <w:r w:rsidRPr="005A3A42">
        <w:fldChar w:fldCharType="end"/>
      </w:r>
      <w:r w:rsidRPr="005A3A42">
        <w:t xml:space="preserve">”) of </w:t>
      </w:r>
      <w:r w:rsidRPr="005A3A42">
        <w:fldChar w:fldCharType="begin"/>
      </w:r>
      <w:r w:rsidRPr="005A3A42">
        <w:instrText xml:space="preserve"> REF _Ref159420596 \r \h </w:instrText>
      </w:r>
      <w:r w:rsidR="00A016A2">
        <w:instrText xml:space="preserve"> \* MERGEFORMAT </w:instrText>
      </w:r>
      <w:r w:rsidRPr="005A3A42">
        <w:fldChar w:fldCharType="separate"/>
      </w:r>
      <w:r w:rsidR="002E5C6A">
        <w:t>Schedule 6</w:t>
      </w:r>
      <w:r w:rsidRPr="005A3A42">
        <w:fldChar w:fldCharType="end"/>
      </w:r>
      <w:r w:rsidRPr="005A3A42">
        <w:t xml:space="preserve"> (“</w:t>
      </w:r>
      <w:r w:rsidRPr="005A3A42">
        <w:fldChar w:fldCharType="begin"/>
      </w:r>
      <w:r w:rsidRPr="005A3A42">
        <w:instrText xml:space="preserve"> REF _Ref159420596 \h </w:instrText>
      </w:r>
      <w:r w:rsidR="00A016A2">
        <w:instrText xml:space="preserve"> \* MERGEFORMAT </w:instrText>
      </w:r>
      <w:r w:rsidRPr="005A3A42">
        <w:fldChar w:fldCharType="separate"/>
      </w:r>
      <w:r w:rsidR="002E5C6A" w:rsidRPr="00991FDD">
        <w:t>Commonwealth Policy and Other Requirements</w:t>
      </w:r>
      <w:r w:rsidRPr="005A3A42">
        <w:fldChar w:fldCharType="end"/>
      </w:r>
      <w:r w:rsidRPr="005A3A42">
        <w:t>”);</w:t>
      </w:r>
      <w:bookmarkEnd w:id="4459"/>
      <w:r w:rsidR="007672CE" w:rsidRPr="005A3A42">
        <w:t xml:space="preserve"> </w:t>
      </w:r>
    </w:p>
    <w:p w14:paraId="4109C1F9" w14:textId="3588C7FD" w:rsidR="000F73C5" w:rsidRPr="005A3A42" w:rsidRDefault="000F73C5" w:rsidP="0058045D">
      <w:pPr>
        <w:pStyle w:val="Heading3"/>
      </w:pPr>
      <w:bookmarkStart w:id="4461" w:name="_Ref165017616"/>
      <w:bookmarkStart w:id="4462" w:name="_Ref166578172"/>
      <w:r w:rsidRPr="005A3A42">
        <w:t>(</w:t>
      </w:r>
      <w:r w:rsidRPr="005A3A42">
        <w:rPr>
          <w:b/>
          <w:bCs/>
        </w:rPr>
        <w:t>Significant Event</w:t>
      </w:r>
      <w:r w:rsidRPr="005A3A42">
        <w:t>) a “Significant Event” occurs</w:t>
      </w:r>
      <w:r w:rsidR="00EA5FCF" w:rsidRPr="005A3A42">
        <w:t xml:space="preserve"> </w:t>
      </w:r>
      <w:r w:rsidR="00EA5FCF" w:rsidRPr="00792B2E">
        <w:t>giving rise to a right of termination, as set out</w:t>
      </w:r>
      <w:r w:rsidRPr="00792B2E">
        <w:t xml:space="preserve"> in </w:t>
      </w:r>
      <w:r w:rsidR="00EA5FCF" w:rsidRPr="00792B2E">
        <w:t xml:space="preserve">paragraph </w:t>
      </w:r>
      <w:r w:rsidR="00EA5FCF" w:rsidRPr="00792B2E">
        <w:fldChar w:fldCharType="begin"/>
      </w:r>
      <w:r w:rsidR="00EA5FCF" w:rsidRPr="00792B2E">
        <w:instrText xml:space="preserve"> REF _Ref167311593 \n \h </w:instrText>
      </w:r>
      <w:r w:rsidR="00F205EC" w:rsidRPr="00792B2E">
        <w:instrText xml:space="preserve"> \* MERGEFORMAT </w:instrText>
      </w:r>
      <w:r w:rsidR="00EA5FCF" w:rsidRPr="00792B2E">
        <w:fldChar w:fldCharType="separate"/>
      </w:r>
      <w:r w:rsidR="002E5C6A">
        <w:t>5.4</w:t>
      </w:r>
      <w:r w:rsidR="00EA5FCF" w:rsidRPr="00792B2E">
        <w:fldChar w:fldCharType="end"/>
      </w:r>
      <w:r w:rsidR="00EA5FCF" w:rsidRPr="00792B2E">
        <w:fldChar w:fldCharType="begin"/>
      </w:r>
      <w:r w:rsidR="00EA5FCF" w:rsidRPr="00792B2E">
        <w:instrText xml:space="preserve"> REF _Ref153778211 \n \h </w:instrText>
      </w:r>
      <w:r w:rsidR="00F205EC" w:rsidRPr="00792B2E">
        <w:instrText xml:space="preserve"> \* MERGEFORMAT </w:instrText>
      </w:r>
      <w:r w:rsidR="00EA5FCF" w:rsidRPr="00792B2E">
        <w:fldChar w:fldCharType="separate"/>
      </w:r>
      <w:r w:rsidR="002E5C6A">
        <w:t>(c)</w:t>
      </w:r>
      <w:r w:rsidR="00EA5FCF" w:rsidRPr="00792B2E">
        <w:fldChar w:fldCharType="end"/>
      </w:r>
      <w:r w:rsidR="00EA5FCF" w:rsidRPr="00792B2E">
        <w:t xml:space="preserve"> of</w:t>
      </w:r>
      <w:r w:rsidR="00EA5FCF" w:rsidRPr="005A3A42">
        <w:t xml:space="preserve"> </w:t>
      </w:r>
      <w:r w:rsidRPr="005A3A42">
        <w:t>section </w:t>
      </w:r>
      <w:r w:rsidRPr="005A3A42">
        <w:fldChar w:fldCharType="begin"/>
      </w:r>
      <w:r w:rsidRPr="005A3A42">
        <w:instrText xml:space="preserve"> REF _Ref151128268 \n \h </w:instrText>
      </w:r>
      <w:r w:rsidR="00A016A2">
        <w:instrText xml:space="preserve"> \* MERGEFORMAT </w:instrText>
      </w:r>
      <w:r w:rsidRPr="005A3A42">
        <w:fldChar w:fldCharType="separate"/>
      </w:r>
      <w:r w:rsidR="002E5C6A">
        <w:t>5</w:t>
      </w:r>
      <w:r w:rsidRPr="005A3A42">
        <w:fldChar w:fldCharType="end"/>
      </w:r>
      <w:r w:rsidRPr="005A3A42">
        <w:t xml:space="preserve"> (“</w:t>
      </w:r>
      <w:r w:rsidRPr="005A3A42">
        <w:fldChar w:fldCharType="begin"/>
      </w:r>
      <w:r w:rsidRPr="005A3A42">
        <w:instrText xml:space="preserve"> REF _Ref151128268 \h </w:instrText>
      </w:r>
      <w:r w:rsidR="00A016A2">
        <w:instrText xml:space="preserve"> \* MERGEFORMAT </w:instrText>
      </w:r>
      <w:r w:rsidRPr="005A3A42">
        <w:fldChar w:fldCharType="separate"/>
      </w:r>
      <w:r w:rsidR="002E5C6A">
        <w:t>Significant Events</w:t>
      </w:r>
      <w:r w:rsidRPr="005A3A42">
        <w:fldChar w:fldCharType="end"/>
      </w:r>
      <w:r w:rsidRPr="005A3A42">
        <w:t xml:space="preserve">”) of </w:t>
      </w:r>
      <w:r w:rsidRPr="005A3A42">
        <w:fldChar w:fldCharType="begin"/>
      </w:r>
      <w:r w:rsidRPr="005A3A42">
        <w:instrText xml:space="preserve"> REF _Ref159420596 \r \h </w:instrText>
      </w:r>
      <w:r w:rsidR="00A016A2">
        <w:instrText xml:space="preserve"> \* MERGEFORMAT </w:instrText>
      </w:r>
      <w:r w:rsidRPr="005A3A42">
        <w:fldChar w:fldCharType="separate"/>
      </w:r>
      <w:r w:rsidR="002E5C6A">
        <w:t>Schedule 6</w:t>
      </w:r>
      <w:r w:rsidRPr="005A3A42">
        <w:fldChar w:fldCharType="end"/>
      </w:r>
      <w:r w:rsidRPr="005A3A42">
        <w:t xml:space="preserve"> (“</w:t>
      </w:r>
      <w:r w:rsidRPr="005A3A42">
        <w:fldChar w:fldCharType="begin"/>
      </w:r>
      <w:r w:rsidRPr="005A3A42">
        <w:instrText xml:space="preserve"> REF _Ref159420596 \h </w:instrText>
      </w:r>
      <w:r w:rsidR="00A016A2">
        <w:instrText xml:space="preserve"> \* MERGEFORMAT </w:instrText>
      </w:r>
      <w:r w:rsidRPr="005A3A42">
        <w:fldChar w:fldCharType="separate"/>
      </w:r>
      <w:r w:rsidR="002E5C6A" w:rsidRPr="00991FDD">
        <w:t>Commonwealth Policy and Other Requirements</w:t>
      </w:r>
      <w:r w:rsidRPr="005A3A42">
        <w:fldChar w:fldCharType="end"/>
      </w:r>
      <w:r w:rsidRPr="005A3A42">
        <w:t>”);</w:t>
      </w:r>
      <w:bookmarkEnd w:id="4461"/>
      <w:r w:rsidR="00451D40" w:rsidRPr="005A3A42">
        <w:t xml:space="preserve"> </w:t>
      </w:r>
      <w:bookmarkEnd w:id="4462"/>
    </w:p>
    <w:p w14:paraId="2E635024" w14:textId="6499AFD0" w:rsidR="000F73C5" w:rsidRPr="005A3A42" w:rsidRDefault="000F73C5" w:rsidP="0058045D">
      <w:pPr>
        <w:pStyle w:val="Heading3"/>
      </w:pPr>
      <w:bookmarkStart w:id="4463" w:name="_Ref165017996"/>
      <w:r w:rsidRPr="005A3A42">
        <w:t>(</w:t>
      </w:r>
      <w:r w:rsidRPr="005A3A42">
        <w:rPr>
          <w:b/>
          <w:bCs/>
        </w:rPr>
        <w:t>Criminal Code</w:t>
      </w:r>
      <w:r w:rsidRPr="005A3A42">
        <w:t xml:space="preserve">) a breach of the “Criminal Code” </w:t>
      </w:r>
      <w:r w:rsidR="00EA5FCF" w:rsidRPr="00792B2E">
        <w:t xml:space="preserve">or other event </w:t>
      </w:r>
      <w:r w:rsidRPr="00792B2E">
        <w:t>occurs</w:t>
      </w:r>
      <w:r w:rsidR="00EA5FCF" w:rsidRPr="00792B2E">
        <w:t xml:space="preserve"> giving rise to a right of termination, as set out in paragraph </w:t>
      </w:r>
      <w:r w:rsidR="00EA5FCF" w:rsidRPr="00792B2E">
        <w:fldChar w:fldCharType="begin"/>
      </w:r>
      <w:r w:rsidR="00EA5FCF" w:rsidRPr="00792B2E">
        <w:instrText xml:space="preserve"> REF _Ref167311758 \n \h </w:instrText>
      </w:r>
      <w:r w:rsidR="00F205EC" w:rsidRPr="00792B2E">
        <w:instrText xml:space="preserve"> \* MERGEFORMAT </w:instrText>
      </w:r>
      <w:r w:rsidR="00EA5FCF" w:rsidRPr="00792B2E">
        <w:fldChar w:fldCharType="separate"/>
      </w:r>
      <w:r w:rsidR="002E5C6A">
        <w:t>(f)</w:t>
      </w:r>
      <w:r w:rsidR="00EA5FCF" w:rsidRPr="00792B2E">
        <w:fldChar w:fldCharType="end"/>
      </w:r>
      <w:r w:rsidR="00EA5FCF" w:rsidRPr="00792B2E">
        <w:t xml:space="preserve"> of</w:t>
      </w:r>
      <w:r w:rsidRPr="005A3A42">
        <w:t xml:space="preserve"> section</w:t>
      </w:r>
      <w:r w:rsidR="00F1679D">
        <w:t> </w:t>
      </w:r>
      <w:r w:rsidRPr="005A3A42">
        <w:fldChar w:fldCharType="begin"/>
      </w:r>
      <w:r w:rsidRPr="005A3A42">
        <w:instrText xml:space="preserve"> REF _Ref165040673 \n \h </w:instrText>
      </w:r>
      <w:r w:rsidR="00A016A2">
        <w:instrText xml:space="preserve"> \* MERGEFORMAT </w:instrText>
      </w:r>
      <w:r w:rsidRPr="005A3A42">
        <w:fldChar w:fldCharType="separate"/>
      </w:r>
      <w:r w:rsidR="002E5C6A">
        <w:t>9</w:t>
      </w:r>
      <w:r w:rsidRPr="005A3A42">
        <w:fldChar w:fldCharType="end"/>
      </w:r>
      <w:r w:rsidRPr="005A3A42">
        <w:t xml:space="preserve"> (“</w:t>
      </w:r>
      <w:r w:rsidRPr="005A3A42">
        <w:fldChar w:fldCharType="begin"/>
      </w:r>
      <w:r w:rsidRPr="005A3A42">
        <w:instrText xml:space="preserve"> REF _Ref165040686 \h </w:instrText>
      </w:r>
      <w:r w:rsidR="00A016A2">
        <w:instrText xml:space="preserve"> \* MERGEFORMAT </w:instrText>
      </w:r>
      <w:r w:rsidRPr="005A3A42">
        <w:fldChar w:fldCharType="separate"/>
      </w:r>
      <w:r w:rsidR="002E5C6A">
        <w:t>Criminal Code</w:t>
      </w:r>
      <w:r w:rsidRPr="005A3A42">
        <w:fldChar w:fldCharType="end"/>
      </w:r>
      <w:r w:rsidRPr="005A3A42">
        <w:t xml:space="preserve">”) of </w:t>
      </w:r>
      <w:r w:rsidRPr="005A3A42">
        <w:fldChar w:fldCharType="begin"/>
      </w:r>
      <w:r w:rsidRPr="005A3A42">
        <w:instrText xml:space="preserve"> REF _Ref159420596 \r \h </w:instrText>
      </w:r>
      <w:r w:rsidR="00A016A2">
        <w:instrText xml:space="preserve"> \* MERGEFORMAT </w:instrText>
      </w:r>
      <w:r w:rsidRPr="005A3A42">
        <w:fldChar w:fldCharType="separate"/>
      </w:r>
      <w:r w:rsidR="002E5C6A">
        <w:t>Schedule 6</w:t>
      </w:r>
      <w:r w:rsidRPr="005A3A42">
        <w:fldChar w:fldCharType="end"/>
      </w:r>
      <w:r w:rsidRPr="005A3A42">
        <w:t xml:space="preserve"> (“</w:t>
      </w:r>
      <w:r w:rsidRPr="005A3A42">
        <w:fldChar w:fldCharType="begin"/>
      </w:r>
      <w:r w:rsidRPr="005A3A42">
        <w:instrText xml:space="preserve"> REF _Ref159420596 \h </w:instrText>
      </w:r>
      <w:r w:rsidR="00A016A2">
        <w:instrText xml:space="preserve"> \* MERGEFORMAT </w:instrText>
      </w:r>
      <w:r w:rsidRPr="005A3A42">
        <w:fldChar w:fldCharType="separate"/>
      </w:r>
      <w:r w:rsidR="002E5C6A" w:rsidRPr="00991FDD">
        <w:t>Commonwealth Policy and Other Requirements</w:t>
      </w:r>
      <w:r w:rsidRPr="005A3A42">
        <w:fldChar w:fldCharType="end"/>
      </w:r>
      <w:r w:rsidRPr="005A3A42">
        <w:t>”);</w:t>
      </w:r>
      <w:bookmarkEnd w:id="4463"/>
    </w:p>
    <w:p w14:paraId="33063106" w14:textId="007DB729" w:rsidR="000F73C5" w:rsidRPr="005A3A42" w:rsidRDefault="000F73C5" w:rsidP="0058045D">
      <w:pPr>
        <w:pStyle w:val="Heading3"/>
      </w:pPr>
      <w:bookmarkStart w:id="4464" w:name="_Ref165018009"/>
      <w:r w:rsidRPr="005A3A42">
        <w:t>(</w:t>
      </w:r>
      <w:r w:rsidRPr="005A3A42">
        <w:rPr>
          <w:b/>
          <w:bCs/>
        </w:rPr>
        <w:t>Prohibited dealings</w:t>
      </w:r>
      <w:r w:rsidRPr="005A3A42">
        <w:t xml:space="preserve">) a prohibited dealing </w:t>
      </w:r>
      <w:r w:rsidR="00EA5FCF" w:rsidRPr="00792B2E">
        <w:t xml:space="preserve">or other event </w:t>
      </w:r>
      <w:r w:rsidRPr="00792B2E">
        <w:t>occurs</w:t>
      </w:r>
      <w:r w:rsidR="00EA5FCF" w:rsidRPr="00792B2E">
        <w:t xml:space="preserve"> giving rise to a right of termination, as set out in paragraph </w:t>
      </w:r>
      <w:r w:rsidR="00EA5FCF" w:rsidRPr="00792B2E">
        <w:fldChar w:fldCharType="begin"/>
      </w:r>
      <w:r w:rsidR="00EA5FCF" w:rsidRPr="00792B2E">
        <w:instrText xml:space="preserve"> REF _Ref167311873 \n \h </w:instrText>
      </w:r>
      <w:r w:rsidR="00F205EC" w:rsidRPr="00792B2E">
        <w:instrText xml:space="preserve"> \* MERGEFORMAT </w:instrText>
      </w:r>
      <w:r w:rsidR="00EA5FCF" w:rsidRPr="00792B2E">
        <w:fldChar w:fldCharType="separate"/>
      </w:r>
      <w:r w:rsidR="002E5C6A">
        <w:t>(d)</w:t>
      </w:r>
      <w:r w:rsidR="00EA5FCF" w:rsidRPr="00792B2E">
        <w:fldChar w:fldCharType="end"/>
      </w:r>
      <w:r w:rsidR="00EA5FCF" w:rsidRPr="00792B2E">
        <w:t xml:space="preserve"> of</w:t>
      </w:r>
      <w:r w:rsidRPr="005A3A42">
        <w:t xml:space="preserve"> section </w:t>
      </w:r>
      <w:r w:rsidRPr="005A3A42">
        <w:fldChar w:fldCharType="begin"/>
      </w:r>
      <w:r w:rsidRPr="005A3A42">
        <w:instrText xml:space="preserve"> REF _Ref165040677 \n \h </w:instrText>
      </w:r>
      <w:r w:rsidR="00A016A2">
        <w:instrText xml:space="preserve"> \* MERGEFORMAT </w:instrText>
      </w:r>
      <w:r w:rsidRPr="005A3A42">
        <w:fldChar w:fldCharType="separate"/>
      </w:r>
      <w:r w:rsidR="002E5C6A">
        <w:t>10</w:t>
      </w:r>
      <w:r w:rsidRPr="005A3A42">
        <w:fldChar w:fldCharType="end"/>
      </w:r>
      <w:r w:rsidRPr="005A3A42">
        <w:t xml:space="preserve"> (“</w:t>
      </w:r>
      <w:r w:rsidRPr="005A3A42">
        <w:fldChar w:fldCharType="begin"/>
      </w:r>
      <w:r w:rsidRPr="005A3A42">
        <w:instrText xml:space="preserve"> REF _Ref165040695 \h </w:instrText>
      </w:r>
      <w:r w:rsidR="00A016A2">
        <w:instrText xml:space="preserve"> \* MERGEFORMAT </w:instrText>
      </w:r>
      <w:r w:rsidRPr="005A3A42">
        <w:fldChar w:fldCharType="separate"/>
      </w:r>
      <w:r w:rsidR="002E5C6A">
        <w:t>Prohibited dealings</w:t>
      </w:r>
      <w:r w:rsidRPr="005A3A42">
        <w:fldChar w:fldCharType="end"/>
      </w:r>
      <w:r w:rsidRPr="005A3A42">
        <w:t xml:space="preserve">”) of </w:t>
      </w:r>
      <w:r w:rsidRPr="005A3A42">
        <w:fldChar w:fldCharType="begin"/>
      </w:r>
      <w:r w:rsidRPr="005A3A42">
        <w:instrText xml:space="preserve"> REF _Ref159420596 \r \h </w:instrText>
      </w:r>
      <w:r w:rsidR="00A016A2">
        <w:instrText xml:space="preserve"> \* MERGEFORMAT </w:instrText>
      </w:r>
      <w:r w:rsidRPr="005A3A42">
        <w:fldChar w:fldCharType="separate"/>
      </w:r>
      <w:r w:rsidR="002E5C6A">
        <w:t>Schedule 6</w:t>
      </w:r>
      <w:r w:rsidRPr="005A3A42">
        <w:fldChar w:fldCharType="end"/>
      </w:r>
      <w:r w:rsidRPr="005A3A42">
        <w:t xml:space="preserve"> (“</w:t>
      </w:r>
      <w:r w:rsidRPr="005A3A42">
        <w:fldChar w:fldCharType="begin"/>
      </w:r>
      <w:r w:rsidRPr="005A3A42">
        <w:instrText xml:space="preserve"> REF _Ref159420596 \h </w:instrText>
      </w:r>
      <w:r w:rsidR="00A016A2">
        <w:instrText xml:space="preserve"> \* MERGEFORMAT </w:instrText>
      </w:r>
      <w:r w:rsidRPr="005A3A42">
        <w:fldChar w:fldCharType="separate"/>
      </w:r>
      <w:r w:rsidR="002E5C6A" w:rsidRPr="00991FDD">
        <w:t>Commonwealth Policy and Other Requirements</w:t>
      </w:r>
      <w:r w:rsidRPr="005A3A42">
        <w:fldChar w:fldCharType="end"/>
      </w:r>
      <w:r w:rsidRPr="005A3A42">
        <w:t>”); or</w:t>
      </w:r>
      <w:bookmarkEnd w:id="4464"/>
    </w:p>
    <w:p w14:paraId="0F9372A6" w14:textId="7D49E34A" w:rsidR="000F73C5" w:rsidRDefault="000F73C5" w:rsidP="0058045D">
      <w:pPr>
        <w:pStyle w:val="Heading3"/>
      </w:pPr>
      <w:bookmarkStart w:id="4465" w:name="_Ref165018032"/>
      <w:bookmarkStart w:id="4466" w:name="_Ref166578179"/>
      <w:r w:rsidRPr="005A3A42">
        <w:t>(</w:t>
      </w:r>
      <w:r w:rsidRPr="005A3A42">
        <w:rPr>
          <w:b/>
          <w:bCs/>
        </w:rPr>
        <w:t>Fraud</w:t>
      </w:r>
      <w:r w:rsidRPr="005A3A42">
        <w:t>) a fraud event occurs</w:t>
      </w:r>
      <w:r w:rsidR="00EA5FCF" w:rsidRPr="005A3A42">
        <w:t xml:space="preserve"> </w:t>
      </w:r>
      <w:r w:rsidR="00EA5FCF" w:rsidRPr="00792B2E">
        <w:t>giving rise to a right of termination, as set out in paragraph </w:t>
      </w:r>
      <w:r w:rsidR="00EA5FCF" w:rsidRPr="00792B2E">
        <w:fldChar w:fldCharType="begin"/>
      </w:r>
      <w:r w:rsidR="00EA5FCF" w:rsidRPr="00792B2E">
        <w:instrText xml:space="preserve"> REF _Ref167311950 \n \h </w:instrText>
      </w:r>
      <w:r w:rsidR="00F205EC" w:rsidRPr="00792B2E">
        <w:instrText xml:space="preserve"> \* MERGEFORMAT </w:instrText>
      </w:r>
      <w:r w:rsidR="00EA5FCF" w:rsidRPr="00792B2E">
        <w:fldChar w:fldCharType="separate"/>
      </w:r>
      <w:r w:rsidR="002E5C6A">
        <w:t>(d)</w:t>
      </w:r>
      <w:r w:rsidR="00EA5FCF" w:rsidRPr="00792B2E">
        <w:fldChar w:fldCharType="end"/>
      </w:r>
      <w:r w:rsidR="00EA5FCF" w:rsidRPr="00792B2E">
        <w:fldChar w:fldCharType="begin"/>
      </w:r>
      <w:r w:rsidR="00EA5FCF" w:rsidRPr="00792B2E">
        <w:instrText xml:space="preserve"> REF _Ref167311952 \n \h </w:instrText>
      </w:r>
      <w:r w:rsidR="00F205EC" w:rsidRPr="00792B2E">
        <w:instrText xml:space="preserve"> \* MERGEFORMAT </w:instrText>
      </w:r>
      <w:r w:rsidR="00EA5FCF" w:rsidRPr="00792B2E">
        <w:fldChar w:fldCharType="separate"/>
      </w:r>
      <w:r w:rsidR="002E5C6A">
        <w:t>(ii)</w:t>
      </w:r>
      <w:r w:rsidR="00EA5FCF" w:rsidRPr="00792B2E">
        <w:fldChar w:fldCharType="end"/>
      </w:r>
      <w:r w:rsidR="00EA5FCF" w:rsidRPr="00792B2E">
        <w:t xml:space="preserve"> of</w:t>
      </w:r>
      <w:r w:rsidRPr="005A3A42">
        <w:t xml:space="preserve"> section </w:t>
      </w:r>
      <w:r w:rsidRPr="005A3A42">
        <w:fldChar w:fldCharType="begin"/>
      </w:r>
      <w:r w:rsidRPr="005A3A42">
        <w:instrText xml:space="preserve"> REF _Ref165040706 \n \h </w:instrText>
      </w:r>
      <w:r w:rsidR="00A016A2">
        <w:instrText xml:space="preserve"> \* MERGEFORMAT </w:instrText>
      </w:r>
      <w:r w:rsidRPr="005A3A42">
        <w:fldChar w:fldCharType="separate"/>
      </w:r>
      <w:r w:rsidR="002E5C6A">
        <w:t>13</w:t>
      </w:r>
      <w:r w:rsidRPr="005A3A42">
        <w:fldChar w:fldCharType="end"/>
      </w:r>
      <w:r w:rsidRPr="005A3A42">
        <w:t xml:space="preserve"> (“</w:t>
      </w:r>
      <w:r w:rsidRPr="005A3A42">
        <w:fldChar w:fldCharType="begin"/>
      </w:r>
      <w:r w:rsidRPr="005A3A42">
        <w:instrText xml:space="preserve"> REF _Ref165040710 \h </w:instrText>
      </w:r>
      <w:r w:rsidR="00A016A2">
        <w:instrText xml:space="preserve"> \* MERGEFORMAT </w:instrText>
      </w:r>
      <w:r w:rsidRPr="005A3A42">
        <w:fldChar w:fldCharType="separate"/>
      </w:r>
      <w:r w:rsidR="002E5C6A">
        <w:t>Fraud</w:t>
      </w:r>
      <w:r w:rsidRPr="005A3A42">
        <w:fldChar w:fldCharType="end"/>
      </w:r>
      <w:r w:rsidRPr="005A3A42">
        <w:t xml:space="preserve">”) of </w:t>
      </w:r>
      <w:r w:rsidRPr="005A3A42">
        <w:fldChar w:fldCharType="begin"/>
      </w:r>
      <w:r w:rsidRPr="005A3A42">
        <w:instrText xml:space="preserve"> REF _Ref159420596 \r \h </w:instrText>
      </w:r>
      <w:r w:rsidR="00A016A2">
        <w:instrText xml:space="preserve"> \* MERGEFORMAT </w:instrText>
      </w:r>
      <w:r w:rsidRPr="005A3A42">
        <w:fldChar w:fldCharType="separate"/>
      </w:r>
      <w:r w:rsidR="002E5C6A">
        <w:t>Schedule 6</w:t>
      </w:r>
      <w:r w:rsidRPr="005A3A42">
        <w:fldChar w:fldCharType="end"/>
      </w:r>
      <w:r w:rsidRPr="005A3A42">
        <w:t xml:space="preserve"> (“</w:t>
      </w:r>
      <w:r w:rsidRPr="005A3A42">
        <w:fldChar w:fldCharType="begin"/>
      </w:r>
      <w:r w:rsidRPr="005A3A42">
        <w:instrText xml:space="preserve"> REF _Ref159420596 \h </w:instrText>
      </w:r>
      <w:r w:rsidR="00A016A2">
        <w:instrText xml:space="preserve"> \* MERGEFORMAT </w:instrText>
      </w:r>
      <w:r w:rsidRPr="005A3A42">
        <w:fldChar w:fldCharType="separate"/>
      </w:r>
      <w:r w:rsidR="002E5C6A" w:rsidRPr="00991FDD">
        <w:t>Commonwealth Policy and Other Requirements</w:t>
      </w:r>
      <w:r w:rsidRPr="005A3A42">
        <w:fldChar w:fldCharType="end"/>
      </w:r>
      <w:r w:rsidRPr="005A3A42">
        <w:t>”).</w:t>
      </w:r>
      <w:bookmarkEnd w:id="4460"/>
      <w:bookmarkEnd w:id="4465"/>
      <w:bookmarkEnd w:id="4466"/>
    </w:p>
    <w:p w14:paraId="6EE769B6" w14:textId="4FBAA964" w:rsidR="002879C5" w:rsidRDefault="002879C5" w:rsidP="002879C5">
      <w:pPr>
        <w:pStyle w:val="BodyIndent1"/>
        <w:keepNext/>
        <w:spacing w:before="0" w:after="240"/>
        <w:ind w:left="737"/>
      </w:pPr>
      <w:r>
        <w:t xml:space="preserve">For clarity, if the Commonwealth has the right to terminate this agreement pursuant this clause </w:t>
      </w:r>
      <w:r>
        <w:fldChar w:fldCharType="begin"/>
      </w:r>
      <w:r>
        <w:instrText xml:space="preserve"> REF _Ref159420790 \w \h </w:instrText>
      </w:r>
      <w:r>
        <w:fldChar w:fldCharType="separate"/>
      </w:r>
      <w:r w:rsidR="002E5C6A">
        <w:t>22.3</w:t>
      </w:r>
      <w:r>
        <w:fldChar w:fldCharType="end"/>
      </w:r>
      <w:r>
        <w:t>, it may, in its absolute discretion and without reducing any of its rights under this agreement, do one or more of the following:</w:t>
      </w:r>
    </w:p>
    <w:p w14:paraId="3ECF6374" w14:textId="77777777" w:rsidR="002879C5" w:rsidRDefault="002879C5" w:rsidP="008F660B">
      <w:pPr>
        <w:pStyle w:val="Heading3"/>
        <w:numPr>
          <w:ilvl w:val="2"/>
          <w:numId w:val="95"/>
        </w:numPr>
      </w:pPr>
      <w:bookmarkStart w:id="4467" w:name="_Ref200628863"/>
      <w:r>
        <w:t>serve a notice of termination on Project Operator;</w:t>
      </w:r>
      <w:bookmarkEnd w:id="4467"/>
    </w:p>
    <w:p w14:paraId="35272831" w14:textId="77777777" w:rsidR="002879C5" w:rsidRDefault="002879C5" w:rsidP="008F660B">
      <w:pPr>
        <w:pStyle w:val="Heading3"/>
        <w:numPr>
          <w:ilvl w:val="2"/>
          <w:numId w:val="95"/>
        </w:numPr>
      </w:pPr>
      <w:bookmarkStart w:id="4468" w:name="_Ref200628865"/>
      <w:r>
        <w:t>exercise other rights arising under this agreement or at Law; and</w:t>
      </w:r>
      <w:bookmarkEnd w:id="4468"/>
    </w:p>
    <w:p w14:paraId="3A3DAB7B" w14:textId="77777777" w:rsidR="002879C5" w:rsidRDefault="002879C5" w:rsidP="008A7F3E">
      <w:pPr>
        <w:pStyle w:val="Heading3"/>
        <w:keepNext/>
        <w:numPr>
          <w:ilvl w:val="2"/>
          <w:numId w:val="95"/>
        </w:numPr>
      </w:pPr>
      <w:bookmarkStart w:id="4469" w:name="_Ref200628767"/>
      <w:bookmarkStart w:id="4470" w:name="_Ref205801695"/>
      <w:r>
        <w:t>give Project Operator a notice requiring Project Operator to take specified actions by a specified date</w:t>
      </w:r>
      <w:bookmarkEnd w:id="4469"/>
      <w:r>
        <w:t>,</w:t>
      </w:r>
      <w:bookmarkEnd w:id="4470"/>
    </w:p>
    <w:p w14:paraId="62011BF9" w14:textId="16ED4DAD" w:rsidR="002879C5" w:rsidRPr="005A3A42" w:rsidRDefault="002879C5" w:rsidP="008A7F3E">
      <w:pPr>
        <w:pStyle w:val="BodyIndent1"/>
        <w:spacing w:before="0" w:after="240"/>
        <w:ind w:left="737"/>
      </w:pPr>
      <w:r>
        <w:t>and, if the Commonwealth serves a notice under paragraph</w:t>
      </w:r>
      <w:r w:rsidR="00254642">
        <w:t xml:space="preserve"> </w:t>
      </w:r>
      <w:r w:rsidR="00254642">
        <w:fldChar w:fldCharType="begin"/>
      </w:r>
      <w:r w:rsidR="00254642">
        <w:instrText xml:space="preserve"> REF _Ref205801695 \r \h </w:instrText>
      </w:r>
      <w:r w:rsidR="00254642">
        <w:fldChar w:fldCharType="separate"/>
      </w:r>
      <w:r w:rsidR="002E5C6A">
        <w:t>(w)</w:t>
      </w:r>
      <w:r w:rsidR="00254642">
        <w:fldChar w:fldCharType="end"/>
      </w:r>
      <w:r w:rsidR="00254642">
        <w:t xml:space="preserve"> </w:t>
      </w:r>
      <w:r>
        <w:t>and Project Operator fails to take the specified actions by the specified date, the Commonwealth may exercise one or both of the rights set out in paragraphs </w:t>
      </w:r>
      <w:r w:rsidR="00254642">
        <w:fldChar w:fldCharType="begin"/>
      </w:r>
      <w:r w:rsidR="00254642">
        <w:instrText xml:space="preserve"> REF _Ref200628863 \r \h </w:instrText>
      </w:r>
      <w:r w:rsidR="00254642">
        <w:fldChar w:fldCharType="separate"/>
      </w:r>
      <w:r w:rsidR="002E5C6A">
        <w:t>(u)</w:t>
      </w:r>
      <w:r w:rsidR="00254642">
        <w:fldChar w:fldCharType="end"/>
      </w:r>
      <w:r w:rsidR="00BC2BE9">
        <w:t xml:space="preserve"> </w:t>
      </w:r>
      <w:r>
        <w:t>and</w:t>
      </w:r>
      <w:r w:rsidR="00254642">
        <w:t xml:space="preserve"> </w:t>
      </w:r>
      <w:r w:rsidR="00254642">
        <w:fldChar w:fldCharType="begin"/>
      </w:r>
      <w:r w:rsidR="00254642">
        <w:instrText xml:space="preserve"> REF _Ref200628865 \r \h </w:instrText>
      </w:r>
      <w:r w:rsidR="00254642">
        <w:fldChar w:fldCharType="separate"/>
      </w:r>
      <w:r w:rsidR="002E5C6A">
        <w:t>(v)</w:t>
      </w:r>
      <w:r w:rsidR="00254642">
        <w:fldChar w:fldCharType="end"/>
      </w:r>
      <w:r>
        <w:t>.</w:t>
      </w:r>
    </w:p>
    <w:p w14:paraId="26A1F803" w14:textId="77777777" w:rsidR="0087461E" w:rsidRPr="001A12C3" w:rsidRDefault="2C388DF0" w:rsidP="0058045D">
      <w:pPr>
        <w:pStyle w:val="Heading2"/>
      </w:pPr>
      <w:bookmarkStart w:id="4471" w:name="_Toc159511844"/>
      <w:bookmarkStart w:id="4472" w:name="_Ref136875307"/>
      <w:bookmarkStart w:id="4473" w:name="_Toc153945188"/>
      <w:bookmarkStart w:id="4474" w:name="_Toc207309673"/>
      <w:bookmarkEnd w:id="4471"/>
      <w:r>
        <w:t>Termination for convenience by the Commonwealth</w:t>
      </w:r>
      <w:bookmarkEnd w:id="4472"/>
      <w:bookmarkEnd w:id="4473"/>
      <w:bookmarkEnd w:id="4474"/>
      <w:r>
        <w:t xml:space="preserve"> </w:t>
      </w:r>
    </w:p>
    <w:p w14:paraId="2EB45D4A" w14:textId="71452D02" w:rsidR="0087461E" w:rsidRDefault="2C388DF0" w:rsidP="0058045D">
      <w:pPr>
        <w:pStyle w:val="Heading3"/>
      </w:pPr>
      <w:bookmarkStart w:id="4475" w:name="_Ref151234456"/>
      <w:bookmarkStart w:id="4476" w:name="_Ref149848453"/>
      <w:r>
        <w:t xml:space="preserve">Subject to paragraph </w:t>
      </w:r>
      <w:r w:rsidR="0087461E">
        <w:fldChar w:fldCharType="begin"/>
      </w:r>
      <w:r w:rsidR="0087461E">
        <w:instrText xml:space="preserve"> REF _Ref151234418 \n \h </w:instrText>
      </w:r>
      <w:r w:rsidR="0087461E">
        <w:fldChar w:fldCharType="separate"/>
      </w:r>
      <w:r w:rsidR="002E5C6A">
        <w:t>(b)</w:t>
      </w:r>
      <w:r w:rsidR="0087461E">
        <w:fldChar w:fldCharType="end"/>
      </w:r>
      <w:r>
        <w:t>, the Commonwealth may at its absolute discretion at any time terminate this agreement by notice in writing to Project Operator.</w:t>
      </w:r>
      <w:bookmarkEnd w:id="4475"/>
      <w:r>
        <w:t xml:space="preserve"> </w:t>
      </w:r>
    </w:p>
    <w:p w14:paraId="586B9D53" w14:textId="79BD10E6" w:rsidR="0087461E" w:rsidRDefault="2C388DF0" w:rsidP="0058045D">
      <w:pPr>
        <w:pStyle w:val="Heading3"/>
      </w:pPr>
      <w:bookmarkStart w:id="4477" w:name="_Ref151234418"/>
      <w:r>
        <w:t xml:space="preserve">A termination of this agreement under this clause </w:t>
      </w:r>
      <w:r w:rsidR="0087461E">
        <w:fldChar w:fldCharType="begin"/>
      </w:r>
      <w:r w:rsidR="0087461E">
        <w:instrText xml:space="preserve"> REF _Ref136875307 \w \h </w:instrText>
      </w:r>
      <w:r w:rsidR="0087461E">
        <w:fldChar w:fldCharType="separate"/>
      </w:r>
      <w:r w:rsidR="002E5C6A">
        <w:t>22.4</w:t>
      </w:r>
      <w:r w:rsidR="0087461E">
        <w:fldChar w:fldCharType="end"/>
      </w:r>
      <w:r>
        <w:t xml:space="preserve"> will take effect at the date specified by the Commonwealth in the notice given pursuant to paragraph </w:t>
      </w:r>
      <w:r w:rsidR="0087461E">
        <w:fldChar w:fldCharType="begin"/>
      </w:r>
      <w:r w:rsidR="0087461E">
        <w:instrText xml:space="preserve"> REF _Ref151234456 \n \h </w:instrText>
      </w:r>
      <w:r w:rsidR="0087461E">
        <w:fldChar w:fldCharType="separate"/>
      </w:r>
      <w:r w:rsidR="002E5C6A">
        <w:t>(a)</w:t>
      </w:r>
      <w:r w:rsidR="0087461E">
        <w:fldChar w:fldCharType="end"/>
      </w:r>
      <w:r>
        <w:t xml:space="preserve">, provided that such date is no less than </w:t>
      </w:r>
      <w:r w:rsidR="00254642">
        <w:t>six (</w:t>
      </w:r>
      <w:r>
        <w:t>6</w:t>
      </w:r>
      <w:r w:rsidR="00254642">
        <w:t>)</w:t>
      </w:r>
      <w:r w:rsidR="00F1679D">
        <w:t> </w:t>
      </w:r>
      <w:r>
        <w:t>months after the date the notice is given.</w:t>
      </w:r>
      <w:bookmarkEnd w:id="4477"/>
    </w:p>
    <w:bookmarkEnd w:id="4476"/>
    <w:p w14:paraId="337F50E5" w14:textId="20485B54" w:rsidR="0087461E" w:rsidRDefault="2C388DF0" w:rsidP="0058045D">
      <w:pPr>
        <w:pStyle w:val="Heading3"/>
      </w:pPr>
      <w:r>
        <w:t xml:space="preserve">Termination under this clause </w:t>
      </w:r>
      <w:r w:rsidR="0087461E">
        <w:fldChar w:fldCharType="begin"/>
      </w:r>
      <w:r w:rsidR="0087461E">
        <w:instrText xml:space="preserve"> REF _Ref136875307 \w \h </w:instrText>
      </w:r>
      <w:r w:rsidR="0087461E">
        <w:fldChar w:fldCharType="separate"/>
      </w:r>
      <w:r w:rsidR="002E5C6A">
        <w:t>22.4</w:t>
      </w:r>
      <w:r w:rsidR="0087461E">
        <w:fldChar w:fldCharType="end"/>
      </w:r>
      <w:r>
        <w:t xml:space="preserve"> will be without liability to either party, other than: </w:t>
      </w:r>
    </w:p>
    <w:p w14:paraId="364F2F91" w14:textId="72E3E0D3" w:rsidR="0087461E" w:rsidRDefault="2C388DF0" w:rsidP="0058045D">
      <w:pPr>
        <w:pStyle w:val="Heading4"/>
      </w:pPr>
      <w:r>
        <w:t>in respect of any liability</w:t>
      </w:r>
      <w:r w:rsidR="00254642">
        <w:t xml:space="preserve"> of either party</w:t>
      </w:r>
      <w:r>
        <w:t xml:space="preserve"> accrued as at the date of termination; and </w:t>
      </w:r>
    </w:p>
    <w:p w14:paraId="16E0A75E" w14:textId="04AB7CA8" w:rsidR="007F24FD" w:rsidRDefault="2C388DF0" w:rsidP="0058045D">
      <w:pPr>
        <w:pStyle w:val="Heading4"/>
      </w:pPr>
      <w:r>
        <w:t>the Commonwealth’s</w:t>
      </w:r>
      <w:r w:rsidR="008D0D45">
        <w:t xml:space="preserve"> l</w:t>
      </w:r>
      <w:r>
        <w:t xml:space="preserve">iability to Project Operator as expressly set out in clause </w:t>
      </w:r>
      <w:r w:rsidR="0087461E">
        <w:fldChar w:fldCharType="begin"/>
      </w:r>
      <w:r w:rsidR="0087461E">
        <w:instrText xml:space="preserve"> REF _Ref104299112 \w \h </w:instrText>
      </w:r>
      <w:r w:rsidR="0087461E">
        <w:fldChar w:fldCharType="separate"/>
      </w:r>
      <w:r w:rsidR="002E5C6A">
        <w:t>22.5</w:t>
      </w:r>
      <w:r w:rsidR="0087461E">
        <w:fldChar w:fldCharType="end"/>
      </w:r>
      <w:r>
        <w:t xml:space="preserve"> (“</w:t>
      </w:r>
      <w:r w:rsidR="0087461E">
        <w:fldChar w:fldCharType="begin"/>
      </w:r>
      <w:r w:rsidR="0087461E">
        <w:instrText xml:space="preserve">  REF _Ref104299112 \h </w:instrText>
      </w:r>
      <w:r w:rsidR="0087461E">
        <w:fldChar w:fldCharType="separate"/>
      </w:r>
      <w:r w:rsidR="002E5C6A">
        <w:t>Termination payments</w:t>
      </w:r>
      <w:r w:rsidR="0087461E">
        <w:fldChar w:fldCharType="end"/>
      </w:r>
      <w:r>
        <w:t xml:space="preserve">”). </w:t>
      </w:r>
    </w:p>
    <w:p w14:paraId="70639859" w14:textId="42A8AD82" w:rsidR="00E7083E" w:rsidRDefault="003D53F2" w:rsidP="0058045D">
      <w:pPr>
        <w:pStyle w:val="Heading3"/>
      </w:pPr>
      <w:bookmarkStart w:id="4478" w:name="_Ref177727068"/>
      <w:r w:rsidRPr="00DF1CAF">
        <w:t xml:space="preserve">If the Commonwealth purports to terminate this agreement pursuant to clause </w:t>
      </w:r>
      <w:r w:rsidRPr="00DF1CAF">
        <w:fldChar w:fldCharType="begin"/>
      </w:r>
      <w:r w:rsidRPr="00DF1CAF">
        <w:instrText xml:space="preserve"> REF _Ref159420790 \r \h  \* MERGEFORMAT </w:instrText>
      </w:r>
      <w:r w:rsidRPr="00DF1CAF">
        <w:fldChar w:fldCharType="separate"/>
      </w:r>
      <w:r w:rsidR="002E5C6A">
        <w:t>22.3</w:t>
      </w:r>
      <w:r w:rsidRPr="00DF1CAF">
        <w:fldChar w:fldCharType="end"/>
      </w:r>
      <w:r w:rsidRPr="00DF1CAF">
        <w:t xml:space="preserve"> </w:t>
      </w:r>
      <w:r>
        <w:t>(“</w:t>
      </w:r>
      <w:r>
        <w:fldChar w:fldCharType="begin"/>
      </w:r>
      <w:r>
        <w:instrText xml:space="preserve"> REF _Ref159420790 \h </w:instrText>
      </w:r>
      <w:r>
        <w:fldChar w:fldCharType="separate"/>
      </w:r>
      <w:r w:rsidR="002E5C6A" w:rsidRPr="00847C21">
        <w:t>Termination by the Commonwealth for default</w:t>
      </w:r>
      <w:r>
        <w:fldChar w:fldCharType="end"/>
      </w:r>
      <w:r>
        <w:t xml:space="preserve">”) </w:t>
      </w:r>
      <w:r w:rsidRPr="00DF1CAF">
        <w:t>and is found not to have had the right to terminate on that basis</w:t>
      </w:r>
      <w:r w:rsidR="008D0D45">
        <w:t>:</w:t>
      </w:r>
      <w:bookmarkEnd w:id="4478"/>
    </w:p>
    <w:p w14:paraId="01D53F1F" w14:textId="0A790BED" w:rsidR="00E7083E" w:rsidRDefault="00E7083E" w:rsidP="00E7083E">
      <w:pPr>
        <w:pStyle w:val="Heading4"/>
      </w:pPr>
      <w:r>
        <w:t xml:space="preserve">the Commonwealth may, in its absolute discretion, revoke its decision referred to in this paragraph </w:t>
      </w:r>
      <w:r>
        <w:fldChar w:fldCharType="begin"/>
      </w:r>
      <w:r>
        <w:instrText xml:space="preserve"> REF _Ref177727068 \r \h </w:instrText>
      </w:r>
      <w:r>
        <w:fldChar w:fldCharType="separate"/>
      </w:r>
      <w:r w:rsidR="002E5C6A">
        <w:t>(d)</w:t>
      </w:r>
      <w:r>
        <w:fldChar w:fldCharType="end"/>
      </w:r>
      <w:r>
        <w:t xml:space="preserve"> to terminate this agreement pursuant to clause </w:t>
      </w:r>
      <w:r>
        <w:fldChar w:fldCharType="begin"/>
      </w:r>
      <w:r>
        <w:instrText xml:space="preserve"> REF _Ref159420790 \r \h </w:instrText>
      </w:r>
      <w:r>
        <w:fldChar w:fldCharType="separate"/>
      </w:r>
      <w:r w:rsidR="002E5C6A">
        <w:t>22.3</w:t>
      </w:r>
      <w:r>
        <w:fldChar w:fldCharType="end"/>
      </w:r>
      <w:r>
        <w:t>, in which case this agreement remains on foot; or</w:t>
      </w:r>
    </w:p>
    <w:p w14:paraId="438184E2" w14:textId="3B7F1E82" w:rsidR="003D53F2" w:rsidRDefault="00E7083E" w:rsidP="00E7083E">
      <w:pPr>
        <w:pStyle w:val="Heading4"/>
      </w:pPr>
      <w:r>
        <w:t xml:space="preserve">if the Commonwealth elects not to revoke its decision referred to in this paragraph </w:t>
      </w:r>
      <w:r>
        <w:fldChar w:fldCharType="begin"/>
      </w:r>
      <w:r>
        <w:instrText xml:space="preserve"> REF _Ref177727068 \r \h </w:instrText>
      </w:r>
      <w:r>
        <w:fldChar w:fldCharType="separate"/>
      </w:r>
      <w:r w:rsidR="002E5C6A">
        <w:t>(d)</w:t>
      </w:r>
      <w:r>
        <w:fldChar w:fldCharType="end"/>
      </w:r>
      <w:r>
        <w:t xml:space="preserve"> to terminate this agreement pursuant to clause </w:t>
      </w:r>
      <w:r>
        <w:fldChar w:fldCharType="begin"/>
      </w:r>
      <w:r>
        <w:instrText xml:space="preserve"> REF _Ref159420790 \r \h </w:instrText>
      </w:r>
      <w:r>
        <w:fldChar w:fldCharType="separate"/>
      </w:r>
      <w:r w:rsidR="002E5C6A">
        <w:t>22.3</w:t>
      </w:r>
      <w:r>
        <w:fldChar w:fldCharType="end"/>
      </w:r>
      <w:r>
        <w:t>,</w:t>
      </w:r>
      <w:r w:rsidR="003D53F2" w:rsidRPr="00DF1CAF">
        <w:t xml:space="preserve"> it will be deemed to be a termination for convenience under this clause </w:t>
      </w:r>
      <w:r w:rsidR="003D53F2" w:rsidRPr="00DF1CAF">
        <w:fldChar w:fldCharType="begin"/>
      </w:r>
      <w:r w:rsidR="003D53F2" w:rsidRPr="00DF1CAF">
        <w:instrText xml:space="preserve"> REF _Ref136875307 \w \h  \* MERGEFORMAT </w:instrText>
      </w:r>
      <w:r w:rsidR="003D53F2" w:rsidRPr="00DF1CAF">
        <w:fldChar w:fldCharType="separate"/>
      </w:r>
      <w:r w:rsidR="002E5C6A">
        <w:t>22.4</w:t>
      </w:r>
      <w:r w:rsidR="003D53F2" w:rsidRPr="00DF1CAF">
        <w:fldChar w:fldCharType="end"/>
      </w:r>
      <w:r w:rsidR="003D53F2" w:rsidRPr="00DF1CAF">
        <w:t>.</w:t>
      </w:r>
      <w:r w:rsidR="003D53F2">
        <w:t xml:space="preserve"> </w:t>
      </w:r>
    </w:p>
    <w:p w14:paraId="5AD3B3BB" w14:textId="77777777" w:rsidR="00F5752A" w:rsidRPr="005E4D3D" w:rsidRDefault="2C388DF0" w:rsidP="0058045D">
      <w:pPr>
        <w:pStyle w:val="Heading2"/>
      </w:pPr>
      <w:bookmarkStart w:id="4479" w:name="_Toc94798343"/>
      <w:bookmarkStart w:id="4480" w:name="_Toc94872269"/>
      <w:bookmarkStart w:id="4481" w:name="_Toc94885548"/>
      <w:bookmarkStart w:id="4482" w:name="_Toc94885983"/>
      <w:bookmarkStart w:id="4483" w:name="_Toc94886428"/>
      <w:bookmarkStart w:id="4484" w:name="_Toc99723554"/>
      <w:bookmarkStart w:id="4485" w:name="_Toc94798344"/>
      <w:bookmarkStart w:id="4486" w:name="_Toc94872270"/>
      <w:bookmarkStart w:id="4487" w:name="_Toc94885549"/>
      <w:bookmarkStart w:id="4488" w:name="_Toc94885984"/>
      <w:bookmarkStart w:id="4489" w:name="_Toc94886429"/>
      <w:bookmarkStart w:id="4490" w:name="_Toc99723555"/>
      <w:bookmarkStart w:id="4491" w:name="_Toc94798345"/>
      <w:bookmarkStart w:id="4492" w:name="_Toc94872271"/>
      <w:bookmarkStart w:id="4493" w:name="_Toc94885550"/>
      <w:bookmarkStart w:id="4494" w:name="_Toc94885985"/>
      <w:bookmarkStart w:id="4495" w:name="_Toc94886430"/>
      <w:bookmarkStart w:id="4496" w:name="_Toc99723556"/>
      <w:bookmarkStart w:id="4497" w:name="_Toc94798346"/>
      <w:bookmarkStart w:id="4498" w:name="_Toc94872272"/>
      <w:bookmarkStart w:id="4499" w:name="_Toc94885551"/>
      <w:bookmarkStart w:id="4500" w:name="_Toc94885986"/>
      <w:bookmarkStart w:id="4501" w:name="_Toc94886431"/>
      <w:bookmarkStart w:id="4502" w:name="_Toc99723557"/>
      <w:bookmarkStart w:id="4503" w:name="_Toc94798347"/>
      <w:bookmarkStart w:id="4504" w:name="_Toc94872273"/>
      <w:bookmarkStart w:id="4505" w:name="_Toc94885552"/>
      <w:bookmarkStart w:id="4506" w:name="_Toc94885987"/>
      <w:bookmarkStart w:id="4507" w:name="_Toc94886432"/>
      <w:bookmarkStart w:id="4508" w:name="_Toc99723558"/>
      <w:bookmarkStart w:id="4509" w:name="_Toc94798348"/>
      <w:bookmarkStart w:id="4510" w:name="_Toc94872274"/>
      <w:bookmarkStart w:id="4511" w:name="_Toc94885553"/>
      <w:bookmarkStart w:id="4512" w:name="_Toc94885988"/>
      <w:bookmarkStart w:id="4513" w:name="_Toc94886433"/>
      <w:bookmarkStart w:id="4514" w:name="_Toc99723559"/>
      <w:bookmarkStart w:id="4515" w:name="_Toc94798349"/>
      <w:bookmarkStart w:id="4516" w:name="_Toc94872275"/>
      <w:bookmarkStart w:id="4517" w:name="_Toc94885554"/>
      <w:bookmarkStart w:id="4518" w:name="_Toc94885989"/>
      <w:bookmarkStart w:id="4519" w:name="_Toc94886434"/>
      <w:bookmarkStart w:id="4520" w:name="_Toc99723560"/>
      <w:bookmarkStart w:id="4521" w:name="_Toc94798350"/>
      <w:bookmarkStart w:id="4522" w:name="_Toc94872276"/>
      <w:bookmarkStart w:id="4523" w:name="_Toc94885555"/>
      <w:bookmarkStart w:id="4524" w:name="_Toc94885990"/>
      <w:bookmarkStart w:id="4525" w:name="_Toc94886435"/>
      <w:bookmarkStart w:id="4526" w:name="_Toc99723561"/>
      <w:bookmarkStart w:id="4527" w:name="_Toc94798351"/>
      <w:bookmarkStart w:id="4528" w:name="_Toc94872277"/>
      <w:bookmarkStart w:id="4529" w:name="_Toc94885556"/>
      <w:bookmarkStart w:id="4530" w:name="_Toc94885991"/>
      <w:bookmarkStart w:id="4531" w:name="_Toc94886436"/>
      <w:bookmarkStart w:id="4532" w:name="_Toc99723562"/>
      <w:bookmarkStart w:id="4533" w:name="_Ref104299112"/>
      <w:bookmarkStart w:id="4534" w:name="_Ref107949503"/>
      <w:bookmarkStart w:id="4535" w:name="_Toc207309674"/>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r>
        <w:t>Termination payments</w:t>
      </w:r>
      <w:bookmarkEnd w:id="4533"/>
      <w:bookmarkEnd w:id="4534"/>
      <w:bookmarkEnd w:id="4535"/>
    </w:p>
    <w:p w14:paraId="06A300C7" w14:textId="77777777" w:rsidR="00A12439" w:rsidRDefault="2C388DF0" w:rsidP="0058045D">
      <w:pPr>
        <w:pStyle w:val="Heading3"/>
      </w:pPr>
      <w:bookmarkStart w:id="4536" w:name="_Ref108103268"/>
      <w:bookmarkStart w:id="4537" w:name="_Ref497118620"/>
      <w:bookmarkStart w:id="4538" w:name="_Toc515359050"/>
      <w:bookmarkStart w:id="4539" w:name="_Ref525812508"/>
      <w:r>
        <w:t>If this agreement</w:t>
      </w:r>
      <w:r w:rsidRPr="2C388DF0">
        <w:rPr>
          <w:rStyle w:val="EItalic"/>
        </w:rPr>
        <w:t xml:space="preserve"> </w:t>
      </w:r>
      <w:r>
        <w:t>is terminated:</w:t>
      </w:r>
      <w:bookmarkEnd w:id="4536"/>
    </w:p>
    <w:p w14:paraId="36617EBA" w14:textId="16FD2124" w:rsidR="00861DE1" w:rsidRDefault="2C388DF0" w:rsidP="0058045D">
      <w:pPr>
        <w:pStyle w:val="Heading4"/>
      </w:pPr>
      <w:bookmarkStart w:id="4540" w:name="_Ref165975344"/>
      <w:r>
        <w:t xml:space="preserve">automatically in accordance with clause </w:t>
      </w:r>
      <w:r w:rsidR="00861DE1">
        <w:fldChar w:fldCharType="begin"/>
      </w:r>
      <w:r w:rsidR="00861DE1">
        <w:instrText xml:space="preserve"> REF _Ref165026407 \w \h </w:instrText>
      </w:r>
      <w:r w:rsidR="00861DE1">
        <w:fldChar w:fldCharType="separate"/>
      </w:r>
      <w:r w:rsidR="002E5C6A">
        <w:t>22.1</w:t>
      </w:r>
      <w:r w:rsidR="00861DE1">
        <w:fldChar w:fldCharType="end"/>
      </w:r>
      <w:r>
        <w:t xml:space="preserve"> (“</w:t>
      </w:r>
      <w:r w:rsidR="00861DE1">
        <w:fldChar w:fldCharType="begin"/>
      </w:r>
      <w:r w:rsidR="00861DE1">
        <w:instrText xml:space="preserve">  REF _Ref165026407 \h </w:instrText>
      </w:r>
      <w:r w:rsidR="00861DE1">
        <w:fldChar w:fldCharType="separate"/>
      </w:r>
      <w:r w:rsidR="002E5C6A">
        <w:t xml:space="preserve">Automatic </w:t>
      </w:r>
      <w:r w:rsidR="002E5C6A" w:rsidRPr="00847C21">
        <w:t>termination</w:t>
      </w:r>
      <w:r w:rsidR="00861DE1">
        <w:fldChar w:fldCharType="end"/>
      </w:r>
      <w:r>
        <w:t>”), then Project Operator must pay the Early Termination Amount to the Commonwealth;</w:t>
      </w:r>
      <w:bookmarkEnd w:id="4540"/>
      <w:r>
        <w:t xml:space="preserve"> </w:t>
      </w:r>
    </w:p>
    <w:bookmarkEnd w:id="4537"/>
    <w:bookmarkEnd w:id="4538"/>
    <w:bookmarkEnd w:id="4539"/>
    <w:p w14:paraId="55477465" w14:textId="1C02C8CD" w:rsidR="00A12439" w:rsidRPr="0087461E" w:rsidRDefault="2C388DF0" w:rsidP="0058045D">
      <w:pPr>
        <w:pStyle w:val="Heading4"/>
      </w:pPr>
      <w:r>
        <w:t xml:space="preserve">by Project Operator in accordance with clause </w:t>
      </w:r>
      <w:r w:rsidR="00CF4DF8">
        <w:fldChar w:fldCharType="begin"/>
      </w:r>
      <w:r w:rsidR="00CF4DF8">
        <w:instrText xml:space="preserve"> REF _Ref94793652 \w \h  \* MERGEFORMAT </w:instrText>
      </w:r>
      <w:r w:rsidR="00CF4DF8">
        <w:fldChar w:fldCharType="separate"/>
      </w:r>
      <w:r w:rsidR="002E5C6A">
        <w:t>22.2</w:t>
      </w:r>
      <w:r w:rsidR="00CF4DF8">
        <w:fldChar w:fldCharType="end"/>
      </w:r>
      <w:r>
        <w:t xml:space="preserve"> (“</w:t>
      </w:r>
      <w:r w:rsidR="00CF4DF8">
        <w:fldChar w:fldCharType="begin"/>
      </w:r>
      <w:r w:rsidR="00CF4DF8">
        <w:instrText xml:space="preserve"> REF _Ref94793841 \h  \* MERGEFORMAT </w:instrText>
      </w:r>
      <w:r w:rsidR="00CF4DF8">
        <w:fldChar w:fldCharType="separate"/>
      </w:r>
      <w:r w:rsidR="002E5C6A">
        <w:t>Termination by Project Operator</w:t>
      </w:r>
      <w:r w:rsidR="00CF4DF8">
        <w:fldChar w:fldCharType="end"/>
      </w:r>
      <w:r>
        <w:t>”), then the Commonwealth must pay the Fixed Termination Amount to Project Operator;</w:t>
      </w:r>
    </w:p>
    <w:p w14:paraId="314923D4" w14:textId="77777777" w:rsidR="00EE5B95" w:rsidRPr="0087461E" w:rsidRDefault="2C388DF0" w:rsidP="0058045D">
      <w:pPr>
        <w:pStyle w:val="Heading4"/>
      </w:pPr>
      <w:bookmarkStart w:id="4541" w:name="_Ref165975356"/>
      <w:r>
        <w:t>by the Commonwealth in accordance with:</w:t>
      </w:r>
      <w:bookmarkEnd w:id="4541"/>
      <w:r>
        <w:t xml:space="preserve"> </w:t>
      </w:r>
    </w:p>
    <w:p w14:paraId="5DF04D63" w14:textId="334DB94F" w:rsidR="00CF4DF8" w:rsidRDefault="2C388DF0" w:rsidP="0058045D">
      <w:pPr>
        <w:pStyle w:val="Heading5"/>
      </w:pPr>
      <w:r>
        <w:t xml:space="preserve">clause </w:t>
      </w:r>
      <w:r w:rsidR="00CF4DF8">
        <w:fldChar w:fldCharType="begin"/>
      </w:r>
      <w:r w:rsidR="00CF4DF8">
        <w:instrText xml:space="preserve"> REF _Ref104298583 \w \h </w:instrText>
      </w:r>
      <w:r w:rsidR="00CF4DF8">
        <w:fldChar w:fldCharType="separate"/>
      </w:r>
      <w:r w:rsidR="002E5C6A">
        <w:t>22.3(a)</w:t>
      </w:r>
      <w:r w:rsidR="00CF4DF8">
        <w:fldChar w:fldCharType="end"/>
      </w:r>
      <w:r>
        <w:t xml:space="preserve"> (“payment default”);</w:t>
      </w:r>
    </w:p>
    <w:p w14:paraId="66D5B2D8" w14:textId="4A5F58A3" w:rsidR="006769C0" w:rsidRDefault="2C388DF0" w:rsidP="0058045D">
      <w:pPr>
        <w:pStyle w:val="Heading5"/>
      </w:pPr>
      <w:r>
        <w:t xml:space="preserve">clause </w:t>
      </w:r>
      <w:r w:rsidR="00EE5B95">
        <w:fldChar w:fldCharType="begin"/>
      </w:r>
      <w:r w:rsidR="00EE5B95">
        <w:instrText xml:space="preserve"> REF _Ref104298589 \w \h </w:instrText>
      </w:r>
      <w:r w:rsidR="00EE5B95">
        <w:fldChar w:fldCharType="separate"/>
      </w:r>
      <w:r w:rsidR="002E5C6A">
        <w:t>22.3(b)</w:t>
      </w:r>
      <w:r w:rsidR="00EE5B95">
        <w:fldChar w:fldCharType="end"/>
      </w:r>
      <w:r>
        <w:t xml:space="preserve"> (“</w:t>
      </w:r>
      <w:bookmarkStart w:id="4542" w:name="_9kR3WTr25545COHrbai"/>
      <w:r>
        <w:t>breach</w:t>
      </w:r>
      <w:bookmarkEnd w:id="4542"/>
      <w:r>
        <w:t>”);</w:t>
      </w:r>
    </w:p>
    <w:p w14:paraId="2F3AE72E" w14:textId="716508D7" w:rsidR="00C55D2D" w:rsidRDefault="2C388DF0" w:rsidP="0058045D">
      <w:pPr>
        <w:pStyle w:val="Heading5"/>
      </w:pPr>
      <w:r>
        <w:t xml:space="preserve">clause </w:t>
      </w:r>
      <w:r w:rsidR="00C55D2D">
        <w:fldChar w:fldCharType="begin"/>
      </w:r>
      <w:r w:rsidR="00C55D2D">
        <w:instrText xml:space="preserve"> REF _Ref107949990 \w \h </w:instrText>
      </w:r>
      <w:r w:rsidR="00C55D2D">
        <w:fldChar w:fldCharType="separate"/>
      </w:r>
      <w:r w:rsidR="002E5C6A">
        <w:t>22.3(c)</w:t>
      </w:r>
      <w:r w:rsidR="00C55D2D">
        <w:fldChar w:fldCharType="end"/>
      </w:r>
      <w:r>
        <w:t xml:space="preserve"> (“</w:t>
      </w:r>
      <w:r w:rsidR="008D0D45">
        <w:t xml:space="preserve">general </w:t>
      </w:r>
      <w:r>
        <w:t>misrepresentation”);</w:t>
      </w:r>
    </w:p>
    <w:p w14:paraId="01C399F8" w14:textId="2D4ABAAD" w:rsidR="008D045C" w:rsidRDefault="2C388DF0" w:rsidP="0058045D">
      <w:pPr>
        <w:pStyle w:val="Heading5"/>
      </w:pPr>
      <w:r>
        <w:t xml:space="preserve">clause </w:t>
      </w:r>
      <w:r w:rsidR="008D045C">
        <w:fldChar w:fldCharType="begin"/>
      </w:r>
      <w:r w:rsidR="008D045C">
        <w:instrText xml:space="preserve"> REF _Ref161847081 \w \h </w:instrText>
      </w:r>
      <w:r w:rsidR="008D045C">
        <w:fldChar w:fldCharType="separate"/>
      </w:r>
      <w:r w:rsidR="002E5C6A">
        <w:t>22.3(d)</w:t>
      </w:r>
      <w:r w:rsidR="008D045C">
        <w:fldChar w:fldCharType="end"/>
      </w:r>
      <w:r>
        <w:t xml:space="preserve"> (“reporting misrepresentation”);</w:t>
      </w:r>
    </w:p>
    <w:p w14:paraId="47F672CB" w14:textId="26E85252" w:rsidR="00AF0B98" w:rsidRDefault="2C388DF0" w:rsidP="0058045D">
      <w:pPr>
        <w:pStyle w:val="Heading5"/>
      </w:pPr>
      <w:r>
        <w:t xml:space="preserve">clause </w:t>
      </w:r>
      <w:r w:rsidR="00AF0B98">
        <w:fldChar w:fldCharType="begin"/>
      </w:r>
      <w:r w:rsidR="00AF0B98">
        <w:instrText xml:space="preserve"> REF _Ref114137712 \w \h </w:instrText>
      </w:r>
      <w:r w:rsidR="00AF0B98">
        <w:fldChar w:fldCharType="separate"/>
      </w:r>
      <w:r w:rsidR="002E5C6A">
        <w:t>22.3(e)</w:t>
      </w:r>
      <w:r w:rsidR="00AF0B98">
        <w:fldChar w:fldCharType="end"/>
      </w:r>
      <w:r>
        <w:t xml:space="preserve"> (“</w:t>
      </w:r>
      <w:r w:rsidR="008D0D45">
        <w:t>T</w:t>
      </w:r>
      <w:r>
        <w:t>ender misrepresentation”);</w:t>
      </w:r>
    </w:p>
    <w:p w14:paraId="549EBC53" w14:textId="39AAD49A" w:rsidR="00EE5B95" w:rsidRDefault="2C388DF0" w:rsidP="0058045D">
      <w:pPr>
        <w:pStyle w:val="Heading5"/>
      </w:pPr>
      <w:r>
        <w:t xml:space="preserve">clause </w:t>
      </w:r>
      <w:r w:rsidR="00EE5B95">
        <w:fldChar w:fldCharType="begin"/>
      </w:r>
      <w:r w:rsidR="00EE5B95">
        <w:instrText xml:space="preserve"> REF _Ref104298594 \w \h </w:instrText>
      </w:r>
      <w:r w:rsidR="00EE5B95">
        <w:fldChar w:fldCharType="separate"/>
      </w:r>
      <w:r w:rsidR="002E5C6A">
        <w:t>22.3(f)</w:t>
      </w:r>
      <w:r w:rsidR="00EE5B95">
        <w:fldChar w:fldCharType="end"/>
      </w:r>
      <w:r>
        <w:t xml:space="preserve"> (“insolvency”);</w:t>
      </w:r>
    </w:p>
    <w:p w14:paraId="68ABA02E" w14:textId="69AAF65A" w:rsidR="007F3D3C" w:rsidRDefault="2C388DF0" w:rsidP="0058045D">
      <w:pPr>
        <w:pStyle w:val="Heading5"/>
      </w:pPr>
      <w:r>
        <w:t xml:space="preserve">clause </w:t>
      </w:r>
      <w:r w:rsidR="007F3D3C">
        <w:fldChar w:fldCharType="begin"/>
      </w:r>
      <w:r w:rsidR="007F3D3C">
        <w:instrText xml:space="preserve"> REF _Ref159343314 \w \h </w:instrText>
      </w:r>
      <w:r w:rsidR="007F3D3C">
        <w:fldChar w:fldCharType="separate"/>
      </w:r>
      <w:r w:rsidR="002E5C6A">
        <w:t>22.3(g)</w:t>
      </w:r>
      <w:r w:rsidR="007F3D3C">
        <w:fldChar w:fldCharType="end"/>
      </w:r>
      <w:r>
        <w:t xml:space="preserve"> (“Performance Security”);</w:t>
      </w:r>
    </w:p>
    <w:p w14:paraId="1B2CF15C" w14:textId="5EB9D5CD" w:rsidR="007F3D3C" w:rsidRDefault="2C388DF0" w:rsidP="0058045D">
      <w:pPr>
        <w:pStyle w:val="Heading5"/>
      </w:pPr>
      <w:r>
        <w:t xml:space="preserve">clause </w:t>
      </w:r>
      <w:r w:rsidR="007F3D3C">
        <w:fldChar w:fldCharType="begin"/>
      </w:r>
      <w:r w:rsidR="007F3D3C">
        <w:instrText xml:space="preserve"> REF _Ref159343167 \w \h </w:instrText>
      </w:r>
      <w:r w:rsidR="007F3D3C">
        <w:fldChar w:fldCharType="separate"/>
      </w:r>
      <w:r w:rsidR="002E5C6A">
        <w:t>22.3(h)</w:t>
      </w:r>
      <w:r w:rsidR="007F3D3C">
        <w:fldChar w:fldCharType="end"/>
      </w:r>
      <w:r>
        <w:t xml:space="preserve"> (“Milestone Date”);</w:t>
      </w:r>
    </w:p>
    <w:p w14:paraId="26341870" w14:textId="1A4C0406" w:rsidR="007F3D3C" w:rsidRPr="009F407F" w:rsidRDefault="2C388DF0" w:rsidP="0058045D">
      <w:pPr>
        <w:pStyle w:val="Heading5"/>
      </w:pPr>
      <w:r>
        <w:t>claus</w:t>
      </w:r>
      <w:r w:rsidRPr="009F407F">
        <w:t xml:space="preserve">e </w:t>
      </w:r>
      <w:r w:rsidR="007F3D3C" w:rsidRPr="009F407F">
        <w:fldChar w:fldCharType="begin"/>
      </w:r>
      <w:r w:rsidR="007F3D3C" w:rsidRPr="009F407F">
        <w:instrText xml:space="preserve"> REF _Ref100133898 \w \h </w:instrText>
      </w:r>
      <w:r w:rsidR="009F407F">
        <w:instrText xml:space="preserve"> \* MERGEFORMAT </w:instrText>
      </w:r>
      <w:r w:rsidR="007F3D3C" w:rsidRPr="009F407F">
        <w:fldChar w:fldCharType="separate"/>
      </w:r>
      <w:r w:rsidR="002E5C6A">
        <w:t>22.3(i)</w:t>
      </w:r>
      <w:r w:rsidR="007F3D3C" w:rsidRPr="009F407F">
        <w:fldChar w:fldCharType="end"/>
      </w:r>
      <w:r w:rsidRPr="009F407F">
        <w:t xml:space="preserve"> (“Commercial Operations Date”); </w:t>
      </w:r>
    </w:p>
    <w:p w14:paraId="379A3523" w14:textId="714318E4" w:rsidR="007F3D3C" w:rsidRPr="009F407F" w:rsidRDefault="2C388DF0" w:rsidP="0058045D">
      <w:pPr>
        <w:pStyle w:val="Heading5"/>
      </w:pPr>
      <w:r w:rsidRPr="009F407F">
        <w:t xml:space="preserve">clause </w:t>
      </w:r>
      <w:r w:rsidR="007F3D3C" w:rsidRPr="009F407F">
        <w:fldChar w:fldCharType="begin"/>
      </w:r>
      <w:r w:rsidR="007F3D3C" w:rsidRPr="009F407F">
        <w:instrText xml:space="preserve"> REF _Ref159343171 \w \h </w:instrText>
      </w:r>
      <w:r w:rsidR="009F407F">
        <w:instrText xml:space="preserve"> \* MERGEFORMAT </w:instrText>
      </w:r>
      <w:r w:rsidR="007F3D3C" w:rsidRPr="009F407F">
        <w:fldChar w:fldCharType="separate"/>
      </w:r>
      <w:r w:rsidR="002E5C6A">
        <w:t>22.3(j)</w:t>
      </w:r>
      <w:r w:rsidR="007F3D3C" w:rsidRPr="009F407F">
        <w:fldChar w:fldCharType="end"/>
      </w:r>
      <w:r w:rsidRPr="009F407F">
        <w:t xml:space="preserve"> (“Social Licence Commitments”); </w:t>
      </w:r>
    </w:p>
    <w:p w14:paraId="31F55F40" w14:textId="5B141F6A" w:rsidR="00C65A15" w:rsidRPr="009F407F" w:rsidRDefault="2C388DF0" w:rsidP="0058045D">
      <w:pPr>
        <w:pStyle w:val="Heading5"/>
      </w:pPr>
      <w:r w:rsidRPr="009F407F">
        <w:t>clause</w:t>
      </w:r>
      <w:r w:rsidR="00E73D93">
        <w:t xml:space="preserve"> </w:t>
      </w:r>
      <w:r w:rsidR="00E73D93">
        <w:fldChar w:fldCharType="begin"/>
      </w:r>
      <w:r w:rsidR="00E73D93">
        <w:instrText xml:space="preserve"> REF _Ref199426998 \r \h </w:instrText>
      </w:r>
      <w:r w:rsidR="00E73D93">
        <w:fldChar w:fldCharType="separate"/>
      </w:r>
      <w:r w:rsidR="002E5C6A">
        <w:t>22.3(l)</w:t>
      </w:r>
      <w:r w:rsidR="00E73D93">
        <w:fldChar w:fldCharType="end"/>
      </w:r>
      <w:r w:rsidR="00BC2BE9">
        <w:t xml:space="preserve"> </w:t>
      </w:r>
      <w:r w:rsidRPr="009F407F">
        <w:t xml:space="preserve">(“failure to comply with approved plan”); </w:t>
      </w:r>
    </w:p>
    <w:p w14:paraId="2D53E46E" w14:textId="5A295961" w:rsidR="00B95A9F" w:rsidRPr="008E4A1B" w:rsidRDefault="00B95A9F" w:rsidP="0058045D">
      <w:pPr>
        <w:pStyle w:val="Heading5"/>
      </w:pPr>
      <w:r w:rsidRPr="009F407F">
        <w:t>clause</w:t>
      </w:r>
      <w:r w:rsidRPr="008E4A1B">
        <w:t xml:space="preserve"> </w:t>
      </w:r>
      <w:r w:rsidR="006041D4">
        <w:fldChar w:fldCharType="begin"/>
      </w:r>
      <w:r w:rsidR="006041D4">
        <w:instrText xml:space="preserve"> REF _Ref_ContractCompanion_9kb9Ur453 \w \h \t \* MERGEFORMAT </w:instrText>
      </w:r>
      <w:r w:rsidR="006041D4">
        <w:fldChar w:fldCharType="separate"/>
      </w:r>
      <w:r w:rsidR="002E5C6A">
        <w:t>22.3(m)</w:t>
      </w:r>
      <w:r w:rsidR="006041D4">
        <w:fldChar w:fldCharType="end"/>
      </w:r>
      <w:r w:rsidR="0060014F" w:rsidRPr="008E4A1B">
        <w:t xml:space="preserve"> </w:t>
      </w:r>
      <w:r w:rsidR="009F407F" w:rsidRPr="008E4A1B">
        <w:t>(“Performance Requirements”);</w:t>
      </w:r>
    </w:p>
    <w:p w14:paraId="066F230F" w14:textId="7F56BE4B" w:rsidR="009F407F" w:rsidRPr="009F407F" w:rsidRDefault="009F407F" w:rsidP="0058045D">
      <w:pPr>
        <w:pStyle w:val="Heading5"/>
      </w:pPr>
      <w:r w:rsidRPr="008E4A1B">
        <w:t>clause</w:t>
      </w:r>
      <w:r w:rsidR="006041D4">
        <w:t xml:space="preserve"> </w:t>
      </w:r>
      <w:r w:rsidR="006041D4">
        <w:fldChar w:fldCharType="begin"/>
      </w:r>
      <w:r w:rsidR="006041D4">
        <w:instrText xml:space="preserve"> REF _Ref170371086 \r \h </w:instrText>
      </w:r>
      <w:r w:rsidR="006041D4">
        <w:fldChar w:fldCharType="separate"/>
      </w:r>
      <w:r w:rsidR="002E5C6A">
        <w:t>22.3(n)</w:t>
      </w:r>
      <w:r w:rsidR="006041D4">
        <w:fldChar w:fldCharType="end"/>
      </w:r>
      <w:r w:rsidRPr="008E4A1B">
        <w:t xml:space="preserve"> (“</w:t>
      </w:r>
      <w:r w:rsidR="00C74E7A">
        <w:t xml:space="preserve">Peak </w:t>
      </w:r>
      <w:r w:rsidRPr="008E4A1B">
        <w:t>Capacity Credits”);</w:t>
      </w:r>
    </w:p>
    <w:p w14:paraId="70A0BAC8" w14:textId="3DCF3E34" w:rsidR="00C65A15" w:rsidRDefault="2C388DF0" w:rsidP="0058045D">
      <w:pPr>
        <w:pStyle w:val="Heading5"/>
      </w:pPr>
      <w:r w:rsidRPr="009F407F">
        <w:t xml:space="preserve">clause </w:t>
      </w:r>
      <w:r w:rsidR="00C65A15" w:rsidRPr="009F407F">
        <w:fldChar w:fldCharType="begin"/>
      </w:r>
      <w:r w:rsidR="00C65A15" w:rsidRPr="009F407F">
        <w:instrText xml:space="preserve"> REF _Ref166578165 \w \h </w:instrText>
      </w:r>
      <w:r w:rsidR="009F407F">
        <w:instrText xml:space="preserve"> \* MERGEFORMAT </w:instrText>
      </w:r>
      <w:r w:rsidR="00C65A15" w:rsidRPr="009F407F">
        <w:fldChar w:fldCharType="separate"/>
      </w:r>
      <w:r w:rsidR="002E5C6A">
        <w:t>22.3(p)</w:t>
      </w:r>
      <w:r w:rsidR="00C65A15" w:rsidRPr="009F407F">
        <w:fldChar w:fldCharType="end"/>
      </w:r>
      <w:r w:rsidRPr="009F407F">
        <w:t xml:space="preserve"> (“Workplace</w:t>
      </w:r>
      <w:r>
        <w:t xml:space="preserve"> Laws”);</w:t>
      </w:r>
    </w:p>
    <w:p w14:paraId="612A7DAB" w14:textId="52922D93" w:rsidR="00C65A15" w:rsidRDefault="2C388DF0" w:rsidP="0058045D">
      <w:pPr>
        <w:pStyle w:val="Heading5"/>
      </w:pPr>
      <w:r>
        <w:t xml:space="preserve">clause </w:t>
      </w:r>
      <w:r w:rsidR="00C65A15">
        <w:fldChar w:fldCharType="begin"/>
      </w:r>
      <w:r w:rsidR="00C65A15">
        <w:instrText xml:space="preserve"> REF _Ref166578172 \w \h </w:instrText>
      </w:r>
      <w:r w:rsidR="00C65A15">
        <w:fldChar w:fldCharType="separate"/>
      </w:r>
      <w:r w:rsidR="002E5C6A">
        <w:t>22.3(q)</w:t>
      </w:r>
      <w:r w:rsidR="00C65A15">
        <w:fldChar w:fldCharType="end"/>
      </w:r>
      <w:r>
        <w:t xml:space="preserve"> (“Significant Event”);</w:t>
      </w:r>
    </w:p>
    <w:p w14:paraId="3624026E" w14:textId="4CEB54B1" w:rsidR="00C65A15" w:rsidRDefault="2C388DF0" w:rsidP="0058045D">
      <w:pPr>
        <w:pStyle w:val="Heading5"/>
      </w:pPr>
      <w:r>
        <w:t xml:space="preserve">clause </w:t>
      </w:r>
      <w:r w:rsidR="00C65A15">
        <w:fldChar w:fldCharType="begin"/>
      </w:r>
      <w:r w:rsidR="00C65A15">
        <w:instrText xml:space="preserve"> REF _Ref165017996 \w \h </w:instrText>
      </w:r>
      <w:r w:rsidR="00C65A15">
        <w:fldChar w:fldCharType="separate"/>
      </w:r>
      <w:r w:rsidR="002E5C6A">
        <w:t>22.3(r)</w:t>
      </w:r>
      <w:r w:rsidR="00C65A15">
        <w:fldChar w:fldCharType="end"/>
      </w:r>
      <w:r>
        <w:t xml:space="preserve"> (“Criminal Code”);</w:t>
      </w:r>
    </w:p>
    <w:p w14:paraId="1E7E12B9" w14:textId="7B1CE08A" w:rsidR="00C65A15" w:rsidRDefault="2C388DF0" w:rsidP="0058045D">
      <w:pPr>
        <w:pStyle w:val="Heading5"/>
      </w:pPr>
      <w:r>
        <w:t xml:space="preserve">clause </w:t>
      </w:r>
      <w:r w:rsidR="00C65A15">
        <w:fldChar w:fldCharType="begin"/>
      </w:r>
      <w:r w:rsidR="00C65A15">
        <w:instrText xml:space="preserve"> REF _Ref165018009 \w \h </w:instrText>
      </w:r>
      <w:r w:rsidR="00C65A15">
        <w:fldChar w:fldCharType="separate"/>
      </w:r>
      <w:r w:rsidR="002E5C6A">
        <w:t>22.3(s)</w:t>
      </w:r>
      <w:r w:rsidR="00C65A15">
        <w:fldChar w:fldCharType="end"/>
      </w:r>
      <w:r>
        <w:t xml:space="preserve"> (“Prohibited dealings”); or </w:t>
      </w:r>
    </w:p>
    <w:p w14:paraId="65A11819" w14:textId="1DDF10F6" w:rsidR="00F73317" w:rsidRDefault="2C388DF0" w:rsidP="0058045D">
      <w:pPr>
        <w:pStyle w:val="Heading5"/>
      </w:pPr>
      <w:r>
        <w:t xml:space="preserve">clause </w:t>
      </w:r>
      <w:r w:rsidR="00C65A15">
        <w:fldChar w:fldCharType="begin"/>
      </w:r>
      <w:r w:rsidR="00C65A15">
        <w:instrText xml:space="preserve"> REF _Ref166578179 \w \h </w:instrText>
      </w:r>
      <w:r w:rsidR="00C65A15">
        <w:fldChar w:fldCharType="separate"/>
      </w:r>
      <w:r w:rsidR="002E5C6A">
        <w:t>22.3(t)</w:t>
      </w:r>
      <w:r w:rsidR="00C65A15">
        <w:fldChar w:fldCharType="end"/>
      </w:r>
      <w:r>
        <w:t xml:space="preserve"> (“Fraud”),</w:t>
      </w:r>
    </w:p>
    <w:p w14:paraId="70266F90" w14:textId="77777777" w:rsidR="007F3D3C" w:rsidRDefault="00F73317" w:rsidP="0058045D">
      <w:pPr>
        <w:pStyle w:val="Heading5"/>
        <w:numPr>
          <w:ilvl w:val="0"/>
          <w:numId w:val="0"/>
        </w:numPr>
        <w:ind w:left="2211"/>
      </w:pPr>
      <w:r>
        <w:t xml:space="preserve">then </w:t>
      </w:r>
      <w:r w:rsidR="00411B14" w:rsidRPr="0087461E">
        <w:t>Project Operator</w:t>
      </w:r>
      <w:r w:rsidR="00EE5B95" w:rsidRPr="0087461E">
        <w:t xml:space="preserve"> must pay the </w:t>
      </w:r>
      <w:r w:rsidRPr="0087461E">
        <w:t>Early</w:t>
      </w:r>
      <w:r w:rsidR="00EE5B95" w:rsidRPr="0087461E">
        <w:t xml:space="preserve"> Termination Amount to </w:t>
      </w:r>
      <w:r w:rsidR="00BE77D6" w:rsidRPr="0087461E">
        <w:t>the Commonwealth</w:t>
      </w:r>
      <w:r w:rsidR="00EE5B95" w:rsidRPr="0087461E">
        <w:t>;</w:t>
      </w:r>
    </w:p>
    <w:p w14:paraId="0D92EA84" w14:textId="119A668A" w:rsidR="001F0FFF" w:rsidRDefault="2C388DF0" w:rsidP="00314F33">
      <w:pPr>
        <w:pStyle w:val="Heading4"/>
        <w:keepNext/>
      </w:pPr>
      <w:bookmarkStart w:id="4543" w:name="_Ref165975364"/>
      <w:r>
        <w:t xml:space="preserve">by the Commonwealth in accordance with clause </w:t>
      </w:r>
      <w:r w:rsidR="001F0FFF">
        <w:fldChar w:fldCharType="begin"/>
      </w:r>
      <w:r w:rsidR="001F0FFF">
        <w:instrText xml:space="preserve"> REF _Ref94793918 \w \h  \* MERGEFORMAT </w:instrText>
      </w:r>
      <w:r w:rsidR="001F0FFF">
        <w:fldChar w:fldCharType="separate"/>
      </w:r>
      <w:r w:rsidR="002E5C6A">
        <w:t>22.3(k)</w:t>
      </w:r>
      <w:r w:rsidR="001F0FFF">
        <w:fldChar w:fldCharType="end"/>
      </w:r>
      <w:r>
        <w:t xml:space="preserve"> (“Major Casualty Event”), then:</w:t>
      </w:r>
      <w:bookmarkEnd w:id="4543"/>
    </w:p>
    <w:p w14:paraId="583B7F87" w14:textId="2ECC3B5B" w:rsidR="001F0FFF" w:rsidRDefault="2C388DF0" w:rsidP="0058045D">
      <w:pPr>
        <w:pStyle w:val="Heading5"/>
      </w:pPr>
      <w:r>
        <w:t xml:space="preserve">subject to paragraph </w:t>
      </w:r>
      <w:r w:rsidR="001F0FFF">
        <w:fldChar w:fldCharType="begin"/>
      </w:r>
      <w:r w:rsidR="001F0FFF">
        <w:instrText xml:space="preserve"> REF _Ref113631965 \n \h </w:instrText>
      </w:r>
      <w:r w:rsidR="001F0FFF">
        <w:fldChar w:fldCharType="separate"/>
      </w:r>
      <w:r w:rsidR="002E5C6A">
        <w:t>(B)</w:t>
      </w:r>
      <w:r w:rsidR="001F0FFF">
        <w:fldChar w:fldCharType="end"/>
      </w:r>
      <w:r>
        <w:t>, no Termination Payment is payable under this agreement; or</w:t>
      </w:r>
    </w:p>
    <w:p w14:paraId="7D983302" w14:textId="77777777" w:rsidR="001F0FFF" w:rsidRDefault="2C388DF0" w:rsidP="0058045D">
      <w:pPr>
        <w:pStyle w:val="Heading5"/>
      </w:pPr>
      <w:bookmarkStart w:id="4544" w:name="_Ref113631965"/>
      <w:r>
        <w:t>if:</w:t>
      </w:r>
      <w:bookmarkEnd w:id="4544"/>
      <w:r>
        <w:t xml:space="preserve"> </w:t>
      </w:r>
    </w:p>
    <w:p w14:paraId="52E9D32E" w14:textId="77777777" w:rsidR="001F0FFF" w:rsidRDefault="2C388DF0" w:rsidP="003A24AE">
      <w:pPr>
        <w:pStyle w:val="Heading6"/>
      </w:pPr>
      <w:r>
        <w:t>the relevant Major Casualty Event was not a Project Force Majeure Event; or</w:t>
      </w:r>
    </w:p>
    <w:p w14:paraId="6F576480" w14:textId="74E2EF28" w:rsidR="001F0FFF" w:rsidRDefault="2C388DF0" w:rsidP="003A24AE">
      <w:pPr>
        <w:pStyle w:val="Heading6"/>
      </w:pPr>
      <w:r>
        <w:t xml:space="preserve">Project Operator or a Related Body Corporate of Project Operator subsequently reinstates the Project within </w:t>
      </w:r>
      <w:r w:rsidR="00254642">
        <w:t>five (</w:t>
      </w:r>
      <w:r>
        <w:t>5</w:t>
      </w:r>
      <w:r w:rsidR="00254642">
        <w:t>)</w:t>
      </w:r>
      <w:r>
        <w:t xml:space="preserve"> years after the Major Casualty Event occurred, </w:t>
      </w:r>
    </w:p>
    <w:p w14:paraId="06B765B5" w14:textId="77777777" w:rsidR="001F0FFF" w:rsidRDefault="001F0FFF" w:rsidP="003A24AE">
      <w:pPr>
        <w:pStyle w:val="Heading6"/>
        <w:numPr>
          <w:ilvl w:val="0"/>
          <w:numId w:val="0"/>
        </w:numPr>
        <w:ind w:left="2948"/>
      </w:pPr>
      <w:r>
        <w:t xml:space="preserve">then </w:t>
      </w:r>
      <w:r w:rsidR="00411B14">
        <w:t>Project Operator</w:t>
      </w:r>
      <w:r>
        <w:t xml:space="preserve"> </w:t>
      </w:r>
      <w:r w:rsidRPr="007F3D3C">
        <w:t xml:space="preserve">must pay the Early Termination Amount to </w:t>
      </w:r>
      <w:r w:rsidR="00BE77D6" w:rsidRPr="007F3D3C">
        <w:t>the Commonwealth</w:t>
      </w:r>
      <w:r w:rsidRPr="007F3D3C">
        <w:t>;</w:t>
      </w:r>
      <w:r>
        <w:t xml:space="preserve"> or</w:t>
      </w:r>
    </w:p>
    <w:p w14:paraId="44C5971D" w14:textId="6767D54D" w:rsidR="00F73317" w:rsidRPr="007F3D3C" w:rsidRDefault="2C388DF0" w:rsidP="0058045D">
      <w:pPr>
        <w:pStyle w:val="Heading4"/>
      </w:pPr>
      <w:r>
        <w:t xml:space="preserve">by the Commonwealth in accordance with clause </w:t>
      </w:r>
      <w:r w:rsidR="00CF4DF8">
        <w:fldChar w:fldCharType="begin"/>
      </w:r>
      <w:r w:rsidR="00CF4DF8">
        <w:instrText xml:space="preserve"> REF _Ref136875307 \w \h </w:instrText>
      </w:r>
      <w:r w:rsidR="00CF4DF8">
        <w:fldChar w:fldCharType="separate"/>
      </w:r>
      <w:r w:rsidR="002E5C6A">
        <w:t>22.4</w:t>
      </w:r>
      <w:r w:rsidR="00CF4DF8">
        <w:fldChar w:fldCharType="end"/>
      </w:r>
      <w:r>
        <w:t xml:space="preserve"> (“</w:t>
      </w:r>
      <w:r w:rsidR="00CF4DF8">
        <w:fldChar w:fldCharType="begin"/>
      </w:r>
      <w:r w:rsidR="00CF4DF8">
        <w:instrText xml:space="preserve">  REF _Ref136875307 \h </w:instrText>
      </w:r>
      <w:r w:rsidR="00CF4DF8">
        <w:fldChar w:fldCharType="separate"/>
      </w:r>
      <w:r w:rsidR="002E5C6A">
        <w:t>Termination for convenience by the Commonwealth</w:t>
      </w:r>
      <w:r w:rsidR="00CF4DF8">
        <w:fldChar w:fldCharType="end"/>
      </w:r>
      <w:r>
        <w:t>”), then the Commonwealth must pay the Fixed Termination Amount to Project Operator.</w:t>
      </w:r>
    </w:p>
    <w:p w14:paraId="6B42FC83" w14:textId="57C5D71C" w:rsidR="00790CC0" w:rsidRDefault="2C388DF0" w:rsidP="00F1679D">
      <w:pPr>
        <w:pStyle w:val="Heading3"/>
        <w:keepNext/>
      </w:pPr>
      <w:r>
        <w:t xml:space="preserve">Subject to paragraph </w:t>
      </w:r>
      <w:r w:rsidR="001E7884">
        <w:fldChar w:fldCharType="begin"/>
      </w:r>
      <w:r w:rsidR="001E7884">
        <w:instrText xml:space="preserve"> REF _Ref108101483 \n \h </w:instrText>
      </w:r>
      <w:r w:rsidR="001E7884">
        <w:fldChar w:fldCharType="separate"/>
      </w:r>
      <w:r w:rsidR="002E5C6A">
        <w:t>(c)</w:t>
      </w:r>
      <w:r w:rsidR="001E7884">
        <w:fldChar w:fldCharType="end"/>
      </w:r>
      <w:r>
        <w:t>, the parties acknowledge and agree that:</w:t>
      </w:r>
    </w:p>
    <w:p w14:paraId="03DE2AA6" w14:textId="64405F80" w:rsidR="00790CC0" w:rsidRDefault="2C388DF0" w:rsidP="0058045D">
      <w:pPr>
        <w:pStyle w:val="Heading4"/>
      </w:pPr>
      <w:r>
        <w:t xml:space="preserve">subject to clause </w:t>
      </w:r>
      <w:r w:rsidR="00C41299">
        <w:fldChar w:fldCharType="begin"/>
      </w:r>
      <w:r w:rsidR="00C41299">
        <w:instrText xml:space="preserve"> REF _Ref165040973 \w \h </w:instrText>
      </w:r>
      <w:r w:rsidR="00C41299">
        <w:fldChar w:fldCharType="separate"/>
      </w:r>
      <w:r w:rsidR="002E5C6A">
        <w:t>37.5</w:t>
      </w:r>
      <w:r w:rsidR="00C41299">
        <w:fldChar w:fldCharType="end"/>
      </w:r>
      <w:r>
        <w:t xml:space="preserve"> (“</w:t>
      </w:r>
      <w:r w:rsidR="00C41299">
        <w:fldChar w:fldCharType="begin"/>
      </w:r>
      <w:r w:rsidR="00C41299">
        <w:instrText xml:space="preserve">  REF _Ref165040973 \h </w:instrText>
      </w:r>
      <w:r w:rsidR="00C41299">
        <w:fldChar w:fldCharType="separate"/>
      </w:r>
      <w:r w:rsidR="002E5C6A">
        <w:t>Remedies cumulative</w:t>
      </w:r>
      <w:r w:rsidR="00C41299">
        <w:fldChar w:fldCharType="end"/>
      </w:r>
      <w:r>
        <w:t xml:space="preserve">”), each party’s sole remedy arising out of or in connection with a termination under this clause </w:t>
      </w:r>
      <w:r w:rsidR="00C41299">
        <w:fldChar w:fldCharType="begin"/>
      </w:r>
      <w:r w:rsidR="00C41299">
        <w:instrText xml:space="preserve"> REF _Ref104299167 \w \h </w:instrText>
      </w:r>
      <w:r w:rsidR="00C41299">
        <w:fldChar w:fldCharType="separate"/>
      </w:r>
      <w:r w:rsidR="002E5C6A">
        <w:t>22</w:t>
      </w:r>
      <w:r w:rsidR="00C41299">
        <w:fldChar w:fldCharType="end"/>
      </w:r>
      <w:r>
        <w:t xml:space="preserve"> is that party’s entitlement to a Termination Payment (if applicable) in accordance with paragraph </w:t>
      </w:r>
      <w:r w:rsidR="00C41299">
        <w:fldChar w:fldCharType="begin"/>
      </w:r>
      <w:r w:rsidR="00C41299">
        <w:instrText xml:space="preserve"> REF _Ref108103268 \n \h </w:instrText>
      </w:r>
      <w:r w:rsidR="00C41299">
        <w:fldChar w:fldCharType="separate"/>
      </w:r>
      <w:r w:rsidR="002E5C6A">
        <w:t>(a)</w:t>
      </w:r>
      <w:r w:rsidR="00C41299">
        <w:fldChar w:fldCharType="end"/>
      </w:r>
      <w:r>
        <w:t>; and</w:t>
      </w:r>
    </w:p>
    <w:p w14:paraId="7D16DBEC" w14:textId="77777777" w:rsidR="0071181E" w:rsidRDefault="2C388DF0" w:rsidP="0058045D">
      <w:pPr>
        <w:pStyle w:val="Heading4"/>
      </w:pPr>
      <w:r>
        <w:t>each Termination Payment is a genuine pre-estimate of that party’s anticipated losses arising from the termination of this agreement prior to the end of the Term.</w:t>
      </w:r>
    </w:p>
    <w:p w14:paraId="70FFE0B9" w14:textId="77777777" w:rsidR="003534B1" w:rsidRDefault="2C388DF0" w:rsidP="008C038D">
      <w:pPr>
        <w:pStyle w:val="Heading3"/>
        <w:keepNext/>
      </w:pPr>
      <w:bookmarkStart w:id="4545" w:name="_Ref108101483"/>
      <w:bookmarkStart w:id="4546" w:name="_Ref108021076"/>
      <w:bookmarkStart w:id="4547" w:name="_Hlk108182553"/>
      <w:r>
        <w:t>If:</w:t>
      </w:r>
      <w:bookmarkEnd w:id="4545"/>
      <w:r>
        <w:t xml:space="preserve"> </w:t>
      </w:r>
    </w:p>
    <w:p w14:paraId="235CF9F1" w14:textId="77777777" w:rsidR="003534B1" w:rsidRDefault="2C388DF0" w:rsidP="0058045D">
      <w:pPr>
        <w:pStyle w:val="Heading4"/>
      </w:pPr>
      <w:bookmarkStart w:id="4548" w:name="_Hlk108182538"/>
      <w:r>
        <w:t xml:space="preserve">any Termination Payment becomes payable by a party under the terms of this agreement; and </w:t>
      </w:r>
    </w:p>
    <w:bookmarkEnd w:id="4548"/>
    <w:p w14:paraId="40ED5935" w14:textId="56A582BD" w:rsidR="003534B1" w:rsidRDefault="2C388DF0" w:rsidP="0058045D">
      <w:pPr>
        <w:pStyle w:val="Heading4"/>
      </w:pPr>
      <w:r>
        <w:t xml:space="preserve">that Termination Payment is found to be a penalty or that party’s obligation to pay the Termination Payment pursuant to this clause </w:t>
      </w:r>
      <w:r w:rsidR="00720889">
        <w:fldChar w:fldCharType="begin"/>
      </w:r>
      <w:r w:rsidR="00720889">
        <w:instrText xml:space="preserve"> REF _Ref104299112 \n \h </w:instrText>
      </w:r>
      <w:r w:rsidR="00720889">
        <w:fldChar w:fldCharType="separate"/>
      </w:r>
      <w:r w:rsidR="002E5C6A">
        <w:t>22.5</w:t>
      </w:r>
      <w:r w:rsidR="00720889">
        <w:fldChar w:fldCharType="end"/>
      </w:r>
      <w:r>
        <w:t xml:space="preserve"> is found to be void or unenforceable for any reason (whether in whole or in part), </w:t>
      </w:r>
    </w:p>
    <w:p w14:paraId="6C842B1B" w14:textId="4F0DF134" w:rsidR="00B8605B" w:rsidRDefault="00720889" w:rsidP="0058045D">
      <w:pPr>
        <w:pStyle w:val="Heading5"/>
        <w:numPr>
          <w:ilvl w:val="0"/>
          <w:numId w:val="0"/>
        </w:numPr>
        <w:ind w:left="1474"/>
      </w:pPr>
      <w:r>
        <w:t xml:space="preserve">then </w:t>
      </w:r>
      <w:r w:rsidR="00077388">
        <w:t>that party</w:t>
      </w:r>
      <w:r>
        <w:t xml:space="preserve"> </w:t>
      </w:r>
      <w:r w:rsidRPr="007F3D3C">
        <w:t xml:space="preserve">indemnifies </w:t>
      </w:r>
      <w:r w:rsidR="00BE77D6" w:rsidRPr="007F3D3C">
        <w:t xml:space="preserve">the </w:t>
      </w:r>
      <w:r w:rsidR="00077388">
        <w:t>other party</w:t>
      </w:r>
      <w:r w:rsidRPr="007F3D3C">
        <w:t xml:space="preserve"> </w:t>
      </w:r>
      <w:r w:rsidR="001E7884" w:rsidRPr="007F3D3C">
        <w:t xml:space="preserve">against, and agrees to reimburse and compensate it for, </w:t>
      </w:r>
      <w:r w:rsidRPr="007F3D3C">
        <w:t xml:space="preserve">any liability or Loss </w:t>
      </w:r>
      <w:r w:rsidR="001E7884" w:rsidRPr="007F3D3C">
        <w:t>(</w:t>
      </w:r>
      <w:r w:rsidRPr="007F3D3C">
        <w:t xml:space="preserve">including in respect of loss of bargain) </w:t>
      </w:r>
      <w:r w:rsidR="00F9096B" w:rsidRPr="007F3D3C">
        <w:t xml:space="preserve">suffered by </w:t>
      </w:r>
      <w:r w:rsidR="006619F2">
        <w:t>that other party</w:t>
      </w:r>
      <w:r w:rsidR="00190303">
        <w:t xml:space="preserve"> </w:t>
      </w:r>
      <w:r w:rsidR="00981C6E">
        <w:t>arising from</w:t>
      </w:r>
      <w:r w:rsidR="008E688D">
        <w:t xml:space="preserve"> </w:t>
      </w:r>
      <w:r w:rsidR="00F9096B">
        <w:t>or</w:t>
      </w:r>
      <w:r>
        <w:t xml:space="preserve"> </w:t>
      </w:r>
      <w:r w:rsidR="00981C6E">
        <w:t>in connection with</w:t>
      </w:r>
      <w:r w:rsidR="00F9096B">
        <w:t xml:space="preserve"> the termination of</w:t>
      </w:r>
      <w:r w:rsidR="00981C6E">
        <w:t xml:space="preserve"> </w:t>
      </w:r>
      <w:r w:rsidRPr="00A90878">
        <w:t xml:space="preserve">this </w:t>
      </w:r>
      <w:r>
        <w:t xml:space="preserve">agreement, provided that </w:t>
      </w:r>
      <w:r w:rsidR="00077388">
        <w:t>the first party’s</w:t>
      </w:r>
      <w:r>
        <w:t xml:space="preserve"> aggregate liability under this paragraph </w:t>
      </w:r>
      <w:r w:rsidR="00696B70">
        <w:fldChar w:fldCharType="begin"/>
      </w:r>
      <w:r w:rsidR="00696B70">
        <w:instrText xml:space="preserve"> REF _Ref108021076 \n \h </w:instrText>
      </w:r>
      <w:r w:rsidR="00696B70">
        <w:fldChar w:fldCharType="separate"/>
      </w:r>
      <w:r w:rsidR="002E5C6A">
        <w:t>(c)</w:t>
      </w:r>
      <w:r w:rsidR="00696B70">
        <w:fldChar w:fldCharType="end"/>
      </w:r>
      <w:r w:rsidR="00696B70">
        <w:t xml:space="preserve"> </w:t>
      </w:r>
      <w:r>
        <w:t xml:space="preserve">will not exceed an </w:t>
      </w:r>
      <w:r w:rsidRPr="00D03E39">
        <w:t xml:space="preserve">amount equal to </w:t>
      </w:r>
      <w:r w:rsidR="00F813B4">
        <w:t xml:space="preserve">what </w:t>
      </w:r>
      <w:r w:rsidRPr="00D03E39">
        <w:t xml:space="preserve">the </w:t>
      </w:r>
      <w:r w:rsidR="00077388" w:rsidRPr="00D03E39">
        <w:t>relevant Termination Payment</w:t>
      </w:r>
      <w:r w:rsidR="00F813B4">
        <w:t xml:space="preserve"> would have been had it not been found to be void or unenforceable</w:t>
      </w:r>
      <w:r w:rsidR="00066210" w:rsidRPr="00D03E39">
        <w:t>.</w:t>
      </w:r>
      <w:bookmarkEnd w:id="4546"/>
    </w:p>
    <w:p w14:paraId="49729BF8" w14:textId="2D726985" w:rsidR="00F813B4" w:rsidRPr="00D03E39" w:rsidRDefault="00F813B4" w:rsidP="0076796C">
      <w:pPr>
        <w:pStyle w:val="Heading3"/>
        <w:keepNext/>
      </w:pPr>
      <w:r>
        <w:t xml:space="preserve">For clarity, no Termination Payment is payable other than as set out in this clause </w:t>
      </w:r>
      <w:r>
        <w:fldChar w:fldCharType="begin"/>
      </w:r>
      <w:r>
        <w:instrText xml:space="preserve"> REF _Ref104299112 \w \h </w:instrText>
      </w:r>
      <w:r>
        <w:fldChar w:fldCharType="separate"/>
      </w:r>
      <w:r w:rsidR="002E5C6A">
        <w:t>22.5</w:t>
      </w:r>
      <w:r>
        <w:fldChar w:fldCharType="end"/>
      </w:r>
      <w:r>
        <w:t>.</w:t>
      </w:r>
    </w:p>
    <w:p w14:paraId="25769762" w14:textId="77777777" w:rsidR="00790CC0" w:rsidRPr="00D03E39" w:rsidRDefault="2C388DF0" w:rsidP="0058045D">
      <w:pPr>
        <w:pStyle w:val="Heading2"/>
      </w:pPr>
      <w:bookmarkStart w:id="4549" w:name="_Ref447188147"/>
      <w:bookmarkStart w:id="4550" w:name="_Toc481320559"/>
      <w:bookmarkStart w:id="4551" w:name="_Toc496030660"/>
      <w:bookmarkStart w:id="4552" w:name="_Toc515359051"/>
      <w:bookmarkStart w:id="4553" w:name="_Toc515470265"/>
      <w:bookmarkStart w:id="4554" w:name="_Toc207309675"/>
      <w:bookmarkEnd w:id="4547"/>
      <w:r w:rsidRPr="00D03E39">
        <w:t>Invoice</w:t>
      </w:r>
      <w:bookmarkEnd w:id="4549"/>
      <w:bookmarkEnd w:id="4550"/>
      <w:bookmarkEnd w:id="4551"/>
      <w:bookmarkEnd w:id="4552"/>
      <w:bookmarkEnd w:id="4553"/>
      <w:bookmarkEnd w:id="4554"/>
    </w:p>
    <w:p w14:paraId="519A45B8" w14:textId="516C648C" w:rsidR="00790CC0" w:rsidRPr="00110D4F" w:rsidRDefault="00790CC0" w:rsidP="008C038D">
      <w:pPr>
        <w:pStyle w:val="Heading3"/>
      </w:pPr>
      <w:bookmarkStart w:id="4555" w:name="_Ref447102078"/>
      <w:bookmarkStart w:id="4556" w:name="_Toc515359052"/>
      <w:r w:rsidRPr="00110D4F">
        <w:t xml:space="preserve">The </w:t>
      </w:r>
      <w:r w:rsidR="00BB4C9A" w:rsidRPr="00110D4F">
        <w:t xml:space="preserve">party entitled to be paid a Termination Payment </w:t>
      </w:r>
      <w:r w:rsidRPr="00110D4F">
        <w:t xml:space="preserve">must provide an invoice to the </w:t>
      </w:r>
      <w:r w:rsidR="00BB4C9A" w:rsidRPr="00110D4F">
        <w:t xml:space="preserve">other party </w:t>
      </w:r>
      <w:r w:rsidR="00F1679D">
        <w:t>in the amount of</w:t>
      </w:r>
      <w:r w:rsidR="00F1679D" w:rsidRPr="00110D4F">
        <w:t xml:space="preserve"> </w:t>
      </w:r>
      <w:r w:rsidRPr="00110D4F">
        <w:t xml:space="preserve">the </w:t>
      </w:r>
      <w:r w:rsidR="00F1679D">
        <w:t xml:space="preserve">applicable </w:t>
      </w:r>
      <w:r w:rsidR="00BB4C9A" w:rsidRPr="00110D4F">
        <w:t xml:space="preserve">Termination Payment </w:t>
      </w:r>
      <w:r w:rsidRPr="00110D4F">
        <w:t xml:space="preserve">within 60 Business Days </w:t>
      </w:r>
      <w:r w:rsidR="00FE6B67" w:rsidRPr="00110D4F">
        <w:t>after</w:t>
      </w:r>
      <w:r w:rsidR="00FE6B67" w:rsidRPr="00110D4F" w:rsidDel="004F23C9">
        <w:t xml:space="preserve"> </w:t>
      </w:r>
      <w:r w:rsidRPr="00110D4F">
        <w:t>termination of this agreement</w:t>
      </w:r>
      <w:r w:rsidR="00AA3058">
        <w:t xml:space="preserve">, provided </w:t>
      </w:r>
      <w:r w:rsidR="00F1679D">
        <w:t xml:space="preserve">that </w:t>
      </w:r>
      <w:r w:rsidR="00AA3058">
        <w:t>whe</w:t>
      </w:r>
      <w:r w:rsidR="00F1679D">
        <w:t>n</w:t>
      </w:r>
      <w:r w:rsidR="00AA3058">
        <w:t xml:space="preserve"> the party </w:t>
      </w:r>
      <w:r w:rsidR="00F1679D">
        <w:t>that</w:t>
      </w:r>
      <w:r w:rsidR="00AA3058">
        <w:t xml:space="preserve"> has the obligation to pay the Termination Payment is Project Operator, the Commonwealth will not be obliged to provide that invoice until the later of that 60</w:t>
      </w:r>
      <w:r w:rsidR="00F1679D">
        <w:t> </w:t>
      </w:r>
      <w:r w:rsidR="00AA3058">
        <w:t>Business Day period and 40 Business Days after the date on which the Commonwealth has received information requested from Project Operator</w:t>
      </w:r>
      <w:r w:rsidR="00AA3058" w:rsidDel="00254642">
        <w:t xml:space="preserve"> </w:t>
      </w:r>
      <w:r w:rsidR="00AA3058">
        <w:t xml:space="preserve">pursuant to clause </w:t>
      </w:r>
      <w:r w:rsidR="00AA3058">
        <w:fldChar w:fldCharType="begin"/>
      </w:r>
      <w:r w:rsidR="00AA3058">
        <w:instrText xml:space="preserve"> REF _Ref171428636 \w \h </w:instrText>
      </w:r>
      <w:r w:rsidR="00AA3058">
        <w:fldChar w:fldCharType="separate"/>
      </w:r>
      <w:r w:rsidR="002E5C6A">
        <w:t>16.1(b)(ii)</w:t>
      </w:r>
      <w:r w:rsidR="00AA3058">
        <w:fldChar w:fldCharType="end"/>
      </w:r>
      <w:r w:rsidR="00A0771D" w:rsidRPr="00110D4F">
        <w:t>.</w:t>
      </w:r>
      <w:bookmarkEnd w:id="4555"/>
      <w:bookmarkEnd w:id="4556"/>
    </w:p>
    <w:p w14:paraId="267189C0" w14:textId="0C8A64AF" w:rsidR="000B051E" w:rsidRPr="00E07046" w:rsidRDefault="2C388DF0" w:rsidP="0058045D">
      <w:pPr>
        <w:pStyle w:val="Heading3"/>
      </w:pPr>
      <w:bookmarkStart w:id="4557" w:name="_Toc515359053"/>
      <w:r>
        <w:t>The party required to pay a Termination Payment must pay the amount of any such Termination Payment within 30 Business Days after receipt of an invoice</w:t>
      </w:r>
      <w:r w:rsidR="00254642">
        <w:t xml:space="preserve"> properly</w:t>
      </w:r>
      <w:r>
        <w:t xml:space="preserve"> provided under paragraph </w:t>
      </w:r>
      <w:r w:rsidR="00790CC0">
        <w:fldChar w:fldCharType="begin"/>
      </w:r>
      <w:r w:rsidR="00790CC0">
        <w:instrText xml:space="preserve"> REF _Ref447102078 \n \h </w:instrText>
      </w:r>
      <w:r w:rsidR="00790CC0">
        <w:fldChar w:fldCharType="separate"/>
      </w:r>
      <w:r w:rsidR="002E5C6A">
        <w:t>(a)</w:t>
      </w:r>
      <w:r w:rsidR="00790CC0">
        <w:fldChar w:fldCharType="end"/>
      </w:r>
      <w:r>
        <w:t>.</w:t>
      </w:r>
      <w:bookmarkEnd w:id="4557"/>
    </w:p>
    <w:p w14:paraId="6CBE3F6C" w14:textId="77777777" w:rsidR="00B1487C" w:rsidRDefault="2C388DF0" w:rsidP="0058045D">
      <w:pPr>
        <w:pStyle w:val="Heading2"/>
      </w:pPr>
      <w:bookmarkStart w:id="4558" w:name="_Toc94798354"/>
      <w:bookmarkStart w:id="4559" w:name="_Toc94872280"/>
      <w:bookmarkStart w:id="4560" w:name="_Toc94885559"/>
      <w:bookmarkStart w:id="4561" w:name="_Toc94885994"/>
      <w:bookmarkStart w:id="4562" w:name="_Toc94886439"/>
      <w:bookmarkStart w:id="4563" w:name="_Toc99723565"/>
      <w:bookmarkStart w:id="4564" w:name="_Toc94798355"/>
      <w:bookmarkStart w:id="4565" w:name="_Toc94872281"/>
      <w:bookmarkStart w:id="4566" w:name="_Toc94885560"/>
      <w:bookmarkStart w:id="4567" w:name="_Toc94885995"/>
      <w:bookmarkStart w:id="4568" w:name="_Toc94886440"/>
      <w:bookmarkStart w:id="4569" w:name="_Toc99723566"/>
      <w:bookmarkStart w:id="4570" w:name="_Toc94798356"/>
      <w:bookmarkStart w:id="4571" w:name="_Toc94872282"/>
      <w:bookmarkStart w:id="4572" w:name="_Toc94885561"/>
      <w:bookmarkStart w:id="4573" w:name="_Toc94885996"/>
      <w:bookmarkStart w:id="4574" w:name="_Toc94886441"/>
      <w:bookmarkStart w:id="4575" w:name="_Toc99723567"/>
      <w:bookmarkStart w:id="4576" w:name="_Toc376979509"/>
      <w:bookmarkStart w:id="4577" w:name="_Toc376979510"/>
      <w:bookmarkStart w:id="4578" w:name="_Toc376979511"/>
      <w:bookmarkStart w:id="4579" w:name="_Toc376979512"/>
      <w:bookmarkStart w:id="4580" w:name="_Toc492504838"/>
      <w:bookmarkStart w:id="4581" w:name="_Toc515359057"/>
      <w:bookmarkStart w:id="4582" w:name="_Toc515470267"/>
      <w:bookmarkStart w:id="4583" w:name="_Toc207309676"/>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r>
        <w:t>Preservation of rights</w:t>
      </w:r>
      <w:bookmarkEnd w:id="4580"/>
      <w:bookmarkEnd w:id="4581"/>
      <w:bookmarkEnd w:id="4582"/>
      <w:bookmarkEnd w:id="4583"/>
      <w:r>
        <w:t xml:space="preserve"> </w:t>
      </w:r>
    </w:p>
    <w:p w14:paraId="599406AC" w14:textId="77777777" w:rsidR="00B1487C" w:rsidRDefault="00B1487C" w:rsidP="00706F65">
      <w:pPr>
        <w:pStyle w:val="Indent2"/>
      </w:pPr>
      <w:r>
        <w:t xml:space="preserve">Termination or expiry of </w:t>
      </w:r>
      <w:r w:rsidR="00A219A6">
        <w:t xml:space="preserve">this </w:t>
      </w:r>
      <w:r w:rsidR="008D7B01">
        <w:t>agreement</w:t>
      </w:r>
      <w:r>
        <w:t xml:space="preserve"> for any reason will not extinguish or otherwise affect any rights of either </w:t>
      </w:r>
      <w:r w:rsidR="007310E6">
        <w:t>party</w:t>
      </w:r>
      <w:r>
        <w:t xml:space="preserve"> against the other </w:t>
      </w:r>
      <w:r w:rsidR="007310E6">
        <w:t>party</w:t>
      </w:r>
      <w:r>
        <w:t xml:space="preserve"> that:</w:t>
      </w:r>
    </w:p>
    <w:p w14:paraId="1ED0D8D1" w14:textId="5C0E2DDE" w:rsidR="00B1487C" w:rsidRDefault="2C388DF0" w:rsidP="0058045D">
      <w:pPr>
        <w:pStyle w:val="Heading3"/>
      </w:pPr>
      <w:bookmarkStart w:id="4584" w:name="_Toc515359058"/>
      <w:r>
        <w:t xml:space="preserve">accrued before the time of such termination or expiry; </w:t>
      </w:r>
      <w:bookmarkEnd w:id="4584"/>
    </w:p>
    <w:p w14:paraId="2DFD4160" w14:textId="2DB3FFB1" w:rsidR="00F1679D" w:rsidRDefault="2C388DF0" w:rsidP="0058045D">
      <w:pPr>
        <w:pStyle w:val="Heading3"/>
      </w:pPr>
      <w:bookmarkStart w:id="4585" w:name="_Toc515359059"/>
      <w:r>
        <w:t>relate to or may arise at any future time from any breach or non-observance of obligations under this agreement that arose prior to the date of such termination or expiry</w:t>
      </w:r>
      <w:r w:rsidR="00F1679D">
        <w:t>; or</w:t>
      </w:r>
    </w:p>
    <w:p w14:paraId="4D1A85B8" w14:textId="5D2DDED5" w:rsidR="00B1487C" w:rsidRDefault="00F1679D" w:rsidP="0058045D">
      <w:pPr>
        <w:pStyle w:val="Heading3"/>
      </w:pPr>
      <w:r>
        <w:t>do not relate to this agreement or the Project</w:t>
      </w:r>
      <w:r w:rsidR="2C388DF0">
        <w:t>.</w:t>
      </w:r>
      <w:bookmarkEnd w:id="4585"/>
    </w:p>
    <w:p w14:paraId="0D88BBBD" w14:textId="77777777" w:rsidR="00581375" w:rsidRDefault="00581375" w:rsidP="000D44B7">
      <w:pPr>
        <w:pStyle w:val="Heading2"/>
      </w:pPr>
      <w:bookmarkStart w:id="4586" w:name="_Toc207309677"/>
      <w:r>
        <w:t>Exclusion of rights</w:t>
      </w:r>
      <w:bookmarkEnd w:id="4586"/>
    </w:p>
    <w:p w14:paraId="5196F79C" w14:textId="77777777" w:rsidR="00581375" w:rsidRDefault="00581375" w:rsidP="00581375">
      <w:pPr>
        <w:pStyle w:val="Indent2"/>
      </w:pPr>
      <w:bookmarkStart w:id="4587" w:name="_Hlk114580549"/>
      <w:r>
        <w:t>The parties agree that any common law terminat</w:t>
      </w:r>
      <w:r w:rsidR="009C38CE">
        <w:t xml:space="preserve">ion rights are </w:t>
      </w:r>
      <w:r>
        <w:t>excluded.</w:t>
      </w:r>
    </w:p>
    <w:p w14:paraId="27A5ED1F" w14:textId="77777777" w:rsidR="00A95A42" w:rsidRDefault="2C388DF0" w:rsidP="000D44B7">
      <w:pPr>
        <w:pStyle w:val="Heading2"/>
      </w:pPr>
      <w:bookmarkStart w:id="4588" w:name="_Ref205751769"/>
      <w:bookmarkStart w:id="4589" w:name="_Toc207309678"/>
      <w:bookmarkEnd w:id="4587"/>
      <w:r>
        <w:t>Survival</w:t>
      </w:r>
      <w:bookmarkEnd w:id="4588"/>
      <w:bookmarkEnd w:id="4589"/>
    </w:p>
    <w:p w14:paraId="238682C0" w14:textId="77777777" w:rsidR="00D85C68" w:rsidRDefault="00D85C68" w:rsidP="001A50E1">
      <w:pPr>
        <w:pStyle w:val="Indent2"/>
        <w:keepNext/>
      </w:pPr>
      <w:r>
        <w:t xml:space="preserve">Each of the following will survive the expiry or termination of this agreement: </w:t>
      </w:r>
    </w:p>
    <w:p w14:paraId="09B30B10" w14:textId="2430A253" w:rsidR="00D628F8" w:rsidRDefault="2C388DF0" w:rsidP="0058045D">
      <w:pPr>
        <w:pStyle w:val="Heading3"/>
      </w:pPr>
      <w:r>
        <w:t xml:space="preserve">this clause </w:t>
      </w:r>
      <w:r w:rsidR="00D85C68">
        <w:fldChar w:fldCharType="begin"/>
      </w:r>
      <w:r w:rsidR="00D85C68">
        <w:instrText xml:space="preserve"> REF _Ref104395283 \r \h </w:instrText>
      </w:r>
      <w:r w:rsidR="00D85C68">
        <w:fldChar w:fldCharType="separate"/>
      </w:r>
      <w:r w:rsidR="002E5C6A">
        <w:t>22</w:t>
      </w:r>
      <w:r w:rsidR="00D85C68">
        <w:fldChar w:fldCharType="end"/>
      </w:r>
      <w:r w:rsidR="00983985">
        <w:t xml:space="preserve"> (“</w:t>
      </w:r>
      <w:r w:rsidR="00983985">
        <w:fldChar w:fldCharType="begin"/>
      </w:r>
      <w:r w:rsidR="00983985">
        <w:instrText xml:space="preserve"> REF _Ref204188847 \h </w:instrText>
      </w:r>
      <w:r w:rsidR="00983985">
        <w:fldChar w:fldCharType="separate"/>
      </w:r>
      <w:r w:rsidR="002E5C6A">
        <w:t>Default and Termination</w:t>
      </w:r>
      <w:r w:rsidR="00983985">
        <w:fldChar w:fldCharType="end"/>
      </w:r>
      <w:r w:rsidR="00983985">
        <w:t>”)</w:t>
      </w:r>
      <w:r w:rsidR="00D628F8">
        <w:t>;</w:t>
      </w:r>
      <w:r>
        <w:t xml:space="preserve"> </w:t>
      </w:r>
    </w:p>
    <w:p w14:paraId="0F8DA1A4" w14:textId="37B1BE88" w:rsidR="00D628F8" w:rsidRDefault="2C388DF0" w:rsidP="0058045D">
      <w:pPr>
        <w:pStyle w:val="Heading3"/>
      </w:pPr>
      <w:r>
        <w:t>clause</w:t>
      </w:r>
      <w:r w:rsidR="00923D0D">
        <w:t xml:space="preserve"> </w:t>
      </w:r>
      <w:r w:rsidR="00923D0D">
        <w:fldChar w:fldCharType="begin"/>
      </w:r>
      <w:r w:rsidR="00923D0D">
        <w:instrText xml:space="preserve"> REF _Ref99725148 \r \h </w:instrText>
      </w:r>
      <w:r w:rsidR="00923D0D">
        <w:fldChar w:fldCharType="separate"/>
      </w:r>
      <w:r w:rsidR="002E5C6A">
        <w:t>3</w:t>
      </w:r>
      <w:r w:rsidR="00923D0D">
        <w:fldChar w:fldCharType="end"/>
      </w:r>
      <w:r w:rsidR="00923D0D">
        <w:t xml:space="preserve"> (“</w:t>
      </w:r>
      <w:r w:rsidR="00923D0D">
        <w:fldChar w:fldCharType="begin"/>
      </w:r>
      <w:r w:rsidR="00923D0D">
        <w:instrText xml:space="preserve"> REF _Ref99725148 \h </w:instrText>
      </w:r>
      <w:r w:rsidR="00923D0D">
        <w:fldChar w:fldCharType="separate"/>
      </w:r>
      <w:r w:rsidR="002E5C6A">
        <w:t>Performance Security</w:t>
      </w:r>
      <w:r w:rsidR="00923D0D">
        <w:fldChar w:fldCharType="end"/>
      </w:r>
      <w:r w:rsidR="00923D0D">
        <w:t>”)</w:t>
      </w:r>
      <w:r w:rsidR="00D628F8">
        <w:t>;</w:t>
      </w:r>
      <w:r w:rsidR="00923D0D">
        <w:t xml:space="preserve"> </w:t>
      </w:r>
    </w:p>
    <w:p w14:paraId="5D8D76FD" w14:textId="38D3C371" w:rsidR="00D628F8" w:rsidRDefault="00D628F8" w:rsidP="0058045D">
      <w:pPr>
        <w:pStyle w:val="Heading3"/>
      </w:pPr>
      <w:r>
        <w:t xml:space="preserve">clause </w:t>
      </w:r>
      <w:r w:rsidR="00923D0D">
        <w:fldChar w:fldCharType="begin"/>
      </w:r>
      <w:r w:rsidR="00923D0D">
        <w:instrText xml:space="preserve"> REF _Ref159345993 \r \h </w:instrText>
      </w:r>
      <w:r w:rsidR="00923D0D">
        <w:fldChar w:fldCharType="separate"/>
      </w:r>
      <w:r w:rsidR="002E5C6A">
        <w:t>9</w:t>
      </w:r>
      <w:r w:rsidR="00923D0D">
        <w:fldChar w:fldCharType="end"/>
      </w:r>
      <w:r w:rsidR="00923D0D">
        <w:t xml:space="preserve"> (“</w:t>
      </w:r>
      <w:r w:rsidR="00923D0D">
        <w:fldChar w:fldCharType="begin"/>
      </w:r>
      <w:r w:rsidR="00923D0D">
        <w:instrText xml:space="preserve"> REF _Ref159345993 \h </w:instrText>
      </w:r>
      <w:r w:rsidR="00923D0D">
        <w:fldChar w:fldCharType="separate"/>
      </w:r>
      <w:r w:rsidR="002E5C6A" w:rsidRPr="00847C21">
        <w:t>Insurance</w:t>
      </w:r>
      <w:r w:rsidR="00923D0D">
        <w:fldChar w:fldCharType="end"/>
      </w:r>
      <w:r w:rsidR="00923D0D">
        <w:t>”)</w:t>
      </w:r>
      <w:r>
        <w:t>;</w:t>
      </w:r>
      <w:r w:rsidR="00923D0D">
        <w:t xml:space="preserve"> </w:t>
      </w:r>
    </w:p>
    <w:p w14:paraId="7FEE55A8" w14:textId="54B79A16" w:rsidR="00D628F8" w:rsidRDefault="00D628F8" w:rsidP="0058045D">
      <w:pPr>
        <w:pStyle w:val="Heading3"/>
      </w:pPr>
      <w:r>
        <w:t xml:space="preserve">clause </w:t>
      </w:r>
      <w:r w:rsidR="00923D0D">
        <w:fldChar w:fldCharType="begin"/>
      </w:r>
      <w:r w:rsidR="00923D0D">
        <w:instrText xml:space="preserve"> REF _Ref199427283 \r \h </w:instrText>
      </w:r>
      <w:r w:rsidR="00923D0D">
        <w:fldChar w:fldCharType="separate"/>
      </w:r>
      <w:r w:rsidR="002E5C6A">
        <w:t>11</w:t>
      </w:r>
      <w:r w:rsidR="00923D0D">
        <w:fldChar w:fldCharType="end"/>
      </w:r>
      <w:r w:rsidR="00923D0D">
        <w:t xml:space="preserve"> (“</w:t>
      </w:r>
      <w:r w:rsidR="00923D0D">
        <w:fldChar w:fldCharType="begin"/>
      </w:r>
      <w:r w:rsidR="00923D0D">
        <w:instrText xml:space="preserve"> REF _Ref199427383 \h </w:instrText>
      </w:r>
      <w:r w:rsidR="00923D0D">
        <w:fldChar w:fldCharType="separate"/>
      </w:r>
      <w:r w:rsidR="002E5C6A" w:rsidRPr="002528B3">
        <w:t>Social Licence Commitments</w:t>
      </w:r>
      <w:r w:rsidR="00923D0D">
        <w:fldChar w:fldCharType="end"/>
      </w:r>
      <w:r w:rsidR="00923D0D">
        <w:t>”)</w:t>
      </w:r>
      <w:r>
        <w:t>;</w:t>
      </w:r>
      <w:r w:rsidR="00923D0D">
        <w:t xml:space="preserve"> </w:t>
      </w:r>
    </w:p>
    <w:p w14:paraId="6C355A6C" w14:textId="6BFAB17C" w:rsidR="00D628F8" w:rsidRDefault="00D628F8" w:rsidP="0058045D">
      <w:pPr>
        <w:pStyle w:val="Heading3"/>
      </w:pPr>
      <w:r>
        <w:t xml:space="preserve">clause </w:t>
      </w:r>
      <w:r w:rsidR="00D85C68">
        <w:fldChar w:fldCharType="begin"/>
      </w:r>
      <w:r w:rsidR="00D85C68">
        <w:instrText xml:space="preserve"> REF _Ref492560922 \n \h </w:instrText>
      </w:r>
      <w:r w:rsidR="00D85C68">
        <w:fldChar w:fldCharType="separate"/>
      </w:r>
      <w:r w:rsidR="002E5C6A">
        <w:t>24</w:t>
      </w:r>
      <w:r w:rsidR="00D85C68">
        <w:fldChar w:fldCharType="end"/>
      </w:r>
      <w:r w:rsidR="2C388DF0">
        <w:t xml:space="preserve"> (“</w:t>
      </w:r>
      <w:r w:rsidR="00D85C68">
        <w:fldChar w:fldCharType="begin"/>
      </w:r>
      <w:r w:rsidR="00D85C68">
        <w:instrText xml:space="preserve"> REF _Ref492560922 \h </w:instrText>
      </w:r>
      <w:r w:rsidR="00D85C68">
        <w:fldChar w:fldCharType="separate"/>
      </w:r>
      <w:r w:rsidR="002E5C6A">
        <w:t>Liability</w:t>
      </w:r>
      <w:r w:rsidR="00D85C68">
        <w:fldChar w:fldCharType="end"/>
      </w:r>
      <w:r w:rsidR="2C388DF0">
        <w:t>”)</w:t>
      </w:r>
      <w:r>
        <w:t>;</w:t>
      </w:r>
      <w:r w:rsidR="2C388DF0">
        <w:t xml:space="preserve"> </w:t>
      </w:r>
    </w:p>
    <w:p w14:paraId="627FE9EB" w14:textId="6D472A9A" w:rsidR="00D628F8" w:rsidRDefault="00D628F8" w:rsidP="0058045D">
      <w:pPr>
        <w:pStyle w:val="Heading3"/>
      </w:pPr>
      <w:r>
        <w:t xml:space="preserve">clause </w:t>
      </w:r>
      <w:r w:rsidR="00D85C68">
        <w:fldChar w:fldCharType="begin"/>
      </w:r>
      <w:r w:rsidR="00D85C68">
        <w:instrText xml:space="preserve"> REF _Ref467517745 \w \h </w:instrText>
      </w:r>
      <w:r w:rsidR="00D85C68">
        <w:fldChar w:fldCharType="separate"/>
      </w:r>
      <w:r w:rsidR="002E5C6A">
        <w:t>27</w:t>
      </w:r>
      <w:r w:rsidR="00D85C68">
        <w:fldChar w:fldCharType="end"/>
      </w:r>
      <w:r w:rsidR="2C388DF0">
        <w:t xml:space="preserve"> (“</w:t>
      </w:r>
      <w:r w:rsidR="00D85C68">
        <w:fldChar w:fldCharType="begin"/>
      </w:r>
      <w:r w:rsidR="00D85C68">
        <w:instrText xml:space="preserve"> REF _Ref467517745 \h </w:instrText>
      </w:r>
      <w:r w:rsidR="00D85C68">
        <w:fldChar w:fldCharType="separate"/>
      </w:r>
      <w:r w:rsidR="002E5C6A">
        <w:t>Dispute Resolution</w:t>
      </w:r>
      <w:r w:rsidR="00D85C68">
        <w:fldChar w:fldCharType="end"/>
      </w:r>
      <w:r w:rsidR="2C388DF0">
        <w:t>”)</w:t>
      </w:r>
      <w:r>
        <w:t>;</w:t>
      </w:r>
      <w:r w:rsidR="2C388DF0">
        <w:t xml:space="preserve"> </w:t>
      </w:r>
    </w:p>
    <w:p w14:paraId="7CD86DE0" w14:textId="1DE0A3AC" w:rsidR="00983985" w:rsidRDefault="00D628F8" w:rsidP="0058045D">
      <w:pPr>
        <w:pStyle w:val="Heading3"/>
      </w:pPr>
      <w:r>
        <w:t xml:space="preserve">clause </w:t>
      </w:r>
      <w:r w:rsidR="00D85C68">
        <w:fldChar w:fldCharType="begin"/>
      </w:r>
      <w:r w:rsidR="00D85C68">
        <w:instrText xml:space="preserve"> REF _Ref159503769 \w \h </w:instrText>
      </w:r>
      <w:r w:rsidR="00D85C68">
        <w:fldChar w:fldCharType="separate"/>
      </w:r>
      <w:r w:rsidR="002E5C6A">
        <w:t>29</w:t>
      </w:r>
      <w:r w:rsidR="00D85C68">
        <w:fldChar w:fldCharType="end"/>
      </w:r>
      <w:r w:rsidR="00F1679D">
        <w:t> </w:t>
      </w:r>
      <w:r w:rsidR="2C388DF0">
        <w:t>(“</w:t>
      </w:r>
      <w:r w:rsidR="00D85C68">
        <w:fldChar w:fldCharType="begin"/>
      </w:r>
      <w:r w:rsidR="00D85C68">
        <w:instrText xml:space="preserve">  REF _Ref159503769 \h </w:instrText>
      </w:r>
      <w:r w:rsidR="00D85C68">
        <w:fldChar w:fldCharType="separate"/>
      </w:r>
      <w:r w:rsidR="002E5C6A">
        <w:t>Intellectual Property</w:t>
      </w:r>
      <w:r w:rsidR="00D85C68">
        <w:fldChar w:fldCharType="end"/>
      </w:r>
      <w:r w:rsidR="2C388DF0">
        <w:t>”)</w:t>
      </w:r>
      <w:r>
        <w:t>;</w:t>
      </w:r>
      <w:r w:rsidR="2C388DF0">
        <w:t xml:space="preserve"> </w:t>
      </w:r>
    </w:p>
    <w:p w14:paraId="36CF8E29" w14:textId="384B4ACA" w:rsidR="00983985" w:rsidRDefault="00983985" w:rsidP="0058045D">
      <w:pPr>
        <w:pStyle w:val="Heading3"/>
      </w:pPr>
      <w:r>
        <w:t xml:space="preserve">clause </w:t>
      </w:r>
      <w:r w:rsidR="00D85C68">
        <w:fldChar w:fldCharType="begin"/>
      </w:r>
      <w:r w:rsidR="00D85C68">
        <w:instrText xml:space="preserve"> REF _Ref492506863 \n \h </w:instrText>
      </w:r>
      <w:r w:rsidR="00D85C68">
        <w:fldChar w:fldCharType="separate"/>
      </w:r>
      <w:r w:rsidR="002E5C6A">
        <w:t>31</w:t>
      </w:r>
      <w:r w:rsidR="00D85C68">
        <w:fldChar w:fldCharType="end"/>
      </w:r>
      <w:bookmarkStart w:id="4590" w:name="_Hlk106207647"/>
      <w:r w:rsidR="2C388DF0">
        <w:t xml:space="preserve"> (“</w:t>
      </w:r>
      <w:r w:rsidR="00D85C68">
        <w:fldChar w:fldCharType="begin"/>
      </w:r>
      <w:r w:rsidR="00D85C68">
        <w:instrText xml:space="preserve"> REF _Ref492506863 \h </w:instrText>
      </w:r>
      <w:r w:rsidR="00D85C68">
        <w:fldChar w:fldCharType="separate"/>
      </w:r>
      <w:r w:rsidR="002E5C6A">
        <w:t>Confidentiality</w:t>
      </w:r>
      <w:r w:rsidR="00D85C68">
        <w:fldChar w:fldCharType="end"/>
      </w:r>
      <w:r w:rsidR="2C388DF0">
        <w:t>”)</w:t>
      </w:r>
      <w:r>
        <w:t>;</w:t>
      </w:r>
      <w:r w:rsidR="2C388DF0">
        <w:t xml:space="preserve"> </w:t>
      </w:r>
    </w:p>
    <w:p w14:paraId="7CB983C8" w14:textId="67B43EAA" w:rsidR="00983985" w:rsidRDefault="00983985" w:rsidP="0058045D">
      <w:pPr>
        <w:pStyle w:val="Heading3"/>
      </w:pPr>
      <w:r>
        <w:t xml:space="preserve">clause </w:t>
      </w:r>
      <w:r w:rsidR="00D85C68">
        <w:fldChar w:fldCharType="begin"/>
      </w:r>
      <w:r w:rsidR="00D85C68">
        <w:instrText xml:space="preserve"> REF _Ref151264050 \w \h </w:instrText>
      </w:r>
      <w:r w:rsidR="00D85C68">
        <w:fldChar w:fldCharType="separate"/>
      </w:r>
      <w:r w:rsidR="002E5C6A">
        <w:t>32</w:t>
      </w:r>
      <w:r w:rsidR="00D85C68">
        <w:fldChar w:fldCharType="end"/>
      </w:r>
      <w:r w:rsidR="2C388DF0">
        <w:t xml:space="preserve"> (“</w:t>
      </w:r>
      <w:r w:rsidR="00D85C68">
        <w:fldChar w:fldCharType="begin"/>
      </w:r>
      <w:r w:rsidR="00D85C68">
        <w:instrText xml:space="preserve">  REF _Ref151264050 \h </w:instrText>
      </w:r>
      <w:r w:rsidR="00D85C68">
        <w:fldChar w:fldCharType="separate"/>
      </w:r>
      <w:r w:rsidR="002E5C6A">
        <w:t>Access, records and reporting</w:t>
      </w:r>
      <w:r w:rsidR="00D85C68">
        <w:fldChar w:fldCharType="end"/>
      </w:r>
      <w:r w:rsidR="2C388DF0">
        <w:t>”)</w:t>
      </w:r>
      <w:r>
        <w:t>;</w:t>
      </w:r>
      <w:r w:rsidR="00923D0D">
        <w:t xml:space="preserve"> </w:t>
      </w:r>
    </w:p>
    <w:p w14:paraId="0F7BA9E9" w14:textId="00A98E6C" w:rsidR="00983985" w:rsidRDefault="00983985" w:rsidP="0058045D">
      <w:pPr>
        <w:pStyle w:val="Heading3"/>
      </w:pPr>
      <w:r>
        <w:t xml:space="preserve">clause </w:t>
      </w:r>
      <w:r w:rsidR="00923D0D">
        <w:fldChar w:fldCharType="begin"/>
      </w:r>
      <w:r w:rsidR="00923D0D">
        <w:instrText xml:space="preserve"> REF _Ref199427298 \r \h </w:instrText>
      </w:r>
      <w:r w:rsidR="00923D0D">
        <w:fldChar w:fldCharType="separate"/>
      </w:r>
      <w:r w:rsidR="002E5C6A">
        <w:t>33</w:t>
      </w:r>
      <w:r w:rsidR="00923D0D">
        <w:fldChar w:fldCharType="end"/>
      </w:r>
      <w:r w:rsidR="00923D0D">
        <w:t xml:space="preserve"> (</w:t>
      </w:r>
      <w:r w:rsidR="00E10917">
        <w:t>“</w:t>
      </w:r>
      <w:r w:rsidR="00923D0D">
        <w:fldChar w:fldCharType="begin"/>
      </w:r>
      <w:r w:rsidR="00923D0D">
        <w:instrText xml:space="preserve"> REF _Ref199427394 \h </w:instrText>
      </w:r>
      <w:r w:rsidR="00923D0D">
        <w:fldChar w:fldCharType="separate"/>
      </w:r>
      <w:r w:rsidR="002E5C6A">
        <w:t>Costs</w:t>
      </w:r>
      <w:r w:rsidR="00923D0D">
        <w:fldChar w:fldCharType="end"/>
      </w:r>
      <w:r w:rsidR="00923D0D">
        <w:t>”)</w:t>
      </w:r>
      <w:r>
        <w:t>;</w:t>
      </w:r>
    </w:p>
    <w:p w14:paraId="6D9DE25B" w14:textId="7C39711B" w:rsidR="00E10917" w:rsidRDefault="00E10917" w:rsidP="0058045D">
      <w:pPr>
        <w:pStyle w:val="Heading3"/>
      </w:pPr>
      <w:r>
        <w:fldChar w:fldCharType="begin"/>
      </w:r>
      <w:r>
        <w:instrText xml:space="preserve"> REF _Ref206066924 \w \h </w:instrText>
      </w:r>
      <w:r>
        <w:fldChar w:fldCharType="separate"/>
      </w:r>
      <w:r w:rsidR="002E5C6A">
        <w:t>Schedule 2</w:t>
      </w:r>
      <w:r>
        <w:fldChar w:fldCharType="end"/>
      </w:r>
      <w:r>
        <w:t xml:space="preserve"> (“</w:t>
      </w:r>
      <w:r>
        <w:fldChar w:fldCharType="begin"/>
      </w:r>
      <w:r>
        <w:instrText xml:space="preserve"> REF _Ref206066932 \h </w:instrText>
      </w:r>
      <w:r>
        <w:fldChar w:fldCharType="separate"/>
      </w:r>
      <w:r w:rsidR="002E5C6A" w:rsidRPr="00792B2E">
        <w:t>Social Licence Commitments</w:t>
      </w:r>
      <w:r>
        <w:fldChar w:fldCharType="end"/>
      </w:r>
      <w:r>
        <w:t>”);</w:t>
      </w:r>
    </w:p>
    <w:p w14:paraId="7A52B3F9" w14:textId="6AADC07F" w:rsidR="00D85C68" w:rsidRDefault="00923D0D" w:rsidP="0058045D">
      <w:pPr>
        <w:pStyle w:val="Heading3"/>
      </w:pPr>
      <w:r>
        <w:fldChar w:fldCharType="begin"/>
      </w:r>
      <w:r>
        <w:instrText xml:space="preserve"> REF _Ref108089453 \r \h </w:instrText>
      </w:r>
      <w:r>
        <w:fldChar w:fldCharType="separate"/>
      </w:r>
      <w:r w:rsidR="002E5C6A">
        <w:t>Schedule 5</w:t>
      </w:r>
      <w:r>
        <w:fldChar w:fldCharType="end"/>
      </w:r>
      <w:r>
        <w:t xml:space="preserve"> (“</w:t>
      </w:r>
      <w:r>
        <w:fldChar w:fldCharType="begin"/>
      </w:r>
      <w:r>
        <w:instrText xml:space="preserve"> REF _Ref108089453 \h </w:instrText>
      </w:r>
      <w:r>
        <w:fldChar w:fldCharType="separate"/>
      </w:r>
      <w:r w:rsidR="002E5C6A">
        <w:t xml:space="preserve">Fixed Termination </w:t>
      </w:r>
      <w:r w:rsidR="002E5C6A" w:rsidRPr="00983A30">
        <w:t>Amount and Early Termination</w:t>
      </w:r>
      <w:r w:rsidR="002E5C6A">
        <w:t xml:space="preserve"> Amount</w:t>
      </w:r>
      <w:r>
        <w:fldChar w:fldCharType="end"/>
      </w:r>
      <w:r>
        <w:t>”);</w:t>
      </w:r>
    </w:p>
    <w:p w14:paraId="5BF1EC95" w14:textId="03809DAC" w:rsidR="00983985" w:rsidRDefault="00983985" w:rsidP="0058045D">
      <w:pPr>
        <w:pStyle w:val="Heading3"/>
      </w:pPr>
      <w:r>
        <w:fldChar w:fldCharType="begin"/>
      </w:r>
      <w:r>
        <w:instrText xml:space="preserve"> REF _Ref159420596 \n \h </w:instrText>
      </w:r>
      <w:r>
        <w:fldChar w:fldCharType="separate"/>
      </w:r>
      <w:r w:rsidR="002E5C6A">
        <w:t>Schedule 6</w:t>
      </w:r>
      <w:r>
        <w:fldChar w:fldCharType="end"/>
      </w:r>
      <w:r>
        <w:t xml:space="preserve"> (“</w:t>
      </w:r>
      <w:r>
        <w:fldChar w:fldCharType="begin"/>
      </w:r>
      <w:r>
        <w:instrText xml:space="preserve"> REF _Ref159420596 \h </w:instrText>
      </w:r>
      <w:r>
        <w:fldChar w:fldCharType="separate"/>
      </w:r>
      <w:r w:rsidR="002E5C6A" w:rsidRPr="00991FDD">
        <w:t>Commonwealth Policy and Other Requirements</w:t>
      </w:r>
      <w:r>
        <w:fldChar w:fldCharType="end"/>
      </w:r>
      <w:r>
        <w:t xml:space="preserve">”) sections </w:t>
      </w:r>
      <w:r>
        <w:fldChar w:fldCharType="begin"/>
      </w:r>
      <w:r>
        <w:instrText xml:space="preserve"> REF _Ref151129325 \n \h </w:instrText>
      </w:r>
      <w:r>
        <w:fldChar w:fldCharType="separate"/>
      </w:r>
      <w:r w:rsidR="002E5C6A">
        <w:t>6</w:t>
      </w:r>
      <w:r>
        <w:fldChar w:fldCharType="end"/>
      </w:r>
      <w:r>
        <w:t xml:space="preserve"> (“</w:t>
      </w:r>
      <w:r>
        <w:fldChar w:fldCharType="begin"/>
      </w:r>
      <w:r>
        <w:instrText xml:space="preserve"> REF _Ref151129325 \h </w:instrText>
      </w:r>
      <w:r>
        <w:fldChar w:fldCharType="separate"/>
      </w:r>
      <w:r w:rsidR="002E5C6A">
        <w:t>Archives Act</w:t>
      </w:r>
      <w:r>
        <w:fldChar w:fldCharType="end"/>
      </w:r>
      <w:r>
        <w:t xml:space="preserve">”), </w:t>
      </w:r>
      <w:r>
        <w:fldChar w:fldCharType="begin"/>
      </w:r>
      <w:r>
        <w:instrText xml:space="preserve"> REF _Ref151130228 \n \h </w:instrText>
      </w:r>
      <w:r>
        <w:fldChar w:fldCharType="separate"/>
      </w:r>
      <w:r w:rsidR="002E5C6A">
        <w:t>7</w:t>
      </w:r>
      <w:r>
        <w:fldChar w:fldCharType="end"/>
      </w:r>
      <w:r>
        <w:t xml:space="preserve"> (“</w:t>
      </w:r>
      <w:r>
        <w:fldChar w:fldCharType="begin"/>
      </w:r>
      <w:r>
        <w:instrText xml:space="preserve"> REF _Ref151130228 \h </w:instrText>
      </w:r>
      <w:r>
        <w:fldChar w:fldCharType="separate"/>
      </w:r>
      <w:r w:rsidR="002E5C6A">
        <w:t>National Anti-Corruption Commission</w:t>
      </w:r>
      <w:r>
        <w:fldChar w:fldCharType="end"/>
      </w:r>
      <w:r>
        <w:t xml:space="preserve">”), </w:t>
      </w:r>
      <w:r>
        <w:fldChar w:fldCharType="begin"/>
      </w:r>
      <w:r>
        <w:instrText xml:space="preserve"> REF _Ref204188734 \n \h </w:instrText>
      </w:r>
      <w:r>
        <w:fldChar w:fldCharType="separate"/>
      </w:r>
      <w:r w:rsidR="002E5C6A">
        <w:t>8</w:t>
      </w:r>
      <w:r>
        <w:fldChar w:fldCharType="end"/>
      </w:r>
      <w:r>
        <w:t xml:space="preserve"> (“</w:t>
      </w:r>
      <w:r>
        <w:fldChar w:fldCharType="begin"/>
      </w:r>
      <w:r>
        <w:instrText xml:space="preserve"> REF _Ref204188740 \h </w:instrText>
      </w:r>
      <w:r>
        <w:fldChar w:fldCharType="separate"/>
      </w:r>
      <w:r w:rsidR="002E5C6A">
        <w:t>Public Interest Disclosure</w:t>
      </w:r>
      <w:r>
        <w:fldChar w:fldCharType="end"/>
      </w:r>
      <w:r>
        <w:t xml:space="preserve">”), </w:t>
      </w:r>
      <w:r>
        <w:fldChar w:fldCharType="begin"/>
      </w:r>
      <w:r>
        <w:instrText xml:space="preserve"> REF _Ref204188749 \n \h </w:instrText>
      </w:r>
      <w:r>
        <w:fldChar w:fldCharType="separate"/>
      </w:r>
      <w:r w:rsidR="002E5C6A">
        <w:t>9</w:t>
      </w:r>
      <w:r>
        <w:fldChar w:fldCharType="end"/>
      </w:r>
      <w:r>
        <w:t xml:space="preserve"> (“</w:t>
      </w:r>
      <w:r>
        <w:fldChar w:fldCharType="begin"/>
      </w:r>
      <w:r>
        <w:instrText xml:space="preserve"> REF _Ref204188756 \h </w:instrText>
      </w:r>
      <w:r>
        <w:fldChar w:fldCharType="separate"/>
      </w:r>
      <w:r w:rsidR="002E5C6A">
        <w:t>Criminal Code</w:t>
      </w:r>
      <w:r>
        <w:fldChar w:fldCharType="end"/>
      </w:r>
      <w:r>
        <w:t xml:space="preserve">”), </w:t>
      </w:r>
      <w:r>
        <w:fldChar w:fldCharType="begin"/>
      </w:r>
      <w:r>
        <w:instrText xml:space="preserve"> REF _Ref204188765 \n \h </w:instrText>
      </w:r>
      <w:r>
        <w:fldChar w:fldCharType="separate"/>
      </w:r>
      <w:r w:rsidR="002E5C6A">
        <w:t>11</w:t>
      </w:r>
      <w:r>
        <w:fldChar w:fldCharType="end"/>
      </w:r>
      <w:r>
        <w:t xml:space="preserve"> (“</w:t>
      </w:r>
      <w:r>
        <w:fldChar w:fldCharType="begin"/>
      </w:r>
      <w:r>
        <w:instrText xml:space="preserve"> REF _Ref204188765 \h </w:instrText>
      </w:r>
      <w:r>
        <w:fldChar w:fldCharType="separate"/>
      </w:r>
      <w:r w:rsidR="002E5C6A">
        <w:t>Environment, native title and cultural heritage</w:t>
      </w:r>
      <w:r>
        <w:fldChar w:fldCharType="end"/>
      </w:r>
      <w:r>
        <w:t xml:space="preserve">”), </w:t>
      </w:r>
      <w:r>
        <w:fldChar w:fldCharType="begin"/>
      </w:r>
      <w:r>
        <w:instrText xml:space="preserve"> REF _Ref204188784 \n \h </w:instrText>
      </w:r>
      <w:r>
        <w:fldChar w:fldCharType="separate"/>
      </w:r>
      <w:r w:rsidR="002E5C6A">
        <w:t>12</w:t>
      </w:r>
      <w:r>
        <w:fldChar w:fldCharType="end"/>
      </w:r>
      <w:r>
        <w:t xml:space="preserve"> (“</w:t>
      </w:r>
      <w:r>
        <w:fldChar w:fldCharType="begin"/>
      </w:r>
      <w:r>
        <w:instrText xml:space="preserve"> REF _Ref204188784 \h </w:instrText>
      </w:r>
      <w:r>
        <w:fldChar w:fldCharType="separate"/>
      </w:r>
      <w:r w:rsidR="002E5C6A">
        <w:t>Privacy and Mandatory Data Breach Notification</w:t>
      </w:r>
      <w:r>
        <w:fldChar w:fldCharType="end"/>
      </w:r>
      <w:r>
        <w:t xml:space="preserve">”) and </w:t>
      </w:r>
      <w:r>
        <w:fldChar w:fldCharType="begin"/>
      </w:r>
      <w:r>
        <w:instrText xml:space="preserve"> REF _Ref204188804 \n \h </w:instrText>
      </w:r>
      <w:r>
        <w:fldChar w:fldCharType="separate"/>
      </w:r>
      <w:r w:rsidR="002E5C6A">
        <w:t>13</w:t>
      </w:r>
      <w:r>
        <w:fldChar w:fldCharType="end"/>
      </w:r>
      <w:r>
        <w:t xml:space="preserve"> (“</w:t>
      </w:r>
      <w:r>
        <w:fldChar w:fldCharType="begin"/>
      </w:r>
      <w:r>
        <w:instrText xml:space="preserve"> REF _Ref204188812 \h </w:instrText>
      </w:r>
      <w:r>
        <w:fldChar w:fldCharType="separate"/>
      </w:r>
      <w:r w:rsidR="002E5C6A">
        <w:t>Fraud</w:t>
      </w:r>
      <w:r>
        <w:fldChar w:fldCharType="end"/>
      </w:r>
      <w:r>
        <w:t>”);</w:t>
      </w:r>
    </w:p>
    <w:p w14:paraId="51CF4873" w14:textId="7AE26F8C" w:rsidR="009411D1" w:rsidRDefault="2C388DF0" w:rsidP="0058045D">
      <w:pPr>
        <w:pStyle w:val="Heading3"/>
      </w:pPr>
      <w:r>
        <w:t>any clause that is required to enable a party to exercise rights accrued prior to the expiry or termination of the agreement</w:t>
      </w:r>
      <w:r w:rsidR="00923D0D">
        <w:t xml:space="preserve">, including clauses </w:t>
      </w:r>
      <w:r w:rsidR="00923D0D">
        <w:fldChar w:fldCharType="begin"/>
      </w:r>
      <w:r w:rsidR="00923D0D">
        <w:instrText xml:space="preserve"> REF _Ref467658249 \r \h </w:instrText>
      </w:r>
      <w:r w:rsidR="00923D0D">
        <w:fldChar w:fldCharType="separate"/>
      </w:r>
      <w:r w:rsidR="002E5C6A">
        <w:t>1</w:t>
      </w:r>
      <w:r w:rsidR="00923D0D">
        <w:fldChar w:fldCharType="end"/>
      </w:r>
      <w:r w:rsidR="00923D0D">
        <w:t xml:space="preserve"> (“</w:t>
      </w:r>
      <w:r w:rsidR="00923D0D">
        <w:fldChar w:fldCharType="begin"/>
      </w:r>
      <w:r w:rsidR="00923D0D">
        <w:instrText xml:space="preserve"> REF _Ref467658249 \h </w:instrText>
      </w:r>
      <w:r w:rsidR="00923D0D">
        <w:fldChar w:fldCharType="separate"/>
      </w:r>
      <w:r w:rsidR="002E5C6A" w:rsidRPr="00991FDD">
        <w:t>Definitions and interpretation</w:t>
      </w:r>
      <w:r w:rsidR="00923D0D">
        <w:fldChar w:fldCharType="end"/>
      </w:r>
      <w:r w:rsidR="00923D0D">
        <w:t>”)</w:t>
      </w:r>
      <w:r w:rsidR="00D90D43">
        <w:t>,</w:t>
      </w:r>
      <w:r w:rsidR="00923D0D">
        <w:t xml:space="preserve"> </w:t>
      </w:r>
      <w:r w:rsidR="00923D0D">
        <w:fldChar w:fldCharType="begin"/>
      </w:r>
      <w:r w:rsidR="00923D0D">
        <w:instrText xml:space="preserve"> REF _Ref101432962 \r \h </w:instrText>
      </w:r>
      <w:r w:rsidR="00923D0D">
        <w:fldChar w:fldCharType="separate"/>
      </w:r>
      <w:r w:rsidR="002E5C6A">
        <w:t>36</w:t>
      </w:r>
      <w:r w:rsidR="00923D0D">
        <w:fldChar w:fldCharType="end"/>
      </w:r>
      <w:r w:rsidR="00923D0D">
        <w:t xml:space="preserve"> (“</w:t>
      </w:r>
      <w:r w:rsidR="00923D0D">
        <w:fldChar w:fldCharType="begin"/>
      </w:r>
      <w:r w:rsidR="00923D0D">
        <w:instrText xml:space="preserve"> REF _Ref101432962 \h </w:instrText>
      </w:r>
      <w:r w:rsidR="00923D0D">
        <w:fldChar w:fldCharType="separate"/>
      </w:r>
      <w:r w:rsidR="002E5C6A">
        <w:t>Notices</w:t>
      </w:r>
      <w:r w:rsidR="00923D0D">
        <w:fldChar w:fldCharType="end"/>
      </w:r>
      <w:r w:rsidR="00923D0D">
        <w:t xml:space="preserve">”) and </w:t>
      </w:r>
      <w:r w:rsidR="00923D0D">
        <w:fldChar w:fldCharType="begin"/>
      </w:r>
      <w:r w:rsidR="00923D0D">
        <w:instrText xml:space="preserve"> REF _Ref199427538 \r \h </w:instrText>
      </w:r>
      <w:r w:rsidR="00923D0D">
        <w:fldChar w:fldCharType="separate"/>
      </w:r>
      <w:r w:rsidR="002E5C6A">
        <w:t>37</w:t>
      </w:r>
      <w:r w:rsidR="00923D0D">
        <w:fldChar w:fldCharType="end"/>
      </w:r>
      <w:r w:rsidR="00923D0D">
        <w:t xml:space="preserve"> (“</w:t>
      </w:r>
      <w:r w:rsidR="00923D0D">
        <w:fldChar w:fldCharType="begin"/>
      </w:r>
      <w:r w:rsidR="00923D0D">
        <w:instrText xml:space="preserve"> REF _Ref199427541 \h </w:instrText>
      </w:r>
      <w:r w:rsidR="00923D0D">
        <w:fldChar w:fldCharType="separate"/>
      </w:r>
      <w:r w:rsidR="002E5C6A">
        <w:t>General</w:t>
      </w:r>
      <w:r w:rsidR="00923D0D">
        <w:fldChar w:fldCharType="end"/>
      </w:r>
      <w:r w:rsidR="00923D0D">
        <w:t>”)</w:t>
      </w:r>
      <w:r>
        <w:t>; and</w:t>
      </w:r>
    </w:p>
    <w:p w14:paraId="181B3A53" w14:textId="77777777" w:rsidR="00A95A42" w:rsidRPr="00A95A42" w:rsidRDefault="2C388DF0" w:rsidP="0058045D">
      <w:pPr>
        <w:pStyle w:val="Heading3"/>
      </w:pPr>
      <w:r>
        <w:t>any clause which by its nature is intended to survive the expiry or termination of this agreement.</w:t>
      </w:r>
    </w:p>
    <w:p w14:paraId="67992DC2" w14:textId="77777777" w:rsidR="00B1487C" w:rsidRDefault="2BC382E4" w:rsidP="0058045D">
      <w:pPr>
        <w:pStyle w:val="Heading1"/>
      </w:pPr>
      <w:bookmarkStart w:id="4591" w:name="_Toc492494348"/>
      <w:bookmarkStart w:id="4592" w:name="_Toc492504579"/>
      <w:bookmarkStart w:id="4593" w:name="_Toc492504839"/>
      <w:bookmarkStart w:id="4594" w:name="_Toc492494349"/>
      <w:bookmarkStart w:id="4595" w:name="_Toc492504580"/>
      <w:bookmarkStart w:id="4596" w:name="_Toc492504840"/>
      <w:bookmarkStart w:id="4597" w:name="_Toc492494350"/>
      <w:bookmarkStart w:id="4598" w:name="_Toc492504581"/>
      <w:bookmarkStart w:id="4599" w:name="_Toc492504841"/>
      <w:bookmarkStart w:id="4600" w:name="_Toc492494351"/>
      <w:bookmarkStart w:id="4601" w:name="_Toc492504582"/>
      <w:bookmarkStart w:id="4602" w:name="_Toc492504842"/>
      <w:bookmarkStart w:id="4603" w:name="_Toc492494352"/>
      <w:bookmarkStart w:id="4604" w:name="_Toc492504583"/>
      <w:bookmarkStart w:id="4605" w:name="_Toc492504843"/>
      <w:bookmarkStart w:id="4606" w:name="_Toc492494353"/>
      <w:bookmarkStart w:id="4607" w:name="_Toc492504584"/>
      <w:bookmarkStart w:id="4608" w:name="_Toc492504844"/>
      <w:bookmarkStart w:id="4609" w:name="_Toc492494354"/>
      <w:bookmarkStart w:id="4610" w:name="_Toc492504585"/>
      <w:bookmarkStart w:id="4611" w:name="_Toc492504845"/>
      <w:bookmarkStart w:id="4612" w:name="_Toc492494355"/>
      <w:bookmarkStart w:id="4613" w:name="_Toc492504586"/>
      <w:bookmarkStart w:id="4614" w:name="_Toc492504846"/>
      <w:bookmarkStart w:id="4615" w:name="_Toc492494356"/>
      <w:bookmarkStart w:id="4616" w:name="_Toc492504587"/>
      <w:bookmarkStart w:id="4617" w:name="_Toc492504847"/>
      <w:bookmarkStart w:id="4618" w:name="_Toc492494357"/>
      <w:bookmarkStart w:id="4619" w:name="_Toc492504588"/>
      <w:bookmarkStart w:id="4620" w:name="_Toc492504848"/>
      <w:bookmarkStart w:id="4621" w:name="_Toc492494358"/>
      <w:bookmarkStart w:id="4622" w:name="_Toc492504589"/>
      <w:bookmarkStart w:id="4623" w:name="_Toc492504849"/>
      <w:bookmarkStart w:id="4624" w:name="_Toc492494359"/>
      <w:bookmarkStart w:id="4625" w:name="_Toc492504590"/>
      <w:bookmarkStart w:id="4626" w:name="_Toc492504850"/>
      <w:bookmarkStart w:id="4627" w:name="_Toc492494360"/>
      <w:bookmarkStart w:id="4628" w:name="_Toc492504591"/>
      <w:bookmarkStart w:id="4629" w:name="_Toc492504851"/>
      <w:bookmarkStart w:id="4630" w:name="_Toc492494361"/>
      <w:bookmarkStart w:id="4631" w:name="_Toc492504592"/>
      <w:bookmarkStart w:id="4632" w:name="_Toc492504852"/>
      <w:bookmarkStart w:id="4633" w:name="_Toc492494362"/>
      <w:bookmarkStart w:id="4634" w:name="_Toc492504593"/>
      <w:bookmarkStart w:id="4635" w:name="_Toc492504853"/>
      <w:bookmarkStart w:id="4636" w:name="_Toc492494363"/>
      <w:bookmarkStart w:id="4637" w:name="_Toc492504594"/>
      <w:bookmarkStart w:id="4638" w:name="_Toc492504854"/>
      <w:bookmarkStart w:id="4639" w:name="_Toc492494364"/>
      <w:bookmarkStart w:id="4640" w:name="_Toc492504595"/>
      <w:bookmarkStart w:id="4641" w:name="_Toc492504855"/>
      <w:bookmarkStart w:id="4642" w:name="_Toc492494365"/>
      <w:bookmarkStart w:id="4643" w:name="_Toc492504596"/>
      <w:bookmarkStart w:id="4644" w:name="_Toc492504856"/>
      <w:bookmarkStart w:id="4645" w:name="_Toc492494366"/>
      <w:bookmarkStart w:id="4646" w:name="_Toc492504597"/>
      <w:bookmarkStart w:id="4647" w:name="_Toc492504857"/>
      <w:bookmarkStart w:id="4648" w:name="_Toc492494367"/>
      <w:bookmarkStart w:id="4649" w:name="_Toc492504598"/>
      <w:bookmarkStart w:id="4650" w:name="_Toc492504858"/>
      <w:bookmarkStart w:id="4651" w:name="_Toc492494368"/>
      <w:bookmarkStart w:id="4652" w:name="_Toc492504599"/>
      <w:bookmarkStart w:id="4653" w:name="_Toc492504859"/>
      <w:bookmarkStart w:id="4654" w:name="_Toc492494369"/>
      <w:bookmarkStart w:id="4655" w:name="_Toc492504600"/>
      <w:bookmarkStart w:id="4656" w:name="_Toc492504860"/>
      <w:bookmarkStart w:id="4657" w:name="_Ref492560881"/>
      <w:bookmarkStart w:id="4658" w:name="_Toc492504861"/>
      <w:bookmarkStart w:id="4659" w:name="_Toc515359060"/>
      <w:bookmarkStart w:id="4660" w:name="_Toc515470268"/>
      <w:bookmarkStart w:id="4661" w:name="_Toc20730967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r>
        <w:t>Assignment and Change in Control</w:t>
      </w:r>
      <w:bookmarkEnd w:id="4657"/>
      <w:bookmarkEnd w:id="4658"/>
      <w:bookmarkEnd w:id="4659"/>
      <w:bookmarkEnd w:id="4660"/>
      <w:bookmarkEnd w:id="4661"/>
    </w:p>
    <w:p w14:paraId="7A7D60BC" w14:textId="77777777" w:rsidR="00675F03" w:rsidRDefault="00675F03" w:rsidP="0058045D">
      <w:pPr>
        <w:pStyle w:val="Heading2"/>
      </w:pPr>
      <w:bookmarkStart w:id="4662" w:name="_Ref94795426"/>
      <w:bookmarkStart w:id="4663" w:name="_Ref73958537"/>
      <w:bookmarkStart w:id="4664" w:name="_Toc104238857"/>
      <w:bookmarkStart w:id="4665" w:name="_Toc104305738"/>
      <w:bookmarkStart w:id="4666" w:name="_Ref159345994"/>
      <w:bookmarkStart w:id="4667" w:name="_Toc207309680"/>
      <w:bookmarkStart w:id="4668" w:name="_Toc492504863"/>
      <w:bookmarkStart w:id="4669" w:name="_Toc515359066"/>
      <w:bookmarkStart w:id="4670" w:name="_Toc515470270"/>
      <w:bookmarkStart w:id="4671" w:name="_Toc515359078"/>
      <w:r>
        <w:t xml:space="preserve">Assignment by </w:t>
      </w:r>
      <w:bookmarkEnd w:id="4662"/>
      <w:bookmarkEnd w:id="4663"/>
      <w:bookmarkEnd w:id="4664"/>
      <w:bookmarkEnd w:id="4665"/>
      <w:r w:rsidR="00411B14">
        <w:t>Project Operator</w:t>
      </w:r>
      <w:bookmarkEnd w:id="4666"/>
      <w:bookmarkEnd w:id="4667"/>
    </w:p>
    <w:p w14:paraId="36F516C4" w14:textId="77777777" w:rsidR="00B06103" w:rsidRDefault="00411B14" w:rsidP="0058045D">
      <w:pPr>
        <w:pStyle w:val="Heading3"/>
      </w:pPr>
      <w:bookmarkStart w:id="4672" w:name="_Ref205802252"/>
      <w:r>
        <w:t>Project Operator</w:t>
      </w:r>
      <w:r w:rsidR="00675F03">
        <w:t xml:space="preserve"> must not assign, novate or otherwise transfer its rights </w:t>
      </w:r>
      <w:r w:rsidR="00627FA0">
        <w:t xml:space="preserve">or obligations </w:t>
      </w:r>
      <w:r w:rsidR="00675F03">
        <w:t>under, title to or interest in this agreement or the Project other than</w:t>
      </w:r>
      <w:r w:rsidR="00B06103">
        <w:t>:</w:t>
      </w:r>
      <w:bookmarkEnd w:id="4672"/>
      <w:r w:rsidR="00675F03">
        <w:t xml:space="preserve"> </w:t>
      </w:r>
    </w:p>
    <w:p w14:paraId="73772A74" w14:textId="7B2BE48F" w:rsidR="00B06103" w:rsidRDefault="00675F03" w:rsidP="0058045D">
      <w:pPr>
        <w:pStyle w:val="Heading4"/>
      </w:pPr>
      <w:r>
        <w:t xml:space="preserve">in accordance with this clause </w:t>
      </w:r>
      <w:r>
        <w:fldChar w:fldCharType="begin"/>
      </w:r>
      <w:r>
        <w:instrText xml:space="preserve"> REF _Ref94795426 \n \h </w:instrText>
      </w:r>
      <w:r>
        <w:fldChar w:fldCharType="separate"/>
      </w:r>
      <w:r w:rsidR="002E5C6A">
        <w:t>23.1</w:t>
      </w:r>
      <w:r>
        <w:fldChar w:fldCharType="end"/>
      </w:r>
      <w:r w:rsidR="00B06103">
        <w:t>;</w:t>
      </w:r>
      <w:r w:rsidR="00F91447">
        <w:t xml:space="preserve"> or </w:t>
      </w:r>
    </w:p>
    <w:p w14:paraId="3DA48865" w14:textId="77777777" w:rsidR="004C2045" w:rsidRPr="00135170" w:rsidRDefault="00F91447" w:rsidP="0058045D">
      <w:pPr>
        <w:pStyle w:val="Heading4"/>
      </w:pPr>
      <w:r>
        <w:t xml:space="preserve">under a </w:t>
      </w:r>
      <w:r w:rsidR="00D34673">
        <w:t xml:space="preserve">Permitted </w:t>
      </w:r>
      <w:r w:rsidR="00C02A3A">
        <w:t>Intermediary Contract</w:t>
      </w:r>
      <w:r w:rsidR="00675F03">
        <w:t>.</w:t>
      </w:r>
    </w:p>
    <w:p w14:paraId="6C116607" w14:textId="4942E00E" w:rsidR="00675F03" w:rsidRDefault="00675F03" w:rsidP="00314F33">
      <w:pPr>
        <w:pStyle w:val="Heading3"/>
        <w:keepNext/>
      </w:pPr>
      <w:bookmarkStart w:id="4673" w:name="_Ref86264769"/>
      <w:r>
        <w:t xml:space="preserve">Subject to </w:t>
      </w:r>
      <w:r w:rsidR="00981C6E">
        <w:t xml:space="preserve">paragraph </w:t>
      </w:r>
      <w:r w:rsidR="00A12FEE">
        <w:fldChar w:fldCharType="begin"/>
      </w:r>
      <w:r w:rsidR="00A12FEE">
        <w:instrText xml:space="preserve"> REF _Ref180574097 \n \h </w:instrText>
      </w:r>
      <w:r w:rsidR="00A12FEE">
        <w:fldChar w:fldCharType="separate"/>
      </w:r>
      <w:r w:rsidR="002E5C6A">
        <w:t>(c)</w:t>
      </w:r>
      <w:r w:rsidR="00A12FEE">
        <w:fldChar w:fldCharType="end"/>
      </w:r>
      <w:r>
        <w:t xml:space="preserve">, </w:t>
      </w:r>
      <w:r w:rsidR="00411B14">
        <w:t>Project Operator</w:t>
      </w:r>
      <w:r>
        <w:t xml:space="preserve"> may </w:t>
      </w:r>
      <w:r w:rsidR="00A0771D">
        <w:t xml:space="preserve">only </w:t>
      </w:r>
      <w:r>
        <w:t>assign, novate or otherwise transfer its rights</w:t>
      </w:r>
      <w:r w:rsidR="00627FA0">
        <w:t xml:space="preserve"> and obligations</w:t>
      </w:r>
      <w:r>
        <w:t xml:space="preserve"> under, title to or interest in this agreement with </w:t>
      </w:r>
      <w:r w:rsidR="00BE77D6" w:rsidRPr="00EF3418">
        <w:t>the Commonwealth</w:t>
      </w:r>
      <w:r w:rsidRPr="00EF3418">
        <w:t>’s</w:t>
      </w:r>
      <w:r>
        <w:t xml:space="preserve"> prior written consent, such consent not to be unreasonably withheld or delayed if</w:t>
      </w:r>
      <w:r w:rsidR="00923D0D">
        <w:t xml:space="preserve"> the Commonwealth considers (in its absolute discretion)</w:t>
      </w:r>
      <w:r>
        <w:t>:</w:t>
      </w:r>
      <w:bookmarkEnd w:id="4673"/>
      <w:r>
        <w:t xml:space="preserve"> </w:t>
      </w:r>
    </w:p>
    <w:p w14:paraId="7284047D" w14:textId="42C4F4A6" w:rsidR="00C740B2" w:rsidRDefault="008A7F3E" w:rsidP="00314F33">
      <w:pPr>
        <w:pStyle w:val="Heading4"/>
        <w:keepNext/>
      </w:pPr>
      <w:r>
        <w:t>t</w:t>
      </w:r>
      <w:r w:rsidR="00335876">
        <w:t xml:space="preserve">hat </w:t>
      </w:r>
      <w:r w:rsidR="00675F03">
        <w:t xml:space="preserve">the assignee, </w:t>
      </w:r>
      <w:r w:rsidR="00190E38">
        <w:t>n</w:t>
      </w:r>
      <w:r w:rsidR="0006425A">
        <w:t>ovate</w:t>
      </w:r>
      <w:r w:rsidR="00E24019">
        <w:t>e</w:t>
      </w:r>
      <w:r w:rsidR="00675F03">
        <w:t xml:space="preserve"> or transferee</w:t>
      </w:r>
      <w:r w:rsidR="00C740B2">
        <w:t>:</w:t>
      </w:r>
      <w:r w:rsidR="00675F03">
        <w:t xml:space="preserve"> </w:t>
      </w:r>
    </w:p>
    <w:p w14:paraId="4DAD299E" w14:textId="5C79523E" w:rsidR="004C2045" w:rsidRDefault="00675F03" w:rsidP="0058045D">
      <w:pPr>
        <w:pStyle w:val="Heading5"/>
      </w:pPr>
      <w:r>
        <w:t xml:space="preserve">has </w:t>
      </w:r>
      <w:r w:rsidRPr="00C740B2">
        <w:t xml:space="preserve">the legal, </w:t>
      </w:r>
      <w:r w:rsidR="00A0771D">
        <w:t>commercial</w:t>
      </w:r>
      <w:r w:rsidR="00D068B9">
        <w:t>,</w:t>
      </w:r>
      <w:r w:rsidR="00A0771D">
        <w:t xml:space="preserve"> </w:t>
      </w:r>
      <w:r w:rsidRPr="00C740B2">
        <w:t xml:space="preserve">financial and technical capability to perform </w:t>
      </w:r>
      <w:r w:rsidR="00411B14">
        <w:t>Project Operator</w:t>
      </w:r>
      <w:r w:rsidRPr="00C740B2">
        <w:t xml:space="preserve">’s obligations under this agreement; </w:t>
      </w:r>
    </w:p>
    <w:p w14:paraId="55EFD78A" w14:textId="1691D7B6" w:rsidR="00A0771D" w:rsidRPr="004C2045" w:rsidRDefault="00923D0D" w:rsidP="0058045D">
      <w:pPr>
        <w:pStyle w:val="Heading5"/>
      </w:pPr>
      <w:r>
        <w:t>is a special purpose vehicle (in accordance with clause</w:t>
      </w:r>
      <w:r w:rsidR="008A7F3E">
        <w:t> </w:t>
      </w:r>
      <w:r w:rsidR="001A7039">
        <w:fldChar w:fldCharType="begin"/>
      </w:r>
      <w:r w:rsidR="001A7039">
        <w:instrText xml:space="preserve"> REF _Ref199427670 \r \h </w:instrText>
      </w:r>
      <w:r w:rsidR="001A7039">
        <w:fldChar w:fldCharType="separate"/>
      </w:r>
      <w:r w:rsidR="002E5C6A">
        <w:t>8.6</w:t>
      </w:r>
      <w:r w:rsidR="001A7039">
        <w:fldChar w:fldCharType="end"/>
      </w:r>
      <w:r w:rsidR="001A7039">
        <w:t xml:space="preserve"> (“</w:t>
      </w:r>
      <w:r w:rsidR="001A7039">
        <w:fldChar w:fldCharType="begin"/>
      </w:r>
      <w:r w:rsidR="001A7039">
        <w:instrText xml:space="preserve"> REF _Ref199427674 \h </w:instrText>
      </w:r>
      <w:r w:rsidR="001A7039">
        <w:fldChar w:fldCharType="separate"/>
      </w:r>
      <w:r w:rsidR="002E5C6A">
        <w:t>Project Operator is a special purpose vehicle</w:t>
      </w:r>
      <w:r w:rsidR="001A7039">
        <w:fldChar w:fldCharType="end"/>
      </w:r>
      <w:r w:rsidR="001A7039">
        <w:t xml:space="preserve">”) </w:t>
      </w:r>
      <w:r>
        <w:t xml:space="preserve">that </w:t>
      </w:r>
      <w:r w:rsidR="00A0771D">
        <w:t xml:space="preserve">would have met </w:t>
      </w:r>
      <w:r w:rsidR="001A7039">
        <w:t xml:space="preserve">all of </w:t>
      </w:r>
      <w:r w:rsidR="00A0771D">
        <w:t xml:space="preserve">the original Tender Process eligibility criteria for the appointment of Project Operator; </w:t>
      </w:r>
    </w:p>
    <w:p w14:paraId="07227622" w14:textId="46957136" w:rsidR="00675F03" w:rsidRPr="00C740B2" w:rsidRDefault="00A0771D" w:rsidP="0058045D">
      <w:pPr>
        <w:pStyle w:val="Heading5"/>
      </w:pPr>
      <w:r>
        <w:t xml:space="preserve">is solvent and reputable, </w:t>
      </w:r>
      <w:r w:rsidR="004C2045">
        <w:t>does not have an interest which conflicts in a material way with the interests of the Commonwealth</w:t>
      </w:r>
      <w:r w:rsidR="00254642">
        <w:t>,</w:t>
      </w:r>
      <w:r w:rsidRPr="00A0771D">
        <w:t xml:space="preserve"> </w:t>
      </w:r>
      <w:r w:rsidRPr="00133764">
        <w:t>and is no</w:t>
      </w:r>
      <w:r w:rsidR="00254642">
        <w:t>t subject to a</w:t>
      </w:r>
      <w:r w:rsidRPr="00133764">
        <w:t xml:space="preserve"> prohibition or restriction imposed by Law that</w:t>
      </w:r>
      <w:r>
        <w:t xml:space="preserve"> would prevent or adversely affect its ability to assume the rights and/or obligations of Project Operator</w:t>
      </w:r>
      <w:r w:rsidR="004C2045">
        <w:t xml:space="preserve">; </w:t>
      </w:r>
      <w:r w:rsidR="00675F03" w:rsidRPr="004C2045">
        <w:rPr>
          <w:szCs w:val="18"/>
        </w:rPr>
        <w:t>and</w:t>
      </w:r>
      <w:r w:rsidR="004C2045">
        <w:rPr>
          <w:szCs w:val="18"/>
        </w:rPr>
        <w:t xml:space="preserve"> </w:t>
      </w:r>
    </w:p>
    <w:p w14:paraId="501AA0C3" w14:textId="1BEC640F" w:rsidR="00C740B2" w:rsidRPr="00135170" w:rsidRDefault="00C740B2" w:rsidP="0058045D">
      <w:pPr>
        <w:pStyle w:val="Heading5"/>
      </w:pPr>
      <w:bookmarkStart w:id="4674" w:name="_Hlk113976041"/>
      <w:r>
        <w:t xml:space="preserve">agrees to assume all </w:t>
      </w:r>
      <w:r w:rsidR="00254642">
        <w:t xml:space="preserve">of the </w:t>
      </w:r>
      <w:r>
        <w:t xml:space="preserve">obligations of </w:t>
      </w:r>
      <w:r w:rsidR="00411B14">
        <w:t>Project Operator</w:t>
      </w:r>
      <w:r>
        <w:t xml:space="preserve"> </w:t>
      </w:r>
      <w:r w:rsidR="00A0771D">
        <w:t xml:space="preserve">arising </w:t>
      </w:r>
      <w:r w:rsidR="002F78BB">
        <w:t xml:space="preserve">under or </w:t>
      </w:r>
      <w:r w:rsidR="002A5971">
        <w:t xml:space="preserve">in connection with </w:t>
      </w:r>
      <w:r>
        <w:t>this agreement, including any obligation to pay a</w:t>
      </w:r>
      <w:r w:rsidR="00190E38">
        <w:t>n Early Termination Amount</w:t>
      </w:r>
      <w:r>
        <w:t xml:space="preserve"> </w:t>
      </w:r>
      <w:r w:rsidR="006D3435">
        <w:t xml:space="preserve">that </w:t>
      </w:r>
      <w:r w:rsidR="002A5971">
        <w:t xml:space="preserve">reflects </w:t>
      </w:r>
      <w:r w:rsidR="00190E38">
        <w:t xml:space="preserve">Quarterly Payment Amounts and Annual </w:t>
      </w:r>
      <w:r w:rsidR="008F4CFC">
        <w:t>Reconciliation Payments</w:t>
      </w:r>
      <w:r w:rsidR="006D3435">
        <w:t xml:space="preserve"> paid by </w:t>
      </w:r>
      <w:r w:rsidR="00BE77D6" w:rsidRPr="00EF3418">
        <w:t>the Commonwealth</w:t>
      </w:r>
      <w:r w:rsidR="006D3435">
        <w:t xml:space="preserve"> to </w:t>
      </w:r>
      <w:r w:rsidR="00411B14">
        <w:t>Project Operator</w:t>
      </w:r>
      <w:r w:rsidR="006D3435">
        <w:t xml:space="preserve"> prior to such assignment, novation or transfer;</w:t>
      </w:r>
      <w:bookmarkEnd w:id="4674"/>
    </w:p>
    <w:p w14:paraId="28962B56" w14:textId="245BFD4B" w:rsidR="004C2045" w:rsidRPr="004C2045" w:rsidRDefault="00675F03" w:rsidP="0058045D">
      <w:pPr>
        <w:pStyle w:val="Heading4"/>
      </w:pPr>
      <w:r>
        <w:t xml:space="preserve">in the case of a </w:t>
      </w:r>
      <w:r w:rsidRPr="00EF3418">
        <w:t xml:space="preserve">proposed assignment, novation or transfer that would occur prior to the Commercial Operations Date, </w:t>
      </w:r>
      <w:r w:rsidR="00A15084">
        <w:t xml:space="preserve">that the </w:t>
      </w:r>
      <w:r w:rsidR="002940A0">
        <w:t xml:space="preserve">assignee, </w:t>
      </w:r>
      <w:r w:rsidR="00E24019">
        <w:t>novatee</w:t>
      </w:r>
      <w:r>
        <w:t xml:space="preserve"> or transferee would have achieved a merit score from </w:t>
      </w:r>
      <w:r w:rsidR="00F830B3">
        <w:t>the Commonwealth</w:t>
      </w:r>
      <w:r>
        <w:t xml:space="preserve"> during the assessment </w:t>
      </w:r>
      <w:r w:rsidR="00C41299">
        <w:t xml:space="preserve">of the </w:t>
      </w:r>
      <w:r w:rsidR="00C41299" w:rsidRPr="001C3D6A">
        <w:t>Tender</w:t>
      </w:r>
      <w:r w:rsidR="001A7039">
        <w:t xml:space="preserve"> that would not have resulted in a changed Tender Process outcome</w:t>
      </w:r>
      <w:r w:rsidR="004C2045" w:rsidRPr="001C3D6A">
        <w:t>;</w:t>
      </w:r>
      <w:r w:rsidR="004C2045">
        <w:t xml:space="preserve"> and </w:t>
      </w:r>
    </w:p>
    <w:p w14:paraId="24095B8F" w14:textId="2EB5F901" w:rsidR="004C2045" w:rsidRDefault="00A0771D" w:rsidP="0058045D">
      <w:pPr>
        <w:pStyle w:val="Heading4"/>
      </w:pPr>
      <w:r>
        <w:t xml:space="preserve">that </w:t>
      </w:r>
      <w:r w:rsidR="004C2045">
        <w:t xml:space="preserve">the proposed assignment, novation or transfer: </w:t>
      </w:r>
    </w:p>
    <w:p w14:paraId="22E77521" w14:textId="63BF9280" w:rsidR="004C2045" w:rsidRDefault="004C2045" w:rsidP="0058045D">
      <w:pPr>
        <w:pStyle w:val="Heading5"/>
      </w:pPr>
      <w:r w:rsidRPr="004C2045">
        <w:rPr>
          <w:szCs w:val="18"/>
        </w:rPr>
        <w:t>would</w:t>
      </w:r>
      <w:r w:rsidRPr="0038602A">
        <w:t xml:space="preserve"> not have a material adverse effect on the Project</w:t>
      </w:r>
      <w:r>
        <w:t>;</w:t>
      </w:r>
      <w:r w:rsidRPr="0038602A">
        <w:t xml:space="preserve"> </w:t>
      </w:r>
    </w:p>
    <w:p w14:paraId="488E44CB" w14:textId="77777777" w:rsidR="00A0771D" w:rsidRPr="00A0771D" w:rsidRDefault="00C41299" w:rsidP="0058045D">
      <w:pPr>
        <w:pStyle w:val="Heading5"/>
      </w:pPr>
      <w:r>
        <w:t xml:space="preserve">would not </w:t>
      </w:r>
      <w:r w:rsidR="004C2045" w:rsidRPr="0038602A">
        <w:t xml:space="preserve">increase the </w:t>
      </w:r>
      <w:r w:rsidR="004C2045">
        <w:t>l</w:t>
      </w:r>
      <w:r w:rsidR="004C2045" w:rsidRPr="0038602A">
        <w:t>iability of, or risks accepted by</w:t>
      </w:r>
      <w:r w:rsidR="000D0F1D">
        <w:t>,</w:t>
      </w:r>
      <w:r w:rsidR="004C2045" w:rsidRPr="0038602A">
        <w:t xml:space="preserve"> the Commonwealth under any Project Documents or in any other way in connection with the Project</w:t>
      </w:r>
      <w:r w:rsidR="00A0771D">
        <w:rPr>
          <w:szCs w:val="18"/>
        </w:rPr>
        <w:t>; and</w:t>
      </w:r>
    </w:p>
    <w:p w14:paraId="24853E98" w14:textId="47641F27" w:rsidR="00675F03" w:rsidRPr="000B1FA8" w:rsidRDefault="00A0771D" w:rsidP="0058045D">
      <w:pPr>
        <w:pStyle w:val="Heading5"/>
      </w:pPr>
      <w:r>
        <w:t>is not otherwise against the national interest</w:t>
      </w:r>
      <w:r w:rsidRPr="00A0771D">
        <w:rPr>
          <w:szCs w:val="18"/>
        </w:rPr>
        <w:t>.</w:t>
      </w:r>
    </w:p>
    <w:p w14:paraId="00E5D538" w14:textId="63CD860D" w:rsidR="00675F03" w:rsidRDefault="00411B14" w:rsidP="00725FCE">
      <w:pPr>
        <w:pStyle w:val="Heading3"/>
      </w:pPr>
      <w:bookmarkStart w:id="4675" w:name="_Ref101430640"/>
      <w:bookmarkStart w:id="4676" w:name="_Ref205802256"/>
      <w:bookmarkStart w:id="4677" w:name="_Ref56498759"/>
      <w:r>
        <w:t>Project Operator</w:t>
      </w:r>
      <w:r w:rsidR="00675F03">
        <w:t xml:space="preserve"> must not assign, novate or otherwise transfer</w:t>
      </w:r>
      <w:r w:rsidR="00A0771D">
        <w:t xml:space="preserve"> less than all of</w:t>
      </w:r>
      <w:r w:rsidR="00675F03">
        <w:t xml:space="preserve"> its </w:t>
      </w:r>
      <w:r w:rsidR="00675F03" w:rsidRPr="00A12FEE">
        <w:t>rights</w:t>
      </w:r>
      <w:r w:rsidR="00675F03">
        <w:t xml:space="preserve"> </w:t>
      </w:r>
      <w:r w:rsidR="00DB4C26">
        <w:t xml:space="preserve">or obligations </w:t>
      </w:r>
      <w:r w:rsidR="00675F03">
        <w:t>under, title to or interest in</w:t>
      </w:r>
      <w:r w:rsidR="008F4CFC">
        <w:t>,</w:t>
      </w:r>
      <w:r w:rsidR="00675F03">
        <w:t xml:space="preserve"> this agreement </w:t>
      </w:r>
      <w:r w:rsidR="00A0771D">
        <w:t xml:space="preserve">and </w:t>
      </w:r>
      <w:r w:rsidR="00B93C06">
        <w:t>the Project</w:t>
      </w:r>
      <w:r w:rsidR="003A2F74">
        <w:t>[</w:t>
      </w:r>
      <w:r w:rsidR="001A7039">
        <w:t xml:space="preserve"> and</w:t>
      </w:r>
      <w:r w:rsidR="003A2F74">
        <w:t>, if applicable, the Associated Project,]</w:t>
      </w:r>
      <w:bookmarkEnd w:id="4675"/>
      <w:r w:rsidR="00402C4A">
        <w:t xml:space="preserve"> </w:t>
      </w:r>
      <w:bookmarkStart w:id="4678" w:name="_Ref180574097"/>
      <w:r w:rsidR="001A7039">
        <w:t>[and the Existing Project]</w:t>
      </w:r>
      <w:r w:rsidR="00725FCE">
        <w:t xml:space="preserve"> </w:t>
      </w:r>
      <w:r w:rsidR="00A0771D">
        <w:t xml:space="preserve">to the same person. </w:t>
      </w:r>
      <w:r w:rsidR="00402C4A" w:rsidRPr="009E2AE6">
        <w:rPr>
          <w:b/>
          <w:bCs/>
          <w:i/>
          <w:iCs/>
        </w:rPr>
        <w:t>[</w:t>
      </w:r>
      <w:r w:rsidR="00402C4A" w:rsidRPr="009E2AE6">
        <w:rPr>
          <w:b/>
          <w:bCs/>
          <w:i/>
          <w:iCs/>
          <w:highlight w:val="lightGray"/>
        </w:rPr>
        <w:t xml:space="preserve">Note: </w:t>
      </w:r>
      <w:r w:rsidR="00461FD2" w:rsidRPr="009E2AE6">
        <w:rPr>
          <w:b/>
          <w:bCs/>
          <w:i/>
          <w:iCs/>
          <w:highlight w:val="lightGray"/>
        </w:rPr>
        <w:t xml:space="preserve">square bracketed </w:t>
      </w:r>
      <w:r w:rsidR="00402C4A" w:rsidRPr="009E2AE6">
        <w:rPr>
          <w:b/>
          <w:bCs/>
          <w:i/>
          <w:iCs/>
          <w:highlight w:val="lightGray"/>
        </w:rPr>
        <w:t xml:space="preserve">wording </w:t>
      </w:r>
      <w:r w:rsidR="0029197E" w:rsidRPr="009E2AE6">
        <w:rPr>
          <w:b/>
          <w:bCs/>
          <w:i/>
          <w:iCs/>
          <w:highlight w:val="lightGray"/>
        </w:rPr>
        <w:t>is to</w:t>
      </w:r>
      <w:r w:rsidR="00402C4A" w:rsidRPr="009E2AE6">
        <w:rPr>
          <w:b/>
          <w:bCs/>
          <w:i/>
          <w:iCs/>
          <w:highlight w:val="lightGray"/>
        </w:rPr>
        <w:t xml:space="preserve"> be </w:t>
      </w:r>
      <w:r w:rsidR="00402C4A" w:rsidRPr="001A7039">
        <w:rPr>
          <w:b/>
          <w:bCs/>
          <w:i/>
          <w:iCs/>
          <w:highlight w:val="lightGray"/>
        </w:rPr>
        <w:t xml:space="preserve">included for </w:t>
      </w:r>
      <w:r w:rsidR="00027F6B" w:rsidRPr="001A7039">
        <w:rPr>
          <w:b/>
          <w:bCs/>
          <w:i/>
          <w:iCs/>
          <w:highlight w:val="lightGray"/>
        </w:rPr>
        <w:t xml:space="preserve">all </w:t>
      </w:r>
      <w:r w:rsidR="00402C4A" w:rsidRPr="001A7039">
        <w:rPr>
          <w:b/>
          <w:bCs/>
          <w:i/>
          <w:iCs/>
          <w:highlight w:val="lightGray"/>
        </w:rPr>
        <w:t>Hybrid Projects</w:t>
      </w:r>
      <w:r w:rsidR="00321C16">
        <w:rPr>
          <w:b/>
          <w:bCs/>
          <w:i/>
          <w:iCs/>
          <w:highlight w:val="lightGray"/>
        </w:rPr>
        <w:t xml:space="preserve"> and Staged Projects, as applicable</w:t>
      </w:r>
      <w:r w:rsidR="00027F6B" w:rsidRPr="001A7039">
        <w:rPr>
          <w:b/>
          <w:bCs/>
          <w:i/>
          <w:iCs/>
          <w:highlight w:val="lightGray"/>
        </w:rPr>
        <w:t>.</w:t>
      </w:r>
      <w:r w:rsidR="00402C4A" w:rsidRPr="00D315FD">
        <w:rPr>
          <w:b/>
          <w:bCs/>
          <w:i/>
          <w:iCs/>
          <w:highlight w:val="lightGray"/>
        </w:rPr>
        <w:t>]</w:t>
      </w:r>
      <w:bookmarkEnd w:id="4676"/>
      <w:bookmarkEnd w:id="4678"/>
    </w:p>
    <w:p w14:paraId="61621D0C" w14:textId="411B2205" w:rsidR="00675F03" w:rsidRDefault="00675F03" w:rsidP="0058045D">
      <w:pPr>
        <w:pStyle w:val="Heading3"/>
        <w:rPr>
          <w:lang w:eastAsia="en-AU"/>
        </w:rPr>
      </w:pPr>
      <w:bookmarkStart w:id="4679" w:name="_Ref103669182"/>
      <w:bookmarkStart w:id="4680" w:name="_Ref104317300"/>
      <w:r>
        <w:t xml:space="preserve">Notwithstanding anything else in this clause </w:t>
      </w:r>
      <w:r>
        <w:fldChar w:fldCharType="begin"/>
      </w:r>
      <w:r>
        <w:instrText xml:space="preserve"> REF _Ref94795426 \n \h </w:instrText>
      </w:r>
      <w:r>
        <w:fldChar w:fldCharType="separate"/>
      </w:r>
      <w:r w:rsidR="002E5C6A">
        <w:t>23.1</w:t>
      </w:r>
      <w:r>
        <w:fldChar w:fldCharType="end"/>
      </w:r>
      <w:r>
        <w:t>, the parties agree that</w:t>
      </w:r>
      <w:bookmarkEnd w:id="4679"/>
      <w:r>
        <w:t xml:space="preserve"> </w:t>
      </w:r>
      <w:r w:rsidR="00411B14">
        <w:rPr>
          <w:lang w:eastAsia="en-AU"/>
        </w:rPr>
        <w:t>Project Operator</w:t>
      </w:r>
      <w:r>
        <w:rPr>
          <w:lang w:eastAsia="en-AU"/>
        </w:rPr>
        <w:t xml:space="preserve"> may </w:t>
      </w:r>
      <w:r w:rsidRPr="00473E9F">
        <w:rPr>
          <w:lang w:eastAsia="en-AU"/>
        </w:rPr>
        <w:t xml:space="preserve">grant </w:t>
      </w:r>
      <w:r>
        <w:rPr>
          <w:lang w:eastAsia="en-AU"/>
        </w:rPr>
        <w:t xml:space="preserve">a </w:t>
      </w:r>
      <w:r w:rsidR="00696003">
        <w:rPr>
          <w:lang w:eastAsia="en-AU"/>
        </w:rPr>
        <w:t xml:space="preserve">Security Interest </w:t>
      </w:r>
      <w:r w:rsidRPr="00473E9F">
        <w:rPr>
          <w:lang w:eastAsia="en-AU"/>
        </w:rPr>
        <w:t xml:space="preserve">in respect of its rights </w:t>
      </w:r>
      <w:r w:rsidR="00DB4C26">
        <w:rPr>
          <w:lang w:eastAsia="en-AU"/>
        </w:rPr>
        <w:t xml:space="preserve">and obligations </w:t>
      </w:r>
      <w:r w:rsidRPr="00473E9F">
        <w:rPr>
          <w:lang w:eastAsia="en-AU"/>
        </w:rPr>
        <w:t xml:space="preserve">under this </w:t>
      </w:r>
      <w:r>
        <w:rPr>
          <w:lang w:eastAsia="en-AU"/>
        </w:rPr>
        <w:t>agreement</w:t>
      </w:r>
      <w:r w:rsidR="00BC294D">
        <w:rPr>
          <w:lang w:eastAsia="en-AU"/>
        </w:rPr>
        <w:t xml:space="preserve"> or the Project</w:t>
      </w:r>
      <w:r w:rsidRPr="00473E9F">
        <w:rPr>
          <w:lang w:eastAsia="en-AU"/>
        </w:rPr>
        <w:t xml:space="preserve"> </w:t>
      </w:r>
      <w:r w:rsidR="00402C4A">
        <w:rPr>
          <w:lang w:eastAsia="en-AU"/>
        </w:rPr>
        <w:t>[and</w:t>
      </w:r>
      <w:r w:rsidR="00027F6B">
        <w:t>, if applicable,</w:t>
      </w:r>
      <w:r w:rsidR="00402C4A">
        <w:rPr>
          <w:lang w:eastAsia="en-AU"/>
        </w:rPr>
        <w:t xml:space="preserve"> the Associated Project]</w:t>
      </w:r>
      <w:r w:rsidR="001A7039">
        <w:rPr>
          <w:lang w:eastAsia="en-AU"/>
        </w:rPr>
        <w:t xml:space="preserve"> [and the Existing Project]</w:t>
      </w:r>
      <w:r w:rsidR="00402C4A">
        <w:rPr>
          <w:lang w:eastAsia="en-AU"/>
        </w:rPr>
        <w:t xml:space="preserve"> </w:t>
      </w:r>
      <w:r w:rsidRPr="00473E9F">
        <w:rPr>
          <w:lang w:eastAsia="en-AU"/>
        </w:rPr>
        <w:t>in favour of a secured lender</w:t>
      </w:r>
      <w:r>
        <w:rPr>
          <w:lang w:eastAsia="en-AU"/>
        </w:rPr>
        <w:t xml:space="preserve"> (or a trustee acting on its behalf)</w:t>
      </w:r>
      <w:r w:rsidRPr="00473E9F">
        <w:rPr>
          <w:lang w:eastAsia="en-AU"/>
        </w:rPr>
        <w:t xml:space="preserve"> </w:t>
      </w:r>
      <w:r w:rsidR="005135D0">
        <w:rPr>
          <w:lang w:eastAsia="en-AU"/>
        </w:rPr>
        <w:t>which</w:t>
      </w:r>
      <w:r w:rsidRPr="00473E9F">
        <w:rPr>
          <w:lang w:eastAsia="en-AU"/>
        </w:rPr>
        <w:t xml:space="preserve"> is providing financial accommodation on secured terms to </w:t>
      </w:r>
      <w:r w:rsidR="00411B14">
        <w:rPr>
          <w:lang w:eastAsia="en-AU"/>
        </w:rPr>
        <w:t>Project Operator</w:t>
      </w:r>
      <w:r w:rsidRPr="00473E9F">
        <w:rPr>
          <w:lang w:eastAsia="en-AU"/>
        </w:rPr>
        <w:t xml:space="preserve"> (or to any of its Related Bodies Corporate) in connection with </w:t>
      </w:r>
      <w:r>
        <w:rPr>
          <w:lang w:eastAsia="en-AU"/>
        </w:rPr>
        <w:t>the Project</w:t>
      </w:r>
      <w:r w:rsidR="00402C4A">
        <w:rPr>
          <w:lang w:eastAsia="en-AU"/>
        </w:rPr>
        <w:t xml:space="preserve"> [or</w:t>
      </w:r>
      <w:r w:rsidR="00027F6B">
        <w:t>, if applicable,</w:t>
      </w:r>
      <w:r w:rsidR="00402C4A">
        <w:rPr>
          <w:lang w:eastAsia="en-AU"/>
        </w:rPr>
        <w:t xml:space="preserve"> the Associated Project]</w:t>
      </w:r>
      <w:r>
        <w:rPr>
          <w:lang w:eastAsia="en-AU"/>
        </w:rPr>
        <w:t>.</w:t>
      </w:r>
      <w:bookmarkEnd w:id="4680"/>
      <w:r w:rsidR="00402C4A">
        <w:rPr>
          <w:lang w:eastAsia="en-AU"/>
        </w:rPr>
        <w:t xml:space="preserve"> </w:t>
      </w:r>
      <w:r w:rsidR="00402C4A">
        <w:t>[</w:t>
      </w:r>
      <w:r w:rsidR="00402C4A" w:rsidRPr="004D3942">
        <w:rPr>
          <w:b/>
          <w:bCs/>
          <w:i/>
          <w:iCs/>
          <w:highlight w:val="lightGray"/>
        </w:rPr>
        <w:t xml:space="preserve">Note: </w:t>
      </w:r>
      <w:r w:rsidR="00461FD2" w:rsidRPr="004D3942">
        <w:rPr>
          <w:b/>
          <w:bCs/>
          <w:i/>
          <w:iCs/>
          <w:highlight w:val="lightGray"/>
        </w:rPr>
        <w:t xml:space="preserve">square bracketed </w:t>
      </w:r>
      <w:r w:rsidR="00402C4A" w:rsidRPr="004D3942">
        <w:rPr>
          <w:b/>
          <w:bCs/>
          <w:i/>
          <w:iCs/>
          <w:highlight w:val="lightGray"/>
        </w:rPr>
        <w:t xml:space="preserve">wording </w:t>
      </w:r>
      <w:r w:rsidR="0029197E" w:rsidRPr="004D3942">
        <w:rPr>
          <w:b/>
          <w:bCs/>
          <w:i/>
          <w:iCs/>
          <w:highlight w:val="lightGray"/>
        </w:rPr>
        <w:t xml:space="preserve">is to </w:t>
      </w:r>
      <w:r w:rsidR="00402C4A" w:rsidRPr="004D3942">
        <w:rPr>
          <w:b/>
          <w:bCs/>
          <w:i/>
          <w:iCs/>
          <w:highlight w:val="lightGray"/>
        </w:rPr>
        <w:t xml:space="preserve">be included for </w:t>
      </w:r>
      <w:r w:rsidR="00027F6B" w:rsidRPr="004D3942">
        <w:rPr>
          <w:b/>
          <w:bCs/>
          <w:i/>
          <w:iCs/>
          <w:highlight w:val="lightGray"/>
        </w:rPr>
        <w:t xml:space="preserve">all </w:t>
      </w:r>
      <w:r w:rsidR="00402C4A" w:rsidRPr="004D3942">
        <w:rPr>
          <w:b/>
          <w:bCs/>
          <w:i/>
          <w:iCs/>
          <w:highlight w:val="lightGray"/>
        </w:rPr>
        <w:t>Hybrid Projects</w:t>
      </w:r>
      <w:r w:rsidR="00321C16">
        <w:rPr>
          <w:b/>
          <w:bCs/>
          <w:i/>
          <w:iCs/>
          <w:highlight w:val="lightGray"/>
        </w:rPr>
        <w:t xml:space="preserve"> and Staged Projects, as applicable</w:t>
      </w:r>
      <w:r w:rsidR="00027F6B" w:rsidRPr="004D3942">
        <w:rPr>
          <w:b/>
          <w:bCs/>
          <w:i/>
          <w:iCs/>
          <w:highlight w:val="lightGray"/>
        </w:rPr>
        <w:t>.</w:t>
      </w:r>
      <w:r w:rsidR="00402C4A">
        <w:t>]</w:t>
      </w:r>
    </w:p>
    <w:p w14:paraId="0C01371B" w14:textId="6BD56AF5" w:rsidR="00675F03" w:rsidRDefault="00675F03" w:rsidP="0058045D">
      <w:pPr>
        <w:pStyle w:val="Heading3"/>
        <w:rPr>
          <w:lang w:eastAsia="en-AU"/>
        </w:rPr>
      </w:pPr>
      <w:r>
        <w:rPr>
          <w:lang w:eastAsia="en-AU"/>
        </w:rPr>
        <w:t xml:space="preserve">The parties </w:t>
      </w:r>
      <w:r w:rsidRPr="00847C21">
        <w:rPr>
          <w:lang w:eastAsia="en-AU"/>
        </w:rPr>
        <w:t>acknowledge and agree that the clause</w:t>
      </w:r>
      <w:r w:rsidR="00A15084" w:rsidRPr="00847C21">
        <w:rPr>
          <w:lang w:eastAsia="en-AU"/>
        </w:rPr>
        <w:t>s</w:t>
      </w:r>
      <w:r w:rsidR="009E2AE6" w:rsidRPr="00847C21">
        <w:rPr>
          <w:lang w:eastAsia="en-AU"/>
        </w:rPr>
        <w:t> </w:t>
      </w:r>
      <w:r w:rsidR="00A15084" w:rsidRPr="00847C21">
        <w:rPr>
          <w:lang w:eastAsia="en-AU"/>
        </w:rPr>
        <w:t>23.1</w:t>
      </w:r>
      <w:r w:rsidR="00A15084" w:rsidRPr="00847C21">
        <w:rPr>
          <w:lang w:eastAsia="en-AU"/>
        </w:rPr>
        <w:fldChar w:fldCharType="begin"/>
      </w:r>
      <w:r w:rsidR="00A15084" w:rsidRPr="00847C21">
        <w:rPr>
          <w:lang w:eastAsia="en-AU"/>
        </w:rPr>
        <w:instrText xml:space="preserve"> REF _Ref205802252 \r \h </w:instrText>
      </w:r>
      <w:r w:rsidR="00A15084" w:rsidRPr="008F660B">
        <w:rPr>
          <w:lang w:eastAsia="en-AU"/>
        </w:rPr>
        <w:instrText xml:space="preserve"> \* MERGEFORMAT </w:instrText>
      </w:r>
      <w:r w:rsidR="00A15084" w:rsidRPr="00847C21">
        <w:rPr>
          <w:lang w:eastAsia="en-AU"/>
        </w:rPr>
      </w:r>
      <w:r w:rsidR="00A15084" w:rsidRPr="00847C21">
        <w:rPr>
          <w:lang w:eastAsia="en-AU"/>
        </w:rPr>
        <w:fldChar w:fldCharType="separate"/>
      </w:r>
      <w:r w:rsidR="002E5C6A">
        <w:rPr>
          <w:lang w:eastAsia="en-AU"/>
        </w:rPr>
        <w:t>(a)</w:t>
      </w:r>
      <w:r w:rsidR="00A15084" w:rsidRPr="00847C21">
        <w:rPr>
          <w:lang w:eastAsia="en-AU"/>
        </w:rPr>
        <w:fldChar w:fldCharType="end"/>
      </w:r>
      <w:r w:rsidR="00A15084" w:rsidRPr="00847C21">
        <w:rPr>
          <w:lang w:eastAsia="en-AU"/>
        </w:rPr>
        <w:t xml:space="preserve"> to 23.1</w:t>
      </w:r>
      <w:r w:rsidR="00A15084" w:rsidRPr="00847C21">
        <w:rPr>
          <w:lang w:eastAsia="en-AU"/>
        </w:rPr>
        <w:fldChar w:fldCharType="begin"/>
      </w:r>
      <w:r w:rsidR="00A15084" w:rsidRPr="00847C21">
        <w:rPr>
          <w:lang w:eastAsia="en-AU"/>
        </w:rPr>
        <w:instrText xml:space="preserve"> REF _Ref205802256 \r \h </w:instrText>
      </w:r>
      <w:r w:rsidR="00A15084" w:rsidRPr="008F660B">
        <w:rPr>
          <w:lang w:eastAsia="en-AU"/>
        </w:rPr>
        <w:instrText xml:space="preserve"> \* MERGEFORMAT </w:instrText>
      </w:r>
      <w:r w:rsidR="00A15084" w:rsidRPr="00847C21">
        <w:rPr>
          <w:lang w:eastAsia="en-AU"/>
        </w:rPr>
      </w:r>
      <w:r w:rsidR="00A15084" w:rsidRPr="00847C21">
        <w:rPr>
          <w:lang w:eastAsia="en-AU"/>
        </w:rPr>
        <w:fldChar w:fldCharType="separate"/>
      </w:r>
      <w:r w:rsidR="002E5C6A">
        <w:rPr>
          <w:lang w:eastAsia="en-AU"/>
        </w:rPr>
        <w:t>(c)</w:t>
      </w:r>
      <w:r w:rsidR="00A15084" w:rsidRPr="00847C21">
        <w:rPr>
          <w:lang w:eastAsia="en-AU"/>
        </w:rPr>
        <w:fldChar w:fldCharType="end"/>
      </w:r>
      <w:r w:rsidR="00A15084" w:rsidRPr="00847C21">
        <w:rPr>
          <w:lang w:eastAsia="en-AU"/>
        </w:rPr>
        <w:t xml:space="preserve"> of this agreement</w:t>
      </w:r>
      <w:r w:rsidRPr="00847C21">
        <w:rPr>
          <w:lang w:eastAsia="en-AU"/>
        </w:rPr>
        <w:t xml:space="preserve"> will apply to any assignment, novation or transfer of </w:t>
      </w:r>
      <w:r w:rsidR="00411B14" w:rsidRPr="00847C21">
        <w:rPr>
          <w:lang w:eastAsia="en-AU"/>
        </w:rPr>
        <w:t>Project Operator</w:t>
      </w:r>
      <w:r w:rsidR="008B42B0" w:rsidRPr="00847C21">
        <w:rPr>
          <w:lang w:eastAsia="en-AU"/>
        </w:rPr>
        <w:t>’</w:t>
      </w:r>
      <w:r w:rsidRPr="00847C21">
        <w:rPr>
          <w:lang w:eastAsia="en-AU"/>
        </w:rPr>
        <w:t>s rights</w:t>
      </w:r>
      <w:r w:rsidR="00DB4C26" w:rsidRPr="00847C21">
        <w:rPr>
          <w:lang w:eastAsia="en-AU"/>
        </w:rPr>
        <w:t xml:space="preserve"> and obligations</w:t>
      </w:r>
      <w:r w:rsidRPr="00847C21">
        <w:rPr>
          <w:lang w:eastAsia="en-AU"/>
        </w:rPr>
        <w:t xml:space="preserve"> under, title</w:t>
      </w:r>
      <w:r>
        <w:rPr>
          <w:lang w:eastAsia="en-AU"/>
        </w:rPr>
        <w:t xml:space="preserve"> to and interest in this agreement</w:t>
      </w:r>
      <w:r w:rsidR="00A0771D">
        <w:rPr>
          <w:lang w:eastAsia="en-AU"/>
        </w:rPr>
        <w:t xml:space="preserve"> or the Project</w:t>
      </w:r>
      <w:r>
        <w:rPr>
          <w:lang w:eastAsia="en-AU"/>
        </w:rPr>
        <w:t xml:space="preserve"> following the enforcement of a </w:t>
      </w:r>
      <w:r w:rsidR="00696003">
        <w:rPr>
          <w:lang w:eastAsia="en-AU"/>
        </w:rPr>
        <w:t xml:space="preserve">Security Interest </w:t>
      </w:r>
      <w:r>
        <w:rPr>
          <w:lang w:eastAsia="en-AU"/>
        </w:rPr>
        <w:t xml:space="preserve">granted by </w:t>
      </w:r>
      <w:r w:rsidR="00411B14">
        <w:rPr>
          <w:lang w:eastAsia="en-AU"/>
        </w:rPr>
        <w:t>Project Operator</w:t>
      </w:r>
      <w:r>
        <w:rPr>
          <w:lang w:eastAsia="en-AU"/>
        </w:rPr>
        <w:t xml:space="preserve"> in accordance with </w:t>
      </w:r>
      <w:r w:rsidR="00981C6E">
        <w:rPr>
          <w:lang w:eastAsia="en-AU"/>
        </w:rPr>
        <w:t>paragraph</w:t>
      </w:r>
      <w:r>
        <w:rPr>
          <w:lang w:eastAsia="en-AU"/>
        </w:rPr>
        <w:t xml:space="preserve"> </w:t>
      </w:r>
      <w:r>
        <w:rPr>
          <w:lang w:eastAsia="en-AU"/>
        </w:rPr>
        <w:fldChar w:fldCharType="begin"/>
      </w:r>
      <w:r>
        <w:rPr>
          <w:lang w:eastAsia="en-AU"/>
        </w:rPr>
        <w:instrText xml:space="preserve"> REF _Ref104317300 \r \h </w:instrText>
      </w:r>
      <w:r>
        <w:rPr>
          <w:lang w:eastAsia="en-AU"/>
        </w:rPr>
      </w:r>
      <w:r>
        <w:rPr>
          <w:lang w:eastAsia="en-AU"/>
        </w:rPr>
        <w:fldChar w:fldCharType="separate"/>
      </w:r>
      <w:r w:rsidR="002E5C6A">
        <w:rPr>
          <w:lang w:eastAsia="en-AU"/>
        </w:rPr>
        <w:t>(d)</w:t>
      </w:r>
      <w:r>
        <w:rPr>
          <w:lang w:eastAsia="en-AU"/>
        </w:rPr>
        <w:fldChar w:fldCharType="end"/>
      </w:r>
      <w:r>
        <w:rPr>
          <w:lang w:eastAsia="en-AU"/>
        </w:rPr>
        <w:t>.</w:t>
      </w:r>
    </w:p>
    <w:p w14:paraId="25ABCB98" w14:textId="77777777" w:rsidR="00675F03" w:rsidRPr="00EF3418" w:rsidRDefault="00675F03" w:rsidP="0058045D">
      <w:pPr>
        <w:pStyle w:val="Heading2"/>
      </w:pPr>
      <w:bookmarkStart w:id="4681" w:name="_Ref94795917"/>
      <w:bookmarkStart w:id="4682" w:name="_Toc104238858"/>
      <w:bookmarkStart w:id="4683" w:name="_Toc104305739"/>
      <w:bookmarkStart w:id="4684" w:name="_Ref199426563"/>
      <w:bookmarkStart w:id="4685" w:name="_Toc207309681"/>
      <w:r w:rsidRPr="00EF3418">
        <w:t xml:space="preserve">Assignment by </w:t>
      </w:r>
      <w:bookmarkEnd w:id="4681"/>
      <w:bookmarkEnd w:id="4682"/>
      <w:bookmarkEnd w:id="4683"/>
      <w:r w:rsidR="00BE77D6" w:rsidRPr="00EF3418">
        <w:t>the Commonwealth</w:t>
      </w:r>
      <w:bookmarkEnd w:id="4684"/>
      <w:bookmarkEnd w:id="4685"/>
    </w:p>
    <w:p w14:paraId="4AAE5651" w14:textId="2B268EC3" w:rsidR="00675F03" w:rsidRPr="00EF3418" w:rsidRDefault="00B30DFE" w:rsidP="0058045D">
      <w:pPr>
        <w:pStyle w:val="Heading3"/>
      </w:pPr>
      <w:r>
        <w:t>T</w:t>
      </w:r>
      <w:r w:rsidR="00BE77D6" w:rsidRPr="00EF3418">
        <w:t>he Commonwealth</w:t>
      </w:r>
      <w:r w:rsidR="00675F03" w:rsidRPr="00EF3418">
        <w:t xml:space="preserve"> must not assign, novate or otherwise transfer its rights</w:t>
      </w:r>
      <w:r w:rsidR="00DB4C26" w:rsidRPr="00EF3418">
        <w:t xml:space="preserve"> or obligations</w:t>
      </w:r>
      <w:r w:rsidR="00675F03" w:rsidRPr="00EF3418">
        <w:t xml:space="preserve"> under, title to or interest in this agreement other than in accordance with this clause </w:t>
      </w:r>
      <w:r w:rsidR="00675F03" w:rsidRPr="00EF3418">
        <w:fldChar w:fldCharType="begin"/>
      </w:r>
      <w:r w:rsidR="00675F03" w:rsidRPr="00EF3418">
        <w:instrText xml:space="preserve"> REF _Ref94795917 \n \h </w:instrText>
      </w:r>
      <w:r w:rsidR="00EF3418">
        <w:instrText xml:space="preserve"> \* MERGEFORMAT </w:instrText>
      </w:r>
      <w:r w:rsidR="00675F03" w:rsidRPr="00EF3418">
        <w:fldChar w:fldCharType="separate"/>
      </w:r>
      <w:r w:rsidR="002E5C6A">
        <w:t>23.2</w:t>
      </w:r>
      <w:r w:rsidR="00675F03" w:rsidRPr="00EF3418">
        <w:fldChar w:fldCharType="end"/>
      </w:r>
      <w:r w:rsidR="00675F03" w:rsidRPr="00EF3418">
        <w:t>.</w:t>
      </w:r>
    </w:p>
    <w:p w14:paraId="1D3241F0" w14:textId="02A9E7B7" w:rsidR="00675F03" w:rsidRPr="00EF3418" w:rsidRDefault="001A7039" w:rsidP="0058045D">
      <w:pPr>
        <w:pStyle w:val="Heading3"/>
      </w:pPr>
      <w:bookmarkStart w:id="4686" w:name="_Ref101430731"/>
      <w:r>
        <w:t>Without limitation</w:t>
      </w:r>
      <w:r w:rsidRPr="00EF3418">
        <w:t xml:space="preserve"> </w:t>
      </w:r>
      <w:r w:rsidR="00675F03" w:rsidRPr="00EF3418">
        <w:t xml:space="preserve">to </w:t>
      </w:r>
      <w:r w:rsidR="00981C6E" w:rsidRPr="00EF3418">
        <w:t>paragraph</w:t>
      </w:r>
      <w:r w:rsidR="00675F03" w:rsidRPr="00EF3418">
        <w:t xml:space="preserve"> </w:t>
      </w:r>
      <w:r w:rsidR="00675F03" w:rsidRPr="00EF3418">
        <w:fldChar w:fldCharType="begin"/>
      </w:r>
      <w:r w:rsidR="00675F03" w:rsidRPr="00EF3418">
        <w:instrText xml:space="preserve"> REF _Ref104317299 \r \h </w:instrText>
      </w:r>
      <w:r w:rsidR="00EF3418">
        <w:instrText xml:space="preserve"> \* MERGEFORMAT </w:instrText>
      </w:r>
      <w:r w:rsidR="00675F03" w:rsidRPr="00EF3418">
        <w:fldChar w:fldCharType="separate"/>
      </w:r>
      <w:r w:rsidR="002E5C6A">
        <w:t>(c)</w:t>
      </w:r>
      <w:r w:rsidR="00675F03" w:rsidRPr="00EF3418">
        <w:fldChar w:fldCharType="end"/>
      </w:r>
      <w:r w:rsidR="00675F03" w:rsidRPr="00EF3418">
        <w:t xml:space="preserve">, </w:t>
      </w:r>
      <w:r w:rsidR="00BE77D6" w:rsidRPr="00EF3418">
        <w:t>the Commonwealth</w:t>
      </w:r>
      <w:r w:rsidR="00675F03" w:rsidRPr="00EF3418">
        <w:t xml:space="preserve"> may assign, novate or otherwise transfer its rights</w:t>
      </w:r>
      <w:r w:rsidR="00DB4C26" w:rsidRPr="00EF3418">
        <w:t xml:space="preserve"> and obligations</w:t>
      </w:r>
      <w:r w:rsidR="00675F03" w:rsidRPr="00EF3418">
        <w:t xml:space="preserve"> under, title to or interest in this agreement with </w:t>
      </w:r>
      <w:r w:rsidR="00411B14" w:rsidRPr="00EF3418">
        <w:t>Project Operator</w:t>
      </w:r>
      <w:r w:rsidR="00675F03" w:rsidRPr="00EF3418">
        <w:t>’s prior written consent, such consent not to be unreasonably withheld or delayed.</w:t>
      </w:r>
    </w:p>
    <w:p w14:paraId="2C1845DE" w14:textId="77777777" w:rsidR="009B18D4" w:rsidRPr="00EF3418" w:rsidRDefault="00B30DFE" w:rsidP="0058045D">
      <w:pPr>
        <w:pStyle w:val="Heading3"/>
      </w:pPr>
      <w:bookmarkStart w:id="4687" w:name="_Ref104317299"/>
      <w:r>
        <w:t>T</w:t>
      </w:r>
      <w:r w:rsidR="00BE77D6" w:rsidRPr="00EF3418">
        <w:t>he Commonwealth</w:t>
      </w:r>
      <w:r w:rsidR="00675F03" w:rsidRPr="00EF3418">
        <w:t xml:space="preserve"> may assign, novate or otherwise transfer its rights </w:t>
      </w:r>
      <w:r w:rsidR="00DB4C26" w:rsidRPr="00EF3418">
        <w:t xml:space="preserve">and obligations </w:t>
      </w:r>
      <w:r w:rsidR="00675F03" w:rsidRPr="00EF3418">
        <w:t xml:space="preserve">under, title to or interest in this agreement without </w:t>
      </w:r>
      <w:r w:rsidR="00411B14" w:rsidRPr="00EF3418">
        <w:t>Project Operator</w:t>
      </w:r>
      <w:r w:rsidR="00675F03" w:rsidRPr="00EF3418">
        <w:t>’s consent to:</w:t>
      </w:r>
      <w:bookmarkEnd w:id="4686"/>
      <w:bookmarkEnd w:id="4687"/>
      <w:r w:rsidR="00675F03" w:rsidRPr="00EF3418">
        <w:t xml:space="preserve"> </w:t>
      </w:r>
    </w:p>
    <w:p w14:paraId="3A3D1989" w14:textId="77777777" w:rsidR="00675F03" w:rsidRDefault="00675F03" w:rsidP="0058045D">
      <w:pPr>
        <w:pStyle w:val="Heading4"/>
      </w:pPr>
      <w:bookmarkStart w:id="4688" w:name="_Ref180417270"/>
      <w:r w:rsidRPr="0061461A">
        <w:t xml:space="preserve">a </w:t>
      </w:r>
      <w:r w:rsidR="000C2B14" w:rsidRPr="0061461A">
        <w:t>Commonwealth</w:t>
      </w:r>
      <w:r w:rsidRPr="0061461A">
        <w:t xml:space="preserve"> Entity</w:t>
      </w:r>
      <w:r w:rsidRPr="00EF3418">
        <w:t xml:space="preserve">; </w:t>
      </w:r>
      <w:r w:rsidR="00CD7CDD" w:rsidRPr="00EF3418">
        <w:t>or</w:t>
      </w:r>
      <w:bookmarkEnd w:id="4688"/>
      <w:r w:rsidR="0061461A">
        <w:t xml:space="preserve"> </w:t>
      </w:r>
    </w:p>
    <w:p w14:paraId="550965F9" w14:textId="529B620D" w:rsidR="00E62D3F" w:rsidRPr="00110D4F" w:rsidRDefault="000350B0" w:rsidP="0058045D">
      <w:pPr>
        <w:pStyle w:val="Heading4"/>
        <w:rPr>
          <w:szCs w:val="18"/>
        </w:rPr>
      </w:pPr>
      <w:bookmarkStart w:id="4689" w:name="_Ref180417297"/>
      <w:r w:rsidRPr="00110D4F">
        <w:t xml:space="preserve">another entity </w:t>
      </w:r>
      <w:r w:rsidR="000D0F1D">
        <w:t>that</w:t>
      </w:r>
      <w:r w:rsidR="000D0F1D" w:rsidRPr="00110D4F">
        <w:t xml:space="preserve"> </w:t>
      </w:r>
      <w:r w:rsidRPr="00110D4F">
        <w:t>has been guaranteed by the Commonwealth</w:t>
      </w:r>
      <w:r w:rsidR="00E62D3F" w:rsidRPr="00110D4F">
        <w:t>,</w:t>
      </w:r>
      <w:bookmarkEnd w:id="4689"/>
    </w:p>
    <w:p w14:paraId="5DBA09FB" w14:textId="4B2EE411" w:rsidR="00A0771D" w:rsidRDefault="00E62D3F" w:rsidP="0058045D">
      <w:pPr>
        <w:pStyle w:val="Heading4"/>
        <w:numPr>
          <w:ilvl w:val="0"/>
          <w:numId w:val="0"/>
        </w:numPr>
        <w:ind w:left="1474"/>
      </w:pPr>
      <w:r>
        <w:t>provided that</w:t>
      </w:r>
      <w:r w:rsidR="001A7039">
        <w:t>:</w:t>
      </w:r>
    </w:p>
    <w:p w14:paraId="6430176F" w14:textId="77777777" w:rsidR="00A0771D" w:rsidRDefault="00A0771D" w:rsidP="0076796C">
      <w:pPr>
        <w:pStyle w:val="Heading4"/>
      </w:pPr>
      <w:bookmarkStart w:id="4690" w:name="_Hlk174438398"/>
      <w:r>
        <w:t xml:space="preserve">the </w:t>
      </w:r>
      <w:r w:rsidRPr="000C16F6">
        <w:t xml:space="preserve">assignee, novatee or transferee </w:t>
      </w:r>
      <w:r w:rsidRPr="00ED4173">
        <w:t>holds a valid Australian Business Number</w:t>
      </w:r>
      <w:r>
        <w:t>;</w:t>
      </w:r>
    </w:p>
    <w:p w14:paraId="23FFD97D" w14:textId="0F531C72" w:rsidR="00A0771D" w:rsidRDefault="00A0771D" w:rsidP="0076796C">
      <w:pPr>
        <w:pStyle w:val="Heading4"/>
      </w:pPr>
      <w:r>
        <w:t xml:space="preserve">the Commonwealth is of the view that the </w:t>
      </w:r>
      <w:r w:rsidRPr="000C16F6">
        <w:t xml:space="preserve">assignee, novatee or transferee has the legal, </w:t>
      </w:r>
      <w:r>
        <w:t xml:space="preserve">commercial, </w:t>
      </w:r>
      <w:r w:rsidRPr="000C16F6">
        <w:t xml:space="preserve">financial and technical capability to perform </w:t>
      </w:r>
      <w:r w:rsidR="00191249">
        <w:t xml:space="preserve">(or have performed) the </w:t>
      </w:r>
      <w:r w:rsidRPr="000C16F6">
        <w:t>Commonwealth’s obligations under the agreement</w:t>
      </w:r>
      <w:r>
        <w:t>;</w:t>
      </w:r>
    </w:p>
    <w:p w14:paraId="294753EC" w14:textId="6AA6D450" w:rsidR="00A0771D" w:rsidRDefault="00A0771D" w:rsidP="0076796C">
      <w:pPr>
        <w:pStyle w:val="Heading4"/>
      </w:pPr>
      <w:r>
        <w:t xml:space="preserve">the </w:t>
      </w:r>
      <w:r w:rsidRPr="000C16F6">
        <w:t xml:space="preserve">assignee, novatee or transferee </w:t>
      </w:r>
      <w:r w:rsidRPr="00ED3A62">
        <w:t xml:space="preserve">agrees to assume all </w:t>
      </w:r>
      <w:r>
        <w:t xml:space="preserve">of the </w:t>
      </w:r>
      <w:r w:rsidRPr="00ED3A62">
        <w:t xml:space="preserve">obligations of </w:t>
      </w:r>
      <w:r w:rsidR="001A7039">
        <w:t xml:space="preserve">the </w:t>
      </w:r>
      <w:r w:rsidRPr="00ED3A62">
        <w:t>Commonwealth under or in connection with the agreement</w:t>
      </w:r>
      <w:r>
        <w:t xml:space="preserve"> arising after the date of the </w:t>
      </w:r>
      <w:r w:rsidRPr="000C16F6">
        <w:t>assign</w:t>
      </w:r>
      <w:r>
        <w:t>ment</w:t>
      </w:r>
      <w:r w:rsidRPr="000C16F6">
        <w:t>, novat</w:t>
      </w:r>
      <w:r>
        <w:t>ion</w:t>
      </w:r>
      <w:r w:rsidRPr="000C16F6">
        <w:t xml:space="preserve"> or transfer</w:t>
      </w:r>
      <w:r w:rsidRPr="00ED3A62">
        <w:t xml:space="preserve">, including any obligation </w:t>
      </w:r>
      <w:r>
        <w:t>that may arise</w:t>
      </w:r>
      <w:r w:rsidRPr="00ED3A62">
        <w:t xml:space="preserve"> to pay the Fixed Termination Amount;</w:t>
      </w:r>
      <w:r>
        <w:t xml:space="preserve"> and</w:t>
      </w:r>
    </w:p>
    <w:p w14:paraId="6499ED0D" w14:textId="2E5C79F5" w:rsidR="00E62D3F" w:rsidRDefault="00A0771D" w:rsidP="0076796C">
      <w:pPr>
        <w:pStyle w:val="Heading4"/>
      </w:pPr>
      <w:r>
        <w:t xml:space="preserve">the Commonwealth notifies Project Operator, using reasonable endeavours to do so no later than twenty (20) Business Days after that assignment, novation or transfer and that notice: </w:t>
      </w:r>
      <w:bookmarkEnd w:id="4690"/>
    </w:p>
    <w:p w14:paraId="002805A3" w14:textId="77777777" w:rsidR="00E62D3F" w:rsidRPr="00E62D3F" w:rsidRDefault="00E62D3F" w:rsidP="0076796C">
      <w:pPr>
        <w:pStyle w:val="Heading5"/>
        <w:rPr>
          <w:szCs w:val="18"/>
        </w:rPr>
      </w:pPr>
      <w:r>
        <w:t xml:space="preserve">identifies </w:t>
      </w:r>
      <w:r w:rsidR="00301FD2">
        <w:t>that</w:t>
      </w:r>
      <w:r>
        <w:t xml:space="preserve"> assignee, </w:t>
      </w:r>
      <w:r w:rsidR="005135D0">
        <w:t>n</w:t>
      </w:r>
      <w:r w:rsidR="001117F7">
        <w:t>ovate</w:t>
      </w:r>
      <w:r w:rsidR="005135D0">
        <w:t>e</w:t>
      </w:r>
      <w:r>
        <w:t xml:space="preserve"> or transferee; and</w:t>
      </w:r>
    </w:p>
    <w:p w14:paraId="1A6CDFA3" w14:textId="77777777" w:rsidR="000350B0" w:rsidRPr="00EF3418" w:rsidRDefault="006619F2" w:rsidP="0076796C">
      <w:pPr>
        <w:pStyle w:val="Heading5"/>
        <w:rPr>
          <w:szCs w:val="18"/>
        </w:rPr>
      </w:pPr>
      <w:r>
        <w:t xml:space="preserve">sets out </w:t>
      </w:r>
      <w:r w:rsidR="00E62D3F">
        <w:t>the terms and conditions of that assignment, novation or transfer</w:t>
      </w:r>
      <w:r w:rsidR="000350B0">
        <w:t xml:space="preserve">. </w:t>
      </w:r>
    </w:p>
    <w:p w14:paraId="5DCC2424" w14:textId="77777777" w:rsidR="00675F03" w:rsidRDefault="00675F03" w:rsidP="0058045D">
      <w:pPr>
        <w:pStyle w:val="Heading2"/>
      </w:pPr>
      <w:bookmarkStart w:id="4691" w:name="_Toc159511854"/>
      <w:bookmarkStart w:id="4692" w:name="_Toc94798361"/>
      <w:bookmarkStart w:id="4693" w:name="_Toc94872287"/>
      <w:bookmarkStart w:id="4694" w:name="_Toc94885566"/>
      <w:bookmarkStart w:id="4695" w:name="_Toc94886001"/>
      <w:bookmarkStart w:id="4696" w:name="_Toc94886446"/>
      <w:bookmarkStart w:id="4697" w:name="_Toc99723572"/>
      <w:bookmarkStart w:id="4698" w:name="_Toc94798362"/>
      <w:bookmarkStart w:id="4699" w:name="_Toc94872288"/>
      <w:bookmarkStart w:id="4700" w:name="_Toc94885567"/>
      <w:bookmarkStart w:id="4701" w:name="_Toc94886002"/>
      <w:bookmarkStart w:id="4702" w:name="_Toc94886447"/>
      <w:bookmarkStart w:id="4703" w:name="_Toc99723573"/>
      <w:bookmarkStart w:id="4704" w:name="_Toc492494373"/>
      <w:bookmarkStart w:id="4705" w:name="_Toc492504604"/>
      <w:bookmarkStart w:id="4706" w:name="_Toc492504864"/>
      <w:bookmarkStart w:id="4707" w:name="_Toc492494374"/>
      <w:bookmarkStart w:id="4708" w:name="_Toc492504605"/>
      <w:bookmarkStart w:id="4709" w:name="_Toc492504865"/>
      <w:bookmarkStart w:id="4710" w:name="_Toc492504866"/>
      <w:bookmarkStart w:id="4711" w:name="_Toc515359067"/>
      <w:bookmarkStart w:id="4712" w:name="_Toc515470271"/>
      <w:bookmarkStart w:id="4713" w:name="_Toc104238859"/>
      <w:bookmarkStart w:id="4714" w:name="_Toc104305740"/>
      <w:bookmarkStart w:id="4715" w:name="_Toc207309682"/>
      <w:bookmarkEnd w:id="4668"/>
      <w:bookmarkEnd w:id="4669"/>
      <w:bookmarkEnd w:id="4670"/>
      <w:bookmarkEnd w:id="4677"/>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r>
        <w:t>Release</w:t>
      </w:r>
      <w:bookmarkEnd w:id="4710"/>
      <w:bookmarkEnd w:id="4711"/>
      <w:bookmarkEnd w:id="4712"/>
      <w:bookmarkEnd w:id="4713"/>
      <w:bookmarkEnd w:id="4714"/>
      <w:bookmarkEnd w:id="4715"/>
    </w:p>
    <w:p w14:paraId="7B935C90" w14:textId="4F3CD799" w:rsidR="00675F03" w:rsidRDefault="00675F03" w:rsidP="0058045D">
      <w:pPr>
        <w:pStyle w:val="Heading3"/>
        <w:numPr>
          <w:ilvl w:val="0"/>
          <w:numId w:val="0"/>
        </w:numPr>
        <w:ind w:left="737"/>
      </w:pPr>
      <w:bookmarkStart w:id="4716" w:name="_Toc515359068"/>
      <w:r>
        <w:t>If a party assigns, novates or otherwise transfers its rights</w:t>
      </w:r>
      <w:r w:rsidR="00DB4C26">
        <w:t xml:space="preserve"> and obligations</w:t>
      </w:r>
      <w:r>
        <w:t xml:space="preserve"> under, title to or interest in this agreement in accordance with this clause </w:t>
      </w:r>
      <w:r>
        <w:fldChar w:fldCharType="begin"/>
      </w:r>
      <w:r>
        <w:instrText xml:space="preserve"> REF _Ref492560881 \n \h </w:instrText>
      </w:r>
      <w:r>
        <w:fldChar w:fldCharType="separate"/>
      </w:r>
      <w:r w:rsidR="002E5C6A">
        <w:t>23</w:t>
      </w:r>
      <w:r>
        <w:fldChar w:fldCharType="end"/>
      </w:r>
      <w:r>
        <w:t xml:space="preserve"> (“</w:t>
      </w:r>
      <w:r>
        <w:fldChar w:fldCharType="begin"/>
      </w:r>
      <w:r>
        <w:instrText xml:space="preserve"> REF _Ref492560881 \h </w:instrText>
      </w:r>
      <w:r>
        <w:fldChar w:fldCharType="separate"/>
      </w:r>
      <w:r w:rsidR="002E5C6A">
        <w:t>Assignment and Change in Control</w:t>
      </w:r>
      <w:r>
        <w:fldChar w:fldCharType="end"/>
      </w:r>
      <w:r>
        <w:t>”), then the non-assigning party agrees to</w:t>
      </w:r>
      <w:bookmarkEnd w:id="4716"/>
      <w:r>
        <w:t xml:space="preserve"> release the assigning party from its obligations under this agreement arising on and from the date of the assignment, novation or transfer to the extent that those obligations are assumed in writing by the assignee on terms reasonably acceptable to the non-assigning party.</w:t>
      </w:r>
    </w:p>
    <w:p w14:paraId="5F52EA69" w14:textId="77777777" w:rsidR="00675F03" w:rsidRDefault="00675F03" w:rsidP="0058045D">
      <w:pPr>
        <w:pStyle w:val="Heading2"/>
      </w:pPr>
      <w:bookmarkStart w:id="4717" w:name="_Toc56502229"/>
      <w:bookmarkStart w:id="4718" w:name="_Toc56502490"/>
      <w:bookmarkStart w:id="4719" w:name="_Toc56502751"/>
      <w:bookmarkStart w:id="4720" w:name="_Toc104238860"/>
      <w:bookmarkStart w:id="4721" w:name="_Toc104305741"/>
      <w:bookmarkStart w:id="4722" w:name="_Ref165296530"/>
      <w:bookmarkStart w:id="4723" w:name="_Toc207309683"/>
      <w:bookmarkStart w:id="4724" w:name="_Toc492504869"/>
      <w:bookmarkStart w:id="4725" w:name="_Toc515359076"/>
      <w:bookmarkStart w:id="4726" w:name="_Toc515470274"/>
      <w:bookmarkStart w:id="4727" w:name="_Ref73980748"/>
      <w:bookmarkEnd w:id="4717"/>
      <w:bookmarkEnd w:id="4718"/>
      <w:bookmarkEnd w:id="4719"/>
      <w:r>
        <w:t>Change in Control</w:t>
      </w:r>
      <w:bookmarkEnd w:id="4720"/>
      <w:bookmarkEnd w:id="4721"/>
      <w:bookmarkEnd w:id="4722"/>
      <w:bookmarkEnd w:id="4723"/>
    </w:p>
    <w:p w14:paraId="0AF79FC8" w14:textId="53D2336E" w:rsidR="00675F03" w:rsidRPr="00B30DFE" w:rsidRDefault="00411B14" w:rsidP="0058045D">
      <w:pPr>
        <w:pStyle w:val="Heading3"/>
      </w:pPr>
      <w:r>
        <w:t>Project Operator</w:t>
      </w:r>
      <w:r w:rsidR="00675F03">
        <w:t xml:space="preserve"> must not undergo, </w:t>
      </w:r>
      <w:r w:rsidR="00A15084">
        <w:t>n</w:t>
      </w:r>
      <w:r w:rsidR="00675F03">
        <w:t xml:space="preserve">or agree to undergo, a Change in Control without </w:t>
      </w:r>
      <w:r w:rsidR="00BE77D6" w:rsidRPr="00B30DFE">
        <w:t>the Commonwealth</w:t>
      </w:r>
      <w:r w:rsidR="00486827" w:rsidRPr="00B30DFE">
        <w:t xml:space="preserve">’s </w:t>
      </w:r>
      <w:r w:rsidR="00675F03" w:rsidRPr="00B30DFE">
        <w:t>prior written consent.</w:t>
      </w:r>
    </w:p>
    <w:p w14:paraId="58B962C5" w14:textId="646EBBC4" w:rsidR="00675F03" w:rsidRDefault="00B30DFE" w:rsidP="0058045D">
      <w:pPr>
        <w:pStyle w:val="Heading3"/>
      </w:pPr>
      <w:r>
        <w:t>T</w:t>
      </w:r>
      <w:r w:rsidR="00BE77D6" w:rsidRPr="00B30DFE">
        <w:t>he Commonwealth</w:t>
      </w:r>
      <w:r w:rsidR="00675F03" w:rsidRPr="00B30DFE">
        <w:t>’s</w:t>
      </w:r>
      <w:r w:rsidR="00675F03">
        <w:t xml:space="preserve"> consent to a Change in Control of </w:t>
      </w:r>
      <w:r w:rsidR="00411B14">
        <w:t>Project Operator</w:t>
      </w:r>
      <w:r w:rsidR="00675F03">
        <w:t xml:space="preserve"> must not be unreasonably withheld or delayed </w:t>
      </w:r>
      <w:r w:rsidR="00E25BA3">
        <w:t>if</w:t>
      </w:r>
      <w:r w:rsidR="00675F03">
        <w:t>:</w:t>
      </w:r>
    </w:p>
    <w:p w14:paraId="5B0EF25C" w14:textId="1470928B" w:rsidR="00675F03" w:rsidRPr="00847C21" w:rsidRDefault="00411B14" w:rsidP="0058045D">
      <w:pPr>
        <w:pStyle w:val="Heading4"/>
      </w:pPr>
      <w:r>
        <w:t>Project Operator</w:t>
      </w:r>
      <w:r w:rsidR="00675F03">
        <w:t xml:space="preserve">’s </w:t>
      </w:r>
      <w:r w:rsidR="00675F03" w:rsidRPr="00644DA4">
        <w:t>legal, financial and technical capability</w:t>
      </w:r>
      <w:r w:rsidR="00675F03">
        <w:t xml:space="preserve"> to perform its obligations under this agreement will not be </w:t>
      </w:r>
      <w:r w:rsidR="00A0771D">
        <w:t xml:space="preserve">materially </w:t>
      </w:r>
      <w:r w:rsidR="00675F03">
        <w:t>adversely affected</w:t>
      </w:r>
      <w:r w:rsidR="00DD1EC2">
        <w:t xml:space="preserve"> (</w:t>
      </w:r>
      <w:r w:rsidR="00DF29D8">
        <w:t xml:space="preserve">as determined by the Commonwealth in </w:t>
      </w:r>
      <w:r w:rsidR="00DF29D8" w:rsidRPr="00847C21">
        <w:t>its absolute discretion</w:t>
      </w:r>
      <w:r w:rsidR="00DD1EC2" w:rsidRPr="00847C21">
        <w:t>)</w:t>
      </w:r>
      <w:r w:rsidR="00675F03" w:rsidRPr="00847C21">
        <w:t xml:space="preserve">; </w:t>
      </w:r>
    </w:p>
    <w:p w14:paraId="63E2D244" w14:textId="33458E47" w:rsidR="006E5E2E" w:rsidRPr="00847C21" w:rsidRDefault="00675F03" w:rsidP="0058045D">
      <w:pPr>
        <w:pStyle w:val="Heading4"/>
      </w:pPr>
      <w:r w:rsidRPr="00847C21">
        <w:t>in the case of</w:t>
      </w:r>
      <w:r w:rsidR="00A15084" w:rsidRPr="00847C21">
        <w:t xml:space="preserve"> a</w:t>
      </w:r>
      <w:r w:rsidRPr="00847C21">
        <w:t xml:space="preserve"> Change in Control that would occur prior to the Commercial Operations Date, </w:t>
      </w:r>
      <w:r w:rsidR="00BE77D6" w:rsidRPr="00847C21">
        <w:t>the Commonwealth</w:t>
      </w:r>
      <w:r w:rsidRPr="00847C21">
        <w:t xml:space="preserve"> considers (</w:t>
      </w:r>
      <w:r w:rsidR="00A15084" w:rsidRPr="00847C21">
        <w:t>a</w:t>
      </w:r>
      <w:r w:rsidR="00A15084" w:rsidRPr="008F660B">
        <w:t>s determined by the Commonwealth in its absolute</w:t>
      </w:r>
      <w:r w:rsidR="00A15084" w:rsidRPr="00847C21">
        <w:t xml:space="preserve"> discretion</w:t>
      </w:r>
      <w:r w:rsidRPr="00847C21">
        <w:t xml:space="preserve">) that </w:t>
      </w:r>
      <w:r w:rsidR="00411B14" w:rsidRPr="00847C21">
        <w:t>Project Operator</w:t>
      </w:r>
      <w:r w:rsidRPr="00847C21">
        <w:t xml:space="preserve"> would have achieved</w:t>
      </w:r>
      <w:r w:rsidR="001A7039" w:rsidRPr="00847C21">
        <w:t xml:space="preserve"> a</w:t>
      </w:r>
      <w:r w:rsidR="008F5ADD" w:rsidRPr="00847C21">
        <w:t xml:space="preserve"> merit </w:t>
      </w:r>
      <w:r w:rsidR="001A7039" w:rsidRPr="00847C21">
        <w:t>score that would not have resulted in a changed Tender ou</w:t>
      </w:r>
      <w:r w:rsidR="00B213F9" w:rsidRPr="00847C21">
        <w:t>t</w:t>
      </w:r>
      <w:r w:rsidR="001A7039" w:rsidRPr="00847C21">
        <w:t>come,</w:t>
      </w:r>
      <w:r w:rsidR="00B213F9" w:rsidRPr="00847C21">
        <w:t xml:space="preserve"> </w:t>
      </w:r>
      <w:r w:rsidR="008F5ADD" w:rsidRPr="00847C21">
        <w:t>had the Change in Control occurred prior to the determination of Project Operator’s merit score;</w:t>
      </w:r>
      <w:r w:rsidRPr="00847C21">
        <w:t xml:space="preserve"> </w:t>
      </w:r>
    </w:p>
    <w:p w14:paraId="017545D0" w14:textId="0E6FFE35" w:rsidR="00337F88" w:rsidRDefault="00337F88" w:rsidP="0058045D">
      <w:pPr>
        <w:pStyle w:val="Heading4"/>
      </w:pPr>
      <w:r w:rsidRPr="00847C21">
        <w:rPr>
          <w:szCs w:val="18"/>
        </w:rPr>
        <w:t>Project Operator will not</w:t>
      </w:r>
      <w:r w:rsidR="00E25BA3" w:rsidRPr="00847C21">
        <w:rPr>
          <w:szCs w:val="18"/>
        </w:rPr>
        <w:t xml:space="preserve">, following the </w:t>
      </w:r>
      <w:r w:rsidR="00E25BA3" w:rsidRPr="00847C21">
        <w:t>Change in Control,</w:t>
      </w:r>
      <w:r w:rsidRPr="00847C21">
        <w:rPr>
          <w:szCs w:val="18"/>
        </w:rPr>
        <w:t xml:space="preserve"> have </w:t>
      </w:r>
      <w:r w:rsidRPr="00847C21">
        <w:t>an</w:t>
      </w:r>
      <w:r w:rsidR="00335876">
        <w:t xml:space="preserve"> </w:t>
      </w:r>
      <w:r w:rsidRPr="00847C21">
        <w:t xml:space="preserve">interest </w:t>
      </w:r>
      <w:r w:rsidR="00E25BA3" w:rsidRPr="00847C21">
        <w:t xml:space="preserve">that </w:t>
      </w:r>
      <w:r w:rsidRPr="00847C21">
        <w:t>conflicts in a material way with the interests of the</w:t>
      </w:r>
      <w:r>
        <w:t xml:space="preserve"> Commonwealth; and </w:t>
      </w:r>
    </w:p>
    <w:p w14:paraId="0B03E793" w14:textId="77777777" w:rsidR="00337F88" w:rsidRPr="00337F88" w:rsidRDefault="00337F88" w:rsidP="0058045D">
      <w:pPr>
        <w:pStyle w:val="Heading4"/>
      </w:pPr>
      <w:r>
        <w:t xml:space="preserve">the proposed Change in Control: </w:t>
      </w:r>
    </w:p>
    <w:p w14:paraId="2FD7AFEC" w14:textId="77777777" w:rsidR="00337F88" w:rsidRDefault="00337F88" w:rsidP="0058045D">
      <w:pPr>
        <w:pStyle w:val="Heading5"/>
      </w:pPr>
      <w:r>
        <w:t>is not against the national interest;</w:t>
      </w:r>
    </w:p>
    <w:p w14:paraId="0084B496" w14:textId="77777777" w:rsidR="00337F88" w:rsidRDefault="00337F88" w:rsidP="0058045D">
      <w:pPr>
        <w:pStyle w:val="Heading5"/>
      </w:pPr>
      <w:r w:rsidRPr="004C2045">
        <w:rPr>
          <w:szCs w:val="18"/>
        </w:rPr>
        <w:t>would</w:t>
      </w:r>
      <w:r w:rsidRPr="0038602A">
        <w:t xml:space="preserve"> not have a material adverse effect on the Project</w:t>
      </w:r>
      <w:r>
        <w:t>;</w:t>
      </w:r>
      <w:r w:rsidRPr="0038602A">
        <w:t xml:space="preserve"> </w:t>
      </w:r>
      <w:r w:rsidR="006277A1">
        <w:t>and</w:t>
      </w:r>
      <w:r>
        <w:t xml:space="preserve"> </w:t>
      </w:r>
    </w:p>
    <w:p w14:paraId="7E109107" w14:textId="7977E482" w:rsidR="00675F03" w:rsidRPr="00266E72" w:rsidRDefault="006277A1" w:rsidP="0058045D">
      <w:pPr>
        <w:pStyle w:val="Heading5"/>
      </w:pPr>
      <w:r>
        <w:t xml:space="preserve">would not </w:t>
      </w:r>
      <w:r w:rsidR="00337F88" w:rsidRPr="0038602A">
        <w:t xml:space="preserve">increase the </w:t>
      </w:r>
      <w:r w:rsidR="00337F88">
        <w:t>l</w:t>
      </w:r>
      <w:r w:rsidR="00337F88" w:rsidRPr="0038602A">
        <w:t>iability of, or risks accepted by the Commonwealth under any Project Documents or in any other way in connection with the Project</w:t>
      </w:r>
      <w:r w:rsidR="00605D89">
        <w:t xml:space="preserve"> [or the Associated</w:t>
      </w:r>
      <w:r w:rsidR="001A7039">
        <w:t>/Existing</w:t>
      </w:r>
      <w:r w:rsidR="00605D89">
        <w:t xml:space="preserve"> Project]</w:t>
      </w:r>
      <w:r w:rsidR="00675F03" w:rsidRPr="00337F88">
        <w:rPr>
          <w:szCs w:val="18"/>
        </w:rPr>
        <w:t>.</w:t>
      </w:r>
      <w:r w:rsidR="00605D89">
        <w:rPr>
          <w:szCs w:val="18"/>
        </w:rPr>
        <w:t xml:space="preserve"> </w:t>
      </w:r>
      <w:r w:rsidR="00605D89">
        <w:t>[</w:t>
      </w:r>
      <w:r w:rsidR="00605D89" w:rsidRPr="004D3942">
        <w:rPr>
          <w:b/>
          <w:bCs/>
          <w:i/>
          <w:iCs/>
          <w:highlight w:val="lightGray"/>
        </w:rPr>
        <w:t xml:space="preserve">Note: </w:t>
      </w:r>
      <w:r w:rsidR="00A15084">
        <w:rPr>
          <w:b/>
          <w:bCs/>
          <w:i/>
          <w:iCs/>
          <w:highlight w:val="lightGray"/>
        </w:rPr>
        <w:t xml:space="preserve">the </w:t>
      </w:r>
      <w:r w:rsidR="00605D89">
        <w:rPr>
          <w:b/>
          <w:bCs/>
          <w:i/>
          <w:iCs/>
          <w:highlight w:val="lightGray"/>
        </w:rPr>
        <w:t xml:space="preserve">words in square brackets </w:t>
      </w:r>
      <w:r w:rsidR="00A15084">
        <w:rPr>
          <w:b/>
          <w:bCs/>
          <w:i/>
          <w:iCs/>
          <w:highlight w:val="lightGray"/>
        </w:rPr>
        <w:t xml:space="preserve">are </w:t>
      </w:r>
      <w:r w:rsidR="00605D89">
        <w:rPr>
          <w:b/>
          <w:bCs/>
          <w:i/>
          <w:iCs/>
          <w:highlight w:val="lightGray"/>
        </w:rPr>
        <w:t xml:space="preserve">to be included </w:t>
      </w:r>
      <w:r w:rsidR="00605D89" w:rsidRPr="004D3942">
        <w:rPr>
          <w:b/>
          <w:bCs/>
          <w:i/>
          <w:iCs/>
          <w:highlight w:val="lightGray"/>
        </w:rPr>
        <w:t>for all Hybrid Projects</w:t>
      </w:r>
      <w:r w:rsidR="001A7039">
        <w:rPr>
          <w:b/>
          <w:bCs/>
          <w:i/>
          <w:iCs/>
          <w:highlight w:val="lightGray"/>
        </w:rPr>
        <w:t xml:space="preserve"> and Staged Projects (as applicable)</w:t>
      </w:r>
      <w:r w:rsidR="00605D89" w:rsidRPr="004D3942">
        <w:rPr>
          <w:b/>
          <w:bCs/>
          <w:i/>
          <w:iCs/>
          <w:highlight w:val="lightGray"/>
        </w:rPr>
        <w:t>.</w:t>
      </w:r>
      <w:r w:rsidR="00605D89">
        <w:t>]</w:t>
      </w:r>
    </w:p>
    <w:p w14:paraId="5C98BA62" w14:textId="77777777" w:rsidR="00675F03" w:rsidRPr="005A3A42" w:rsidRDefault="00675F03" w:rsidP="0058045D">
      <w:pPr>
        <w:pStyle w:val="Heading2"/>
      </w:pPr>
      <w:bookmarkStart w:id="4728" w:name="_Ref86351681"/>
      <w:bookmarkStart w:id="4729" w:name="_Toc104238861"/>
      <w:bookmarkStart w:id="4730" w:name="_Toc104305742"/>
      <w:bookmarkStart w:id="4731" w:name="_Toc207309684"/>
      <w:r w:rsidRPr="005A3A42">
        <w:t xml:space="preserve">Tripartite </w:t>
      </w:r>
      <w:r w:rsidR="00AF30E9" w:rsidRPr="00792B2E">
        <w:t>D</w:t>
      </w:r>
      <w:r w:rsidRPr="005A3A42">
        <w:t>eed</w:t>
      </w:r>
      <w:bookmarkEnd w:id="4724"/>
      <w:bookmarkEnd w:id="4725"/>
      <w:bookmarkEnd w:id="4726"/>
      <w:bookmarkEnd w:id="4727"/>
      <w:bookmarkEnd w:id="4728"/>
      <w:bookmarkEnd w:id="4729"/>
      <w:bookmarkEnd w:id="4730"/>
      <w:bookmarkEnd w:id="4731"/>
    </w:p>
    <w:p w14:paraId="6A332089" w14:textId="77777777" w:rsidR="008F1F51" w:rsidRPr="00E4354D" w:rsidRDefault="00675F03" w:rsidP="0058045D">
      <w:pPr>
        <w:pStyle w:val="Heading3"/>
        <w:numPr>
          <w:ilvl w:val="0"/>
          <w:numId w:val="0"/>
        </w:numPr>
        <w:ind w:left="737"/>
      </w:pPr>
      <w:bookmarkStart w:id="4732" w:name="_Toc515359077"/>
      <w:r w:rsidRPr="005A3A42">
        <w:t xml:space="preserve">On request from </w:t>
      </w:r>
      <w:r w:rsidR="00411B14" w:rsidRPr="005A3A42">
        <w:t>Project Operator</w:t>
      </w:r>
      <w:r w:rsidRPr="005A3A42">
        <w:t xml:space="preserve">, </w:t>
      </w:r>
      <w:r w:rsidR="00BE77D6" w:rsidRPr="005A3A42">
        <w:t>the Commonwealth</w:t>
      </w:r>
      <w:r w:rsidRPr="005A3A42">
        <w:t xml:space="preserve"> agrees to enter into </w:t>
      </w:r>
      <w:r w:rsidR="001F71B2" w:rsidRPr="00792B2E">
        <w:t>the T</w:t>
      </w:r>
      <w:r w:rsidRPr="00792B2E">
        <w:t xml:space="preserve">ripartite </w:t>
      </w:r>
      <w:r w:rsidR="001F71B2" w:rsidRPr="00792B2E">
        <w:t>D</w:t>
      </w:r>
      <w:r w:rsidRPr="00792B2E">
        <w:t>eed</w:t>
      </w:r>
      <w:r w:rsidRPr="005A3A42">
        <w:t>.</w:t>
      </w:r>
      <w:bookmarkEnd w:id="4732"/>
      <w:r>
        <w:t xml:space="preserve"> </w:t>
      </w:r>
      <w:bookmarkEnd w:id="4671"/>
    </w:p>
    <w:p w14:paraId="467406EE" w14:textId="77777777" w:rsidR="00B1487C" w:rsidRDefault="2BC382E4" w:rsidP="0058045D">
      <w:pPr>
        <w:pStyle w:val="Heading1"/>
      </w:pPr>
      <w:bookmarkStart w:id="4733" w:name="_Toc94885571"/>
      <w:bookmarkStart w:id="4734" w:name="_Toc94886006"/>
      <w:bookmarkStart w:id="4735" w:name="_Toc94886451"/>
      <w:bookmarkStart w:id="4736" w:name="_Toc99723577"/>
      <w:bookmarkStart w:id="4737" w:name="_Toc94885572"/>
      <w:bookmarkStart w:id="4738" w:name="_Toc94886007"/>
      <w:bookmarkStart w:id="4739" w:name="_Toc94886452"/>
      <w:bookmarkStart w:id="4740" w:name="_Toc99723578"/>
      <w:bookmarkStart w:id="4741" w:name="_Toc94885573"/>
      <w:bookmarkStart w:id="4742" w:name="_Toc94886008"/>
      <w:bookmarkStart w:id="4743" w:name="_Toc94886453"/>
      <w:bookmarkStart w:id="4744" w:name="_Toc99723579"/>
      <w:bookmarkStart w:id="4745" w:name="_Toc94885574"/>
      <w:bookmarkStart w:id="4746" w:name="_Toc94886009"/>
      <w:bookmarkStart w:id="4747" w:name="_Toc94886454"/>
      <w:bookmarkStart w:id="4748" w:name="_Toc99723580"/>
      <w:bookmarkStart w:id="4749" w:name="_Toc94885575"/>
      <w:bookmarkStart w:id="4750" w:name="_Toc94886010"/>
      <w:bookmarkStart w:id="4751" w:name="_Toc94886455"/>
      <w:bookmarkStart w:id="4752" w:name="_Toc99723581"/>
      <w:bookmarkStart w:id="4753" w:name="_Toc94885576"/>
      <w:bookmarkStart w:id="4754" w:name="_Toc94886011"/>
      <w:bookmarkStart w:id="4755" w:name="_Toc94886456"/>
      <w:bookmarkStart w:id="4756" w:name="_Toc99723582"/>
      <w:bookmarkStart w:id="4757" w:name="_Toc94885577"/>
      <w:bookmarkStart w:id="4758" w:name="_Toc94886012"/>
      <w:bookmarkStart w:id="4759" w:name="_Toc94886457"/>
      <w:bookmarkStart w:id="4760" w:name="_Toc99723583"/>
      <w:bookmarkStart w:id="4761" w:name="_Toc94885578"/>
      <w:bookmarkStart w:id="4762" w:name="_Toc94886013"/>
      <w:bookmarkStart w:id="4763" w:name="_Toc94886458"/>
      <w:bookmarkStart w:id="4764" w:name="_Toc99723584"/>
      <w:bookmarkStart w:id="4765" w:name="_Toc94885579"/>
      <w:bookmarkStart w:id="4766" w:name="_Toc94886014"/>
      <w:bookmarkStart w:id="4767" w:name="_Toc94886459"/>
      <w:bookmarkStart w:id="4768" w:name="_Toc99723585"/>
      <w:bookmarkStart w:id="4769" w:name="_Toc94885580"/>
      <w:bookmarkStart w:id="4770" w:name="_Toc94886015"/>
      <w:bookmarkStart w:id="4771" w:name="_Toc94886460"/>
      <w:bookmarkStart w:id="4772" w:name="_Toc99723586"/>
      <w:bookmarkStart w:id="4773" w:name="_Toc94885581"/>
      <w:bookmarkStart w:id="4774" w:name="_Toc94886016"/>
      <w:bookmarkStart w:id="4775" w:name="_Toc94886461"/>
      <w:bookmarkStart w:id="4776" w:name="_Toc99723587"/>
      <w:bookmarkStart w:id="4777" w:name="_Toc94885582"/>
      <w:bookmarkStart w:id="4778" w:name="_Toc94886017"/>
      <w:bookmarkStart w:id="4779" w:name="_Toc94886462"/>
      <w:bookmarkStart w:id="4780" w:name="_Toc99723588"/>
      <w:bookmarkStart w:id="4781" w:name="_Toc94885583"/>
      <w:bookmarkStart w:id="4782" w:name="_Toc94886018"/>
      <w:bookmarkStart w:id="4783" w:name="_Toc94886463"/>
      <w:bookmarkStart w:id="4784" w:name="_Toc99723589"/>
      <w:bookmarkStart w:id="4785" w:name="_Toc94885584"/>
      <w:bookmarkStart w:id="4786" w:name="_Toc94886019"/>
      <w:bookmarkStart w:id="4787" w:name="_Toc94886464"/>
      <w:bookmarkStart w:id="4788" w:name="_Toc99723590"/>
      <w:bookmarkStart w:id="4789" w:name="_Toc94885585"/>
      <w:bookmarkStart w:id="4790" w:name="_Toc94886020"/>
      <w:bookmarkStart w:id="4791" w:name="_Toc94886465"/>
      <w:bookmarkStart w:id="4792" w:name="_Toc99723591"/>
      <w:bookmarkStart w:id="4793" w:name="_Toc94885586"/>
      <w:bookmarkStart w:id="4794" w:name="_Toc94886021"/>
      <w:bookmarkStart w:id="4795" w:name="_Toc94886466"/>
      <w:bookmarkStart w:id="4796" w:name="_Toc99723592"/>
      <w:bookmarkStart w:id="4797" w:name="_Toc94885587"/>
      <w:bookmarkStart w:id="4798" w:name="_Toc94886022"/>
      <w:bookmarkStart w:id="4799" w:name="_Toc94886467"/>
      <w:bookmarkStart w:id="4800" w:name="_Toc99723593"/>
      <w:bookmarkStart w:id="4801" w:name="_Toc94885588"/>
      <w:bookmarkStart w:id="4802" w:name="_Toc94886023"/>
      <w:bookmarkStart w:id="4803" w:name="_Toc94886468"/>
      <w:bookmarkStart w:id="4804" w:name="_Toc99723594"/>
      <w:bookmarkStart w:id="4805" w:name="_Toc94885589"/>
      <w:bookmarkStart w:id="4806" w:name="_Toc94886024"/>
      <w:bookmarkStart w:id="4807" w:name="_Toc94886469"/>
      <w:bookmarkStart w:id="4808" w:name="_Toc99723595"/>
      <w:bookmarkStart w:id="4809" w:name="_Toc94885590"/>
      <w:bookmarkStart w:id="4810" w:name="_Toc94886025"/>
      <w:bookmarkStart w:id="4811" w:name="_Toc94886470"/>
      <w:bookmarkStart w:id="4812" w:name="_Toc99723596"/>
      <w:bookmarkStart w:id="4813" w:name="_Toc94885591"/>
      <w:bookmarkStart w:id="4814" w:name="_Toc94886026"/>
      <w:bookmarkStart w:id="4815" w:name="_Toc94886471"/>
      <w:bookmarkStart w:id="4816" w:name="_Toc99723597"/>
      <w:bookmarkStart w:id="4817" w:name="_Toc94885592"/>
      <w:bookmarkStart w:id="4818" w:name="_Toc94886027"/>
      <w:bookmarkStart w:id="4819" w:name="_Toc94886472"/>
      <w:bookmarkStart w:id="4820" w:name="_Toc99723598"/>
      <w:bookmarkStart w:id="4821" w:name="_Toc94885593"/>
      <w:bookmarkStart w:id="4822" w:name="_Toc94886028"/>
      <w:bookmarkStart w:id="4823" w:name="_Toc94886473"/>
      <w:bookmarkStart w:id="4824" w:name="_Toc99723599"/>
      <w:bookmarkStart w:id="4825" w:name="_Toc94885594"/>
      <w:bookmarkStart w:id="4826" w:name="_Toc94886029"/>
      <w:bookmarkStart w:id="4827" w:name="_Toc94886474"/>
      <w:bookmarkStart w:id="4828" w:name="_Toc99723600"/>
      <w:bookmarkStart w:id="4829" w:name="_Toc94885595"/>
      <w:bookmarkStart w:id="4830" w:name="_Toc94886030"/>
      <w:bookmarkStart w:id="4831" w:name="_Toc94886475"/>
      <w:bookmarkStart w:id="4832" w:name="_Toc99723601"/>
      <w:bookmarkStart w:id="4833" w:name="_Toc94885596"/>
      <w:bookmarkStart w:id="4834" w:name="_Toc94886031"/>
      <w:bookmarkStart w:id="4835" w:name="_Toc94886476"/>
      <w:bookmarkStart w:id="4836" w:name="_Toc99723602"/>
      <w:bookmarkStart w:id="4837" w:name="_Toc94885597"/>
      <w:bookmarkStart w:id="4838" w:name="_Toc94886032"/>
      <w:bookmarkStart w:id="4839" w:name="_Toc94886477"/>
      <w:bookmarkStart w:id="4840" w:name="_Toc99723603"/>
      <w:bookmarkStart w:id="4841" w:name="_Toc94885598"/>
      <w:bookmarkStart w:id="4842" w:name="_Toc94886033"/>
      <w:bookmarkStart w:id="4843" w:name="_Toc94886478"/>
      <w:bookmarkStart w:id="4844" w:name="_Toc99723604"/>
      <w:bookmarkStart w:id="4845" w:name="_Toc94781393"/>
      <w:bookmarkStart w:id="4846" w:name="_Toc94782303"/>
      <w:bookmarkStart w:id="4847" w:name="_Toc94782625"/>
      <w:bookmarkStart w:id="4848" w:name="_Toc94798373"/>
      <w:bookmarkStart w:id="4849" w:name="_Toc94872299"/>
      <w:bookmarkStart w:id="4850" w:name="_Toc94885599"/>
      <w:bookmarkStart w:id="4851" w:name="_Toc94886034"/>
      <w:bookmarkStart w:id="4852" w:name="_Toc94886479"/>
      <w:bookmarkStart w:id="4853" w:name="_Toc99723605"/>
      <w:bookmarkStart w:id="4854" w:name="_Toc94781394"/>
      <w:bookmarkStart w:id="4855" w:name="_Toc94782304"/>
      <w:bookmarkStart w:id="4856" w:name="_Toc94782626"/>
      <w:bookmarkStart w:id="4857" w:name="_Toc94798374"/>
      <w:bookmarkStart w:id="4858" w:name="_Toc94872300"/>
      <w:bookmarkStart w:id="4859" w:name="_Toc94885600"/>
      <w:bookmarkStart w:id="4860" w:name="_Toc94886035"/>
      <w:bookmarkStart w:id="4861" w:name="_Toc94886480"/>
      <w:bookmarkStart w:id="4862" w:name="_Toc99723606"/>
      <w:bookmarkStart w:id="4863" w:name="_Toc94885601"/>
      <w:bookmarkStart w:id="4864" w:name="_Toc94886036"/>
      <w:bookmarkStart w:id="4865" w:name="_Toc94886481"/>
      <w:bookmarkStart w:id="4866" w:name="_Toc99723607"/>
      <w:bookmarkStart w:id="4867" w:name="_Toc94885602"/>
      <w:bookmarkStart w:id="4868" w:name="_Toc94886037"/>
      <w:bookmarkStart w:id="4869" w:name="_Toc94886482"/>
      <w:bookmarkStart w:id="4870" w:name="_Toc99723608"/>
      <w:bookmarkStart w:id="4871" w:name="_Ref492560922"/>
      <w:bookmarkStart w:id="4872" w:name="_Toc492504878"/>
      <w:bookmarkStart w:id="4873" w:name="_Toc515359100"/>
      <w:bookmarkStart w:id="4874" w:name="_Toc515470284"/>
      <w:bookmarkStart w:id="4875" w:name="_Toc207309685"/>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r>
        <w:t>Liability</w:t>
      </w:r>
      <w:bookmarkEnd w:id="4871"/>
      <w:bookmarkEnd w:id="4872"/>
      <w:bookmarkEnd w:id="4873"/>
      <w:bookmarkEnd w:id="4874"/>
      <w:bookmarkEnd w:id="4875"/>
    </w:p>
    <w:p w14:paraId="6C3AA629" w14:textId="77777777" w:rsidR="00706F65" w:rsidRDefault="2C388DF0" w:rsidP="0058045D">
      <w:pPr>
        <w:pStyle w:val="Heading2"/>
      </w:pPr>
      <w:bookmarkStart w:id="4876" w:name="_Ref467445102"/>
      <w:bookmarkStart w:id="4877" w:name="_Ref467445108"/>
      <w:bookmarkStart w:id="4878" w:name="_Ref467445142"/>
      <w:bookmarkStart w:id="4879" w:name="_Toc492504879"/>
      <w:bookmarkStart w:id="4880" w:name="_Toc515359101"/>
      <w:bookmarkStart w:id="4881" w:name="_Toc515470285"/>
      <w:bookmarkStart w:id="4882" w:name="_Toc207309686"/>
      <w:r>
        <w:t>Excluded Loss</w:t>
      </w:r>
      <w:bookmarkEnd w:id="4876"/>
      <w:bookmarkEnd w:id="4877"/>
      <w:bookmarkEnd w:id="4878"/>
      <w:bookmarkEnd w:id="4879"/>
      <w:bookmarkEnd w:id="4880"/>
      <w:bookmarkEnd w:id="4881"/>
      <w:bookmarkEnd w:id="4882"/>
    </w:p>
    <w:p w14:paraId="21055A99" w14:textId="2EB8057E" w:rsidR="00B1487C" w:rsidRDefault="001A7039" w:rsidP="00BC762E">
      <w:pPr>
        <w:pStyle w:val="Indent2"/>
        <w:keepNext/>
      </w:pPr>
      <w:r>
        <w:t xml:space="preserve">Without limitation </w:t>
      </w:r>
      <w:r w:rsidR="00B1487C">
        <w:t xml:space="preserve">to clause </w:t>
      </w:r>
      <w:r w:rsidR="002C15C6">
        <w:fldChar w:fldCharType="begin"/>
      </w:r>
      <w:r w:rsidR="002C15C6">
        <w:instrText xml:space="preserve"> REF _Ref107948686 \w \h </w:instrText>
      </w:r>
      <w:r w:rsidR="002C15C6">
        <w:fldChar w:fldCharType="separate"/>
      </w:r>
      <w:r w:rsidR="002E5C6A">
        <w:t>24.2</w:t>
      </w:r>
      <w:r w:rsidR="002C15C6">
        <w:fldChar w:fldCharType="end"/>
      </w:r>
      <w:r w:rsidR="002C15C6">
        <w:t xml:space="preserve"> (“</w:t>
      </w:r>
      <w:r w:rsidR="002C15C6">
        <w:fldChar w:fldCharType="begin"/>
      </w:r>
      <w:r w:rsidR="002C15C6">
        <w:instrText xml:space="preserve">  REF _Ref107948686 \h </w:instrText>
      </w:r>
      <w:r w:rsidR="002C15C6">
        <w:fldChar w:fldCharType="separate"/>
      </w:r>
      <w:r w:rsidR="002E5C6A">
        <w:t>Limitation of liability</w:t>
      </w:r>
      <w:r w:rsidR="002C15C6">
        <w:fldChar w:fldCharType="end"/>
      </w:r>
      <w:r w:rsidR="002C15C6">
        <w:t xml:space="preserve">”) and </w:t>
      </w:r>
      <w:r>
        <w:t xml:space="preserve">subject to clause </w:t>
      </w:r>
      <w:r w:rsidR="00793FA0">
        <w:rPr>
          <w:highlight w:val="yellow"/>
        </w:rPr>
        <w:fldChar w:fldCharType="begin"/>
      </w:r>
      <w:r w:rsidR="00793FA0">
        <w:instrText xml:space="preserve"> REF _Ref467518035 \r \h </w:instrText>
      </w:r>
      <w:r w:rsidR="00793FA0">
        <w:rPr>
          <w:highlight w:val="yellow"/>
        </w:rPr>
      </w:r>
      <w:r w:rsidR="00793FA0">
        <w:rPr>
          <w:highlight w:val="yellow"/>
        </w:rPr>
        <w:fldChar w:fldCharType="separate"/>
      </w:r>
      <w:r w:rsidR="002E5C6A">
        <w:t>24.3</w:t>
      </w:r>
      <w:r w:rsidR="00793FA0">
        <w:rPr>
          <w:highlight w:val="yellow"/>
        </w:rPr>
        <w:fldChar w:fldCharType="end"/>
      </w:r>
      <w:r w:rsidR="008E281E">
        <w:t xml:space="preserve"> </w:t>
      </w:r>
      <w:r w:rsidR="00EA11B7">
        <w:t>(“</w:t>
      </w:r>
      <w:r w:rsidR="00EA11B7">
        <w:fldChar w:fldCharType="begin"/>
      </w:r>
      <w:r w:rsidR="00EA11B7">
        <w:instrText xml:space="preserve"> REF _Ref467518035 \h </w:instrText>
      </w:r>
      <w:r w:rsidR="00EA11B7">
        <w:fldChar w:fldCharType="separate"/>
      </w:r>
      <w:r w:rsidR="002E5C6A">
        <w:t>No exclusion</w:t>
      </w:r>
      <w:r w:rsidR="00EA11B7">
        <w:fldChar w:fldCharType="end"/>
      </w:r>
      <w:r w:rsidR="00EA11B7">
        <w:t>”)</w:t>
      </w:r>
      <w:r w:rsidR="002C15C6">
        <w:t>,</w:t>
      </w:r>
      <w:r w:rsidR="00EA11B7">
        <w:t xml:space="preserve"> </w:t>
      </w:r>
      <w:r w:rsidR="00B1487C">
        <w:t xml:space="preserve">and except to the extent that </w:t>
      </w:r>
      <w:r w:rsidR="00F573D5">
        <w:t>Loss</w:t>
      </w:r>
      <w:r w:rsidR="00B1487C">
        <w:t xml:space="preserve"> cannot be lawfully excluded, neither </w:t>
      </w:r>
      <w:r w:rsidR="007310E6">
        <w:t>party</w:t>
      </w:r>
      <w:r w:rsidR="00B1487C">
        <w:t xml:space="preserve"> is liable to the other under or in connection with </w:t>
      </w:r>
      <w:r w:rsidR="00A219A6">
        <w:t xml:space="preserve">this </w:t>
      </w:r>
      <w:r w:rsidR="008D7B01">
        <w:t>agreement</w:t>
      </w:r>
      <w:r w:rsidR="00B1487C">
        <w:t xml:space="preserve"> for:</w:t>
      </w:r>
    </w:p>
    <w:p w14:paraId="6571620B" w14:textId="77777777" w:rsidR="00B1487C" w:rsidRDefault="2C388DF0" w:rsidP="0058045D">
      <w:pPr>
        <w:pStyle w:val="Heading3"/>
      </w:pPr>
      <w:bookmarkStart w:id="4883" w:name="_Toc515359102"/>
      <w:r>
        <w:t>any cost, expense, loss or damage of an indirect nature;</w:t>
      </w:r>
      <w:bookmarkEnd w:id="4883"/>
      <w:r>
        <w:t xml:space="preserve"> </w:t>
      </w:r>
    </w:p>
    <w:p w14:paraId="49CB1E41" w14:textId="77777777" w:rsidR="00B1487C" w:rsidRDefault="2C388DF0" w:rsidP="0058045D">
      <w:pPr>
        <w:pStyle w:val="Heading3"/>
      </w:pPr>
      <w:bookmarkStart w:id="4884" w:name="_Toc515359103"/>
      <w:r>
        <w:t>any loss of profits, loss of reputation or goodwill, loss of revenue or loss of use of property (whether direct or indirect);</w:t>
      </w:r>
      <w:bookmarkEnd w:id="4884"/>
    </w:p>
    <w:p w14:paraId="105490C9" w14:textId="77777777" w:rsidR="00B1487C" w:rsidRDefault="2C388DF0" w:rsidP="0058045D">
      <w:pPr>
        <w:pStyle w:val="Heading3"/>
      </w:pPr>
      <w:bookmarkStart w:id="4885" w:name="_Toc515359104"/>
      <w:r>
        <w:t>any cost of business interruption; or</w:t>
      </w:r>
      <w:bookmarkEnd w:id="4885"/>
    </w:p>
    <w:p w14:paraId="17433B73" w14:textId="76D03147" w:rsidR="00B1487C" w:rsidRDefault="2C388DF0" w:rsidP="0058045D">
      <w:pPr>
        <w:pStyle w:val="Heading3"/>
      </w:pPr>
      <w:bookmarkStart w:id="4886" w:name="_Toc515359105"/>
      <w:r>
        <w:t xml:space="preserve">any other consequential loss, including loss </w:t>
      </w:r>
      <w:r w:rsidR="001A7039">
        <w:t xml:space="preserve">which </w:t>
      </w:r>
      <w:r>
        <w:t>does not arise naturally, or in the usual course of things,</w:t>
      </w:r>
      <w:bookmarkEnd w:id="4886"/>
    </w:p>
    <w:p w14:paraId="094C68BF" w14:textId="77777777" w:rsidR="00B1487C" w:rsidRDefault="00B1487C" w:rsidP="00706F65">
      <w:pPr>
        <w:pStyle w:val="Indent2"/>
      </w:pPr>
      <w:r>
        <w:t xml:space="preserve">suffered by the other </w:t>
      </w:r>
      <w:r w:rsidR="007310E6">
        <w:t>party</w:t>
      </w:r>
      <w:r>
        <w:t xml:space="preserve"> however arising due to any causes including the default or sole or concurrent negligence of a </w:t>
      </w:r>
      <w:r w:rsidR="007310E6">
        <w:t>party</w:t>
      </w:r>
      <w:r w:rsidR="001F60DE">
        <w:t xml:space="preserve">, </w:t>
      </w:r>
      <w:bookmarkStart w:id="4887" w:name="_Hlk117245555"/>
      <w:r w:rsidR="001F60DE">
        <w:t xml:space="preserve">or its officers, employees, </w:t>
      </w:r>
      <w:r w:rsidR="009C7B3B">
        <w:t>S</w:t>
      </w:r>
      <w:r w:rsidR="001F60DE">
        <w:t>ubcontractors or agents</w:t>
      </w:r>
      <w:bookmarkEnd w:id="4887"/>
      <w:r w:rsidR="001F60DE">
        <w:t xml:space="preserve">, </w:t>
      </w:r>
      <w:r>
        <w:t xml:space="preserve">and whether or not foreseeable at the </w:t>
      </w:r>
      <w:r w:rsidR="00361509">
        <w:t xml:space="preserve">Signing </w:t>
      </w:r>
      <w:r w:rsidR="00910C04">
        <w:t>Date</w:t>
      </w:r>
      <w:r>
        <w:t>.</w:t>
      </w:r>
    </w:p>
    <w:p w14:paraId="535B232E" w14:textId="77777777" w:rsidR="00486827" w:rsidRPr="00982C9F" w:rsidRDefault="2C388DF0" w:rsidP="0058045D">
      <w:pPr>
        <w:pStyle w:val="Heading2"/>
      </w:pPr>
      <w:bookmarkStart w:id="4888" w:name="_Ref107948686"/>
      <w:bookmarkStart w:id="4889" w:name="_Toc207309687"/>
      <w:r>
        <w:t>Limitation of liability</w:t>
      </w:r>
      <w:bookmarkEnd w:id="4888"/>
      <w:bookmarkEnd w:id="4889"/>
      <w:r>
        <w:t xml:space="preserve"> </w:t>
      </w:r>
    </w:p>
    <w:p w14:paraId="6A617399" w14:textId="6652E979" w:rsidR="008B42B0" w:rsidRDefault="00486827" w:rsidP="00486827">
      <w:pPr>
        <w:pStyle w:val="Indent2"/>
      </w:pPr>
      <w:r>
        <w:t>To the extent permissible by Law</w:t>
      </w:r>
      <w:r w:rsidR="00BC762E">
        <w:t>,</w:t>
      </w:r>
      <w:r>
        <w:t xml:space="preserve"> </w:t>
      </w:r>
      <w:r w:rsidRPr="00BB051E">
        <w:t xml:space="preserve">and subject to </w:t>
      </w:r>
      <w:r w:rsidR="00BC762E">
        <w:t xml:space="preserve">the amounts excluded by </w:t>
      </w:r>
      <w:r w:rsidRPr="00BB051E">
        <w:t>clause</w:t>
      </w:r>
      <w:r w:rsidR="00BC762E">
        <w:t> </w:t>
      </w:r>
      <w:r w:rsidRPr="00BB051E">
        <w:fldChar w:fldCharType="begin"/>
      </w:r>
      <w:r w:rsidRPr="00BB051E">
        <w:instrText xml:space="preserve"> REF _Ref467518035 \r \h  \* MERGEFORMAT </w:instrText>
      </w:r>
      <w:r w:rsidRPr="00BB051E">
        <w:fldChar w:fldCharType="separate"/>
      </w:r>
      <w:r w:rsidR="002E5C6A">
        <w:t>24.3</w:t>
      </w:r>
      <w:r w:rsidRPr="00BB051E">
        <w:fldChar w:fldCharType="end"/>
      </w:r>
      <w:r w:rsidRPr="00BB051E">
        <w:t xml:space="preserve"> (“</w:t>
      </w:r>
      <w:r w:rsidRPr="00BB051E">
        <w:fldChar w:fldCharType="begin"/>
      </w:r>
      <w:r w:rsidRPr="00BB051E">
        <w:instrText xml:space="preserve"> REF _Ref467518035 \h  \* MERGEFORMAT </w:instrText>
      </w:r>
      <w:r w:rsidRPr="00BB051E">
        <w:fldChar w:fldCharType="separate"/>
      </w:r>
      <w:r w:rsidR="002E5C6A">
        <w:t>No exclusion</w:t>
      </w:r>
      <w:r w:rsidRPr="00BB051E">
        <w:fldChar w:fldCharType="end"/>
      </w:r>
      <w:r w:rsidRPr="00BB051E">
        <w:t>”)</w:t>
      </w:r>
      <w:r w:rsidR="00BC762E">
        <w:t xml:space="preserve"> which must not be taken into account in determining the application of the limits set out in this clause </w:t>
      </w:r>
      <w:r w:rsidR="00BC762E">
        <w:fldChar w:fldCharType="begin"/>
      </w:r>
      <w:r w:rsidR="00BC762E">
        <w:instrText xml:space="preserve"> REF _Ref107948686 \w \h </w:instrText>
      </w:r>
      <w:r w:rsidR="00BC762E">
        <w:fldChar w:fldCharType="separate"/>
      </w:r>
      <w:r w:rsidR="002E5C6A">
        <w:t>24.2</w:t>
      </w:r>
      <w:r w:rsidR="00BC762E">
        <w:fldChar w:fldCharType="end"/>
      </w:r>
      <w:r w:rsidR="008B42B0">
        <w:t>:</w:t>
      </w:r>
    </w:p>
    <w:p w14:paraId="379CB742" w14:textId="77777777" w:rsidR="00486827" w:rsidRDefault="2C388DF0" w:rsidP="0058045D">
      <w:pPr>
        <w:pStyle w:val="Heading3"/>
      </w:pPr>
      <w:bookmarkStart w:id="4890" w:name="_Ref150358872"/>
      <w:r>
        <w:t>the Commonwealth’s liability to Project Operator under or in connection with this agreement is limited to:</w:t>
      </w:r>
      <w:bookmarkEnd w:id="4890"/>
      <w:r>
        <w:t xml:space="preserve"> </w:t>
      </w:r>
    </w:p>
    <w:p w14:paraId="122F306D" w14:textId="77777777" w:rsidR="00486827" w:rsidRDefault="2C388DF0" w:rsidP="0058045D">
      <w:pPr>
        <w:pStyle w:val="Heading4"/>
      </w:pPr>
      <w:bookmarkStart w:id="4891" w:name="_Ref161847352"/>
      <w:r>
        <w:t>$1,000,000 in respect of any single event; and</w:t>
      </w:r>
      <w:bookmarkEnd w:id="4891"/>
      <w:r>
        <w:t xml:space="preserve"> </w:t>
      </w:r>
    </w:p>
    <w:p w14:paraId="37618A15" w14:textId="77777777" w:rsidR="00486827" w:rsidRDefault="2C388DF0" w:rsidP="0058045D">
      <w:pPr>
        <w:pStyle w:val="Heading4"/>
      </w:pPr>
      <w:bookmarkStart w:id="4892" w:name="_Ref161847354"/>
      <w:r>
        <w:t>$2,000,000 in aggregate in respect of all events occurring within any 12 months</w:t>
      </w:r>
      <w:bookmarkStart w:id="4893" w:name="_Hlk114133169"/>
      <w:r>
        <w:t>; and</w:t>
      </w:r>
      <w:bookmarkEnd w:id="4892"/>
    </w:p>
    <w:p w14:paraId="33FB2238" w14:textId="77777777" w:rsidR="008B42B0" w:rsidRDefault="2C388DF0" w:rsidP="0058045D">
      <w:pPr>
        <w:pStyle w:val="Heading3"/>
      </w:pPr>
      <w:bookmarkStart w:id="4894" w:name="_Ref150264321"/>
      <w:r>
        <w:t>Project Operator’s liability to the Commonwealth under or in connection with this agreement is limited to:</w:t>
      </w:r>
      <w:bookmarkEnd w:id="4894"/>
      <w:r>
        <w:t xml:space="preserve"> </w:t>
      </w:r>
    </w:p>
    <w:p w14:paraId="445C88F9" w14:textId="77777777" w:rsidR="008B42B0" w:rsidRDefault="2C388DF0" w:rsidP="0058045D">
      <w:pPr>
        <w:pStyle w:val="Heading4"/>
      </w:pPr>
      <w:bookmarkStart w:id="4895" w:name="_Ref161847356"/>
      <w:r>
        <w:t>$5,000,000 in respect of any single event; and</w:t>
      </w:r>
      <w:bookmarkEnd w:id="4895"/>
      <w:r>
        <w:t xml:space="preserve"> </w:t>
      </w:r>
    </w:p>
    <w:p w14:paraId="2CFF8F00" w14:textId="77777777" w:rsidR="008B42B0" w:rsidRDefault="2C388DF0" w:rsidP="0058045D">
      <w:pPr>
        <w:pStyle w:val="Heading4"/>
      </w:pPr>
      <w:bookmarkStart w:id="4896" w:name="_Ref161847359"/>
      <w:r>
        <w:t>$10,000,000 in aggregate in respect of all events occurring within any 12 months</w:t>
      </w:r>
      <w:bookmarkEnd w:id="4896"/>
      <w:r>
        <w:t>,</w:t>
      </w:r>
    </w:p>
    <w:p w14:paraId="631DC4F8" w14:textId="1435A4DD" w:rsidR="009539A5" w:rsidRDefault="009539A5" w:rsidP="0058045D">
      <w:pPr>
        <w:pStyle w:val="Heading4"/>
        <w:numPr>
          <w:ilvl w:val="0"/>
          <w:numId w:val="0"/>
        </w:numPr>
        <w:ind w:left="737"/>
      </w:pPr>
      <w:r>
        <w:t xml:space="preserve">in each case, </w:t>
      </w:r>
      <w:r w:rsidRPr="003C0305">
        <w:t xml:space="preserve">adjusted in accordance with clause </w:t>
      </w:r>
      <w:r w:rsidRPr="003C0305">
        <w:fldChar w:fldCharType="begin"/>
      </w:r>
      <w:r w:rsidRPr="003C0305">
        <w:instrText xml:space="preserve"> REF _Ref113622146 \r \h  \* MERGEFORMAT </w:instrText>
      </w:r>
      <w:r w:rsidRPr="003C0305">
        <w:fldChar w:fldCharType="separate"/>
      </w:r>
      <w:r w:rsidR="002E5C6A">
        <w:t>1.5</w:t>
      </w:r>
      <w:r w:rsidRPr="003C0305">
        <w:fldChar w:fldCharType="end"/>
      </w:r>
      <w:r w:rsidRPr="003C0305">
        <w:t xml:space="preserve"> (“</w:t>
      </w:r>
      <w:r w:rsidRPr="003C0305">
        <w:fldChar w:fldCharType="begin"/>
      </w:r>
      <w:r w:rsidRPr="003C0305">
        <w:instrText xml:space="preserve"> REF _Ref113622146 \h  \* MERGEFORMAT </w:instrText>
      </w:r>
      <w:r w:rsidRPr="003C0305">
        <w:fldChar w:fldCharType="separate"/>
      </w:r>
      <w:r w:rsidR="002E5C6A">
        <w:t>Adjustment for indexation</w:t>
      </w:r>
      <w:r w:rsidRPr="003C0305">
        <w:fldChar w:fldCharType="end"/>
      </w:r>
      <w:r w:rsidRPr="003C0305">
        <w:t>”)</w:t>
      </w:r>
      <w:r>
        <w:t>.</w:t>
      </w:r>
    </w:p>
    <w:p w14:paraId="081A535C" w14:textId="77777777" w:rsidR="007D62D5" w:rsidRDefault="2C388DF0" w:rsidP="0058045D">
      <w:pPr>
        <w:pStyle w:val="Heading2"/>
      </w:pPr>
      <w:bookmarkStart w:id="4897" w:name="_Ref467518035"/>
      <w:bookmarkStart w:id="4898" w:name="_Toc492504880"/>
      <w:bookmarkStart w:id="4899" w:name="_Toc515359106"/>
      <w:bookmarkStart w:id="4900" w:name="_Toc515470286"/>
      <w:bookmarkStart w:id="4901" w:name="_Toc207309688"/>
      <w:bookmarkEnd w:id="4893"/>
      <w:r>
        <w:t>No exclusion</w:t>
      </w:r>
      <w:bookmarkEnd w:id="4897"/>
      <w:bookmarkEnd w:id="4898"/>
      <w:bookmarkEnd w:id="4899"/>
      <w:bookmarkEnd w:id="4900"/>
      <w:bookmarkEnd w:id="4901"/>
    </w:p>
    <w:p w14:paraId="74FCAE29" w14:textId="1478855C" w:rsidR="007D62D5" w:rsidRDefault="00A05FF8" w:rsidP="0058045D">
      <w:pPr>
        <w:pStyle w:val="Heading3"/>
        <w:numPr>
          <w:ilvl w:val="0"/>
          <w:numId w:val="0"/>
        </w:numPr>
        <w:ind w:left="737"/>
      </w:pPr>
      <w:bookmarkStart w:id="4902" w:name="_Toc515359107"/>
      <w:bookmarkStart w:id="4903" w:name="_Ref465428074"/>
      <w:r>
        <w:t>C</w:t>
      </w:r>
      <w:r w:rsidR="007D62D5">
        <w:t>lause</w:t>
      </w:r>
      <w:r w:rsidR="009C209B">
        <w:t>s</w:t>
      </w:r>
      <w:r w:rsidR="007D62D5">
        <w:t xml:space="preserve"> </w:t>
      </w:r>
      <w:r w:rsidR="007D62D5">
        <w:fldChar w:fldCharType="begin"/>
      </w:r>
      <w:r w:rsidR="007D62D5">
        <w:instrText xml:space="preserve"> REF _Ref467445102 \r \h </w:instrText>
      </w:r>
      <w:r w:rsidR="007D62D5">
        <w:fldChar w:fldCharType="separate"/>
      </w:r>
      <w:r w:rsidR="002E5C6A">
        <w:t>24.1</w:t>
      </w:r>
      <w:r w:rsidR="007D62D5">
        <w:fldChar w:fldCharType="end"/>
      </w:r>
      <w:r w:rsidR="007D62D5">
        <w:t xml:space="preserve"> (“</w:t>
      </w:r>
      <w:r w:rsidR="007D62D5">
        <w:fldChar w:fldCharType="begin"/>
      </w:r>
      <w:r w:rsidR="007D62D5">
        <w:instrText xml:space="preserve"> REF _Ref467445142 \h </w:instrText>
      </w:r>
      <w:r w:rsidR="007D62D5">
        <w:fldChar w:fldCharType="separate"/>
      </w:r>
      <w:r w:rsidR="002E5C6A">
        <w:t>Excluded Loss</w:t>
      </w:r>
      <w:r w:rsidR="007D62D5">
        <w:fldChar w:fldCharType="end"/>
      </w:r>
      <w:r w:rsidR="007D62D5">
        <w:t xml:space="preserve">”) </w:t>
      </w:r>
      <w:r w:rsidR="009C209B">
        <w:t xml:space="preserve">and </w:t>
      </w:r>
      <w:r w:rsidR="009C209B">
        <w:fldChar w:fldCharType="begin"/>
      </w:r>
      <w:r w:rsidR="009C209B">
        <w:instrText xml:space="preserve"> REF _Ref107948686 \w \h </w:instrText>
      </w:r>
      <w:r w:rsidR="009C209B">
        <w:fldChar w:fldCharType="separate"/>
      </w:r>
      <w:r w:rsidR="002E5C6A">
        <w:t>24.2</w:t>
      </w:r>
      <w:r w:rsidR="009C209B">
        <w:fldChar w:fldCharType="end"/>
      </w:r>
      <w:r w:rsidR="009C209B">
        <w:t xml:space="preserve"> (“</w:t>
      </w:r>
      <w:r w:rsidR="009C209B">
        <w:fldChar w:fldCharType="begin"/>
      </w:r>
      <w:r w:rsidR="009C209B">
        <w:instrText xml:space="preserve">  REF _Ref107948686 \h </w:instrText>
      </w:r>
      <w:r w:rsidR="009C209B">
        <w:fldChar w:fldCharType="separate"/>
      </w:r>
      <w:r w:rsidR="002E5C6A">
        <w:t>Limitation of liability</w:t>
      </w:r>
      <w:r w:rsidR="009C209B">
        <w:fldChar w:fldCharType="end"/>
      </w:r>
      <w:r w:rsidR="009C209B">
        <w:t xml:space="preserve">”) </w:t>
      </w:r>
      <w:r>
        <w:t>do</w:t>
      </w:r>
      <w:r w:rsidR="007D62D5">
        <w:t xml:space="preserve"> not limit a </w:t>
      </w:r>
      <w:r w:rsidR="007310E6">
        <w:t>party</w:t>
      </w:r>
      <w:r w:rsidR="007D62D5">
        <w:t>’s</w:t>
      </w:r>
      <w:r w:rsidR="00793DFB">
        <w:t xml:space="preserve"> obligation</w:t>
      </w:r>
      <w:r w:rsidR="007D62D5">
        <w:t>:</w:t>
      </w:r>
      <w:bookmarkEnd w:id="4902"/>
      <w:bookmarkEnd w:id="4903"/>
    </w:p>
    <w:p w14:paraId="1CB24E83" w14:textId="74214D66" w:rsidR="00FA7647" w:rsidRPr="00AD4C09" w:rsidRDefault="2C388DF0" w:rsidP="0058045D">
      <w:pPr>
        <w:pStyle w:val="Heading3"/>
      </w:pPr>
      <w:bookmarkStart w:id="4904" w:name="_Toc515359111"/>
      <w:bookmarkStart w:id="4905" w:name="_Toc515359108"/>
      <w:r>
        <w:t xml:space="preserve">to make any payments expressly required to be made under this agreement, including a payment under clause </w:t>
      </w:r>
      <w:r w:rsidR="00FA7647">
        <w:fldChar w:fldCharType="begin"/>
      </w:r>
      <w:r w:rsidR="00FA7647">
        <w:instrText xml:space="preserve"> REF _Ref467049795 \w \h </w:instrText>
      </w:r>
      <w:r w:rsidR="00FA7647">
        <w:fldChar w:fldCharType="separate"/>
      </w:r>
      <w:r w:rsidR="002E5C6A">
        <w:t>16</w:t>
      </w:r>
      <w:r w:rsidR="00FA7647">
        <w:fldChar w:fldCharType="end"/>
      </w:r>
      <w:r>
        <w:t xml:space="preserve"> (“</w:t>
      </w:r>
      <w:r w:rsidR="00FA7647">
        <w:fldChar w:fldCharType="begin"/>
      </w:r>
      <w:r w:rsidR="00FA7647">
        <w:instrText xml:space="preserve">  REF _Ref467049795 \h </w:instrText>
      </w:r>
      <w:r w:rsidR="00FA7647">
        <w:fldChar w:fldCharType="separate"/>
      </w:r>
      <w:r w:rsidR="002E5C6A">
        <w:t>Billing and payment</w:t>
      </w:r>
      <w:r w:rsidR="00FA7647">
        <w:fldChar w:fldCharType="end"/>
      </w:r>
      <w:r>
        <w:t>”)</w:t>
      </w:r>
      <w:r w:rsidR="004942A7">
        <w:t>,</w:t>
      </w:r>
      <w:r>
        <w:t xml:space="preserve"> a Termination Payment</w:t>
      </w:r>
      <w:r w:rsidR="004942A7">
        <w:t xml:space="preserve"> or the right of the Commonwealth to make deductions from any payment to be made to Project Operator as expressly permitted under this </w:t>
      </w:r>
      <w:r w:rsidR="007E0D0D">
        <w:t>a</w:t>
      </w:r>
      <w:r w:rsidR="004942A7">
        <w:t>greement including the Availability Rebate and the Storage Capacity Rebate</w:t>
      </w:r>
      <w:r>
        <w:t>;</w:t>
      </w:r>
      <w:bookmarkEnd w:id="4904"/>
      <w:r w:rsidR="004942A7">
        <w:t xml:space="preserve"> </w:t>
      </w:r>
      <w:r w:rsidR="00360CD0" w:rsidRPr="00AD4C09">
        <w:t>[</w:t>
      </w:r>
      <w:r w:rsidR="00360CD0" w:rsidRPr="00AD4C09">
        <w:rPr>
          <w:b/>
          <w:bCs/>
          <w:i/>
          <w:iCs/>
          <w:highlight w:val="lightGray"/>
        </w:rPr>
        <w:t>Note: see agreement cover note regarding Non-Storage Projects.</w:t>
      </w:r>
      <w:r w:rsidR="00360CD0" w:rsidRPr="00AD4C09">
        <w:rPr>
          <w:highlight w:val="lightGray"/>
        </w:rPr>
        <w:t>]</w:t>
      </w:r>
    </w:p>
    <w:p w14:paraId="7F7AB58D" w14:textId="7DDBDBAE" w:rsidR="004D7245" w:rsidRDefault="2C388DF0" w:rsidP="0058045D">
      <w:pPr>
        <w:pStyle w:val="Heading3"/>
      </w:pPr>
      <w:bookmarkStart w:id="4906" w:name="_Toc515359109"/>
      <w:bookmarkEnd w:id="4905"/>
      <w:r>
        <w:t xml:space="preserve">to pay under any indemnity given under this agreement, except for the indemnity under clause </w:t>
      </w:r>
      <w:r w:rsidR="00A12FEE">
        <w:fldChar w:fldCharType="begin"/>
      </w:r>
      <w:r w:rsidR="00A12FEE">
        <w:instrText xml:space="preserve"> REF _Ref159422502 \n \h </w:instrText>
      </w:r>
      <w:r w:rsidR="00A12FEE">
        <w:fldChar w:fldCharType="separate"/>
      </w:r>
      <w:r w:rsidR="002E5C6A">
        <w:t>24.4</w:t>
      </w:r>
      <w:r w:rsidR="00A12FEE">
        <w:fldChar w:fldCharType="end"/>
      </w:r>
      <w:r>
        <w:t xml:space="preserve"> (“</w:t>
      </w:r>
      <w:r w:rsidR="004D7245">
        <w:fldChar w:fldCharType="begin"/>
      </w:r>
      <w:r w:rsidR="004D7245">
        <w:instrText xml:space="preserve">  REF _Ref159422502 \h </w:instrText>
      </w:r>
      <w:r w:rsidR="004D7245">
        <w:fldChar w:fldCharType="separate"/>
      </w:r>
      <w:r w:rsidR="002E5C6A">
        <w:t>Indemnity by Project Operator</w:t>
      </w:r>
      <w:r w:rsidR="004D7245">
        <w:fldChar w:fldCharType="end"/>
      </w:r>
      <w:r>
        <w:t>”)</w:t>
      </w:r>
      <w:r w:rsidR="006E5E2E">
        <w:t xml:space="preserve"> other than to the extent that </w:t>
      </w:r>
      <w:r w:rsidR="001A7039">
        <w:t xml:space="preserve">that </w:t>
      </w:r>
      <w:r w:rsidR="006E5E2E">
        <w:t xml:space="preserve">indemnity relates to criminal or fraudulent acts or omissions, or wilful misconduct or wilful breach by Project Operator or </w:t>
      </w:r>
      <w:r w:rsidR="006E5E2E" w:rsidRPr="00633D9B">
        <w:t>its Related Bodies Corporate, or their respective</w:t>
      </w:r>
      <w:r w:rsidR="006E5E2E">
        <w:t xml:space="preserve"> officers, employees, Subcontractors or agents</w:t>
      </w:r>
      <w:r>
        <w:t>; or</w:t>
      </w:r>
    </w:p>
    <w:p w14:paraId="2193EABF" w14:textId="77777777" w:rsidR="00464237" w:rsidRDefault="2C388DF0" w:rsidP="0058045D">
      <w:pPr>
        <w:pStyle w:val="Heading3"/>
      </w:pPr>
      <w:r>
        <w:t xml:space="preserve">arising from any criminal or fraudulent act or omission, or wilful misconduct or wilful breach of a party, or its officers, employees, </w:t>
      </w:r>
      <w:r w:rsidR="009C7B3B">
        <w:t>S</w:t>
      </w:r>
      <w:r>
        <w:t>ubcontractors or agents</w:t>
      </w:r>
      <w:bookmarkStart w:id="4907" w:name="_Toc515359114"/>
      <w:bookmarkEnd w:id="4906"/>
      <w:r>
        <w:t>.</w:t>
      </w:r>
      <w:bookmarkEnd w:id="4907"/>
    </w:p>
    <w:p w14:paraId="42A15310" w14:textId="77777777" w:rsidR="009C209B" w:rsidRDefault="2C388DF0" w:rsidP="0058045D">
      <w:pPr>
        <w:pStyle w:val="Heading2"/>
      </w:pPr>
      <w:bookmarkStart w:id="4908" w:name="_Ref107937708"/>
      <w:bookmarkStart w:id="4909" w:name="_Ref107948637"/>
      <w:bookmarkStart w:id="4910" w:name="_Ref159422502"/>
      <w:bookmarkStart w:id="4911" w:name="_Toc207309689"/>
      <w:bookmarkStart w:id="4912" w:name="_Hlk107948359"/>
      <w:bookmarkStart w:id="4913" w:name="_Hlk108010638"/>
      <w:r>
        <w:t>Indemnity</w:t>
      </w:r>
      <w:bookmarkEnd w:id="4908"/>
      <w:r>
        <w:t xml:space="preserve"> by </w:t>
      </w:r>
      <w:bookmarkEnd w:id="4909"/>
      <w:r>
        <w:t>Project Operator</w:t>
      </w:r>
      <w:bookmarkEnd w:id="4910"/>
      <w:bookmarkEnd w:id="4911"/>
    </w:p>
    <w:p w14:paraId="41FC7710" w14:textId="44ED7EA1" w:rsidR="001A7348" w:rsidRDefault="006E5E2E" w:rsidP="0058045D">
      <w:pPr>
        <w:pStyle w:val="Heading3"/>
      </w:pPr>
      <w:bookmarkStart w:id="4914" w:name="_Ref114133705"/>
      <w:r>
        <w:t xml:space="preserve">Subject to clauses </w:t>
      </w:r>
      <w:r>
        <w:fldChar w:fldCharType="begin"/>
      </w:r>
      <w:r>
        <w:instrText xml:space="preserve"> REF _Ref467445102 \w \h </w:instrText>
      </w:r>
      <w:r>
        <w:fldChar w:fldCharType="separate"/>
      </w:r>
      <w:r w:rsidR="002E5C6A">
        <w:t>24.1</w:t>
      </w:r>
      <w:r>
        <w:fldChar w:fldCharType="end"/>
      </w:r>
      <w:r>
        <w:t xml:space="preserve"> to </w:t>
      </w:r>
      <w:r>
        <w:fldChar w:fldCharType="begin"/>
      </w:r>
      <w:r>
        <w:instrText xml:space="preserve"> REF _Ref467518035 \w \h </w:instrText>
      </w:r>
      <w:r>
        <w:fldChar w:fldCharType="separate"/>
      </w:r>
      <w:r w:rsidR="002E5C6A">
        <w:t>24.3</w:t>
      </w:r>
      <w:r>
        <w:fldChar w:fldCharType="end"/>
      </w:r>
      <w:r>
        <w:t xml:space="preserve">, </w:t>
      </w:r>
      <w:r w:rsidR="00411B14">
        <w:t>Project Operator</w:t>
      </w:r>
      <w:r w:rsidR="001A7348">
        <w:t xml:space="preserve"> </w:t>
      </w:r>
      <w:r w:rsidR="001A7348" w:rsidRPr="00F75565">
        <w:t xml:space="preserve">indemnifies </w:t>
      </w:r>
      <w:r w:rsidR="00BE77D6" w:rsidRPr="00F75565">
        <w:t>the Commonwealth</w:t>
      </w:r>
      <w:r w:rsidR="001A7348">
        <w:t xml:space="preserve"> </w:t>
      </w:r>
      <w:r>
        <w:t>and its officers and employees (“</w:t>
      </w:r>
      <w:r w:rsidR="00360CD0">
        <w:rPr>
          <w:b/>
          <w:bCs/>
        </w:rPr>
        <w:t>T</w:t>
      </w:r>
      <w:r>
        <w:rPr>
          <w:b/>
          <w:bCs/>
        </w:rPr>
        <w:t xml:space="preserve">hose </w:t>
      </w:r>
      <w:r w:rsidR="00360CD0">
        <w:rPr>
          <w:b/>
          <w:bCs/>
        </w:rPr>
        <w:t>I</w:t>
      </w:r>
      <w:r w:rsidRPr="006E5E2E">
        <w:rPr>
          <w:b/>
          <w:bCs/>
        </w:rPr>
        <w:t>ndemnified</w:t>
      </w:r>
      <w:r>
        <w:t xml:space="preserve">”) </w:t>
      </w:r>
      <w:r w:rsidR="001A7348" w:rsidRPr="006E5E2E">
        <w:t>against</w:t>
      </w:r>
      <w:r w:rsidR="001A7348">
        <w:t xml:space="preserve">, and agrees to reimburse and compensate </w:t>
      </w:r>
      <w:r w:rsidR="00360CD0">
        <w:t>T</w:t>
      </w:r>
      <w:r>
        <w:t xml:space="preserve">hose </w:t>
      </w:r>
      <w:r w:rsidR="00360CD0">
        <w:t>I</w:t>
      </w:r>
      <w:r>
        <w:t xml:space="preserve">ndemnified </w:t>
      </w:r>
      <w:r w:rsidR="001A7348">
        <w:t>for any Loss</w:t>
      </w:r>
      <w:r w:rsidR="00E40017">
        <w:t xml:space="preserve"> incurred by any of </w:t>
      </w:r>
      <w:r w:rsidR="00360CD0">
        <w:t>T</w:t>
      </w:r>
      <w:r w:rsidR="00E40017">
        <w:t xml:space="preserve">hose </w:t>
      </w:r>
      <w:r w:rsidR="00360CD0">
        <w:t>I</w:t>
      </w:r>
      <w:r w:rsidR="00E40017">
        <w:t>ndemnified from or as a consequence of:</w:t>
      </w:r>
      <w:bookmarkEnd w:id="4914"/>
      <w:r w:rsidR="001A7348">
        <w:t xml:space="preserve"> </w:t>
      </w:r>
    </w:p>
    <w:p w14:paraId="0D706A05" w14:textId="6534EAEF" w:rsidR="001A7348" w:rsidRDefault="00E40017" w:rsidP="0058045D">
      <w:pPr>
        <w:pStyle w:val="Heading4"/>
      </w:pPr>
      <w:r>
        <w:t xml:space="preserve">any negligent, reckless, </w:t>
      </w:r>
      <w:r w:rsidR="001A7348">
        <w:t xml:space="preserve">criminal or fraudulent act or omission, </w:t>
      </w:r>
      <w:r>
        <w:t xml:space="preserve">breach of a contract or Law, or other </w:t>
      </w:r>
      <w:r w:rsidR="001A7348">
        <w:t xml:space="preserve">wilful misconduct or </w:t>
      </w:r>
      <w:r w:rsidR="003D177C">
        <w:t xml:space="preserve">wilful </w:t>
      </w:r>
      <w:r w:rsidR="001A7348">
        <w:t>breach</w:t>
      </w:r>
      <w:r w:rsidR="006277A1">
        <w:t xml:space="preserve"> </w:t>
      </w:r>
      <w:r w:rsidR="001A7348">
        <w:t xml:space="preserve">of </w:t>
      </w:r>
      <w:r w:rsidR="00411B14">
        <w:t>Project Operator</w:t>
      </w:r>
      <w:r w:rsidR="004849CE" w:rsidRPr="004849CE">
        <w:t xml:space="preserve"> </w:t>
      </w:r>
      <w:r w:rsidR="004849CE" w:rsidRPr="00633D9B">
        <w:t>or its Related Bodies Corporate, or their respective</w:t>
      </w:r>
      <w:r w:rsidR="004849CE">
        <w:t xml:space="preserve"> </w:t>
      </w:r>
      <w:r w:rsidR="001A7348">
        <w:t xml:space="preserve">officers, employees, </w:t>
      </w:r>
      <w:r w:rsidR="009C7B3B">
        <w:t>S</w:t>
      </w:r>
      <w:r w:rsidR="001A7348">
        <w:t xml:space="preserve">ubcontractors or agents; or </w:t>
      </w:r>
    </w:p>
    <w:p w14:paraId="2CA0070D" w14:textId="3A25B37B" w:rsidR="000D72B5" w:rsidRDefault="00E40017" w:rsidP="0058045D">
      <w:pPr>
        <w:pStyle w:val="Heading4"/>
      </w:pPr>
      <w:r>
        <w:t>any</w:t>
      </w:r>
      <w:r w:rsidR="001A7348">
        <w:t xml:space="preserve"> </w:t>
      </w:r>
      <w:r>
        <w:t xml:space="preserve">death, </w:t>
      </w:r>
      <w:r w:rsidR="001A7348">
        <w:t>personal injury</w:t>
      </w:r>
      <w:r w:rsidR="000D72B5">
        <w:t>,</w:t>
      </w:r>
      <w:r>
        <w:t xml:space="preserve"> or sickness</w:t>
      </w:r>
    </w:p>
    <w:p w14:paraId="703B1043" w14:textId="163BC2E3" w:rsidR="009C209B" w:rsidRPr="00A90878" w:rsidRDefault="003D177C" w:rsidP="0076796C">
      <w:pPr>
        <w:pStyle w:val="Heading3"/>
        <w:numPr>
          <w:ilvl w:val="0"/>
          <w:numId w:val="0"/>
        </w:numPr>
        <w:ind w:left="1474"/>
      </w:pPr>
      <w:r>
        <w:t>arising fro</w:t>
      </w:r>
      <w:r w:rsidR="00C16348">
        <w:t>m</w:t>
      </w:r>
      <w:r w:rsidR="00204477">
        <w:t xml:space="preserve"> this agreement</w:t>
      </w:r>
      <w:r w:rsidR="001A7348">
        <w:t>.</w:t>
      </w:r>
      <w:bookmarkStart w:id="4915" w:name="_Ref100135824"/>
      <w:bookmarkStart w:id="4916" w:name="_Toc107475472"/>
      <w:bookmarkEnd w:id="4912"/>
    </w:p>
    <w:p w14:paraId="24EBD12E" w14:textId="4C0FB299" w:rsidR="00C5267D" w:rsidRPr="00F75565" w:rsidRDefault="2C388DF0" w:rsidP="0058045D">
      <w:pPr>
        <w:pStyle w:val="Heading3"/>
      </w:pPr>
      <w:r w:rsidRPr="2C388DF0">
        <w:rPr>
          <w:lang w:val="en-US"/>
        </w:rPr>
        <w:t xml:space="preserve">The amounts referred to in this clause </w:t>
      </w:r>
      <w:r w:rsidR="009C209B">
        <w:fldChar w:fldCharType="begin"/>
      </w:r>
      <w:r w:rsidR="009C209B">
        <w:instrText xml:space="preserve"> REF _Ref107948637 \w \h  \* MERGEFORMAT </w:instrText>
      </w:r>
      <w:r w:rsidR="009C209B">
        <w:fldChar w:fldCharType="separate"/>
      </w:r>
      <w:r w:rsidR="002E5C6A">
        <w:t>24.4</w:t>
      </w:r>
      <w:r w:rsidR="009C209B">
        <w:fldChar w:fldCharType="end"/>
      </w:r>
      <w:r w:rsidRPr="2C388DF0">
        <w:rPr>
          <w:lang w:val="en-US"/>
        </w:rPr>
        <w:t xml:space="preserve"> are </w:t>
      </w:r>
      <w:bookmarkStart w:id="4917" w:name="_Hlk108010617"/>
      <w:r w:rsidRPr="2C388DF0">
        <w:rPr>
          <w:lang w:val="en-US"/>
        </w:rPr>
        <w:t xml:space="preserve">not </w:t>
      </w:r>
      <w:bookmarkEnd w:id="4917"/>
      <w:r w:rsidRPr="2C388DF0">
        <w:rPr>
          <w:lang w:val="en-US"/>
        </w:rPr>
        <w:t>payable</w:t>
      </w:r>
      <w:r>
        <w:t xml:space="preserve"> </w:t>
      </w:r>
      <w:r w:rsidRPr="2C388DF0">
        <w:rPr>
          <w:lang w:val="en-US"/>
        </w:rPr>
        <w:t>to the extent that the Loss</w:t>
      </w:r>
      <w:r w:rsidR="00E40017">
        <w:rPr>
          <w:lang w:val="en-US"/>
        </w:rPr>
        <w:t xml:space="preserve"> of </w:t>
      </w:r>
      <w:r w:rsidR="00360CD0">
        <w:rPr>
          <w:lang w:val="en-US"/>
        </w:rPr>
        <w:t>T</w:t>
      </w:r>
      <w:r w:rsidR="00E40017">
        <w:rPr>
          <w:lang w:val="en-US"/>
        </w:rPr>
        <w:t xml:space="preserve">hose </w:t>
      </w:r>
      <w:r w:rsidR="00360CD0">
        <w:rPr>
          <w:lang w:val="en-US"/>
        </w:rPr>
        <w:t>I</w:t>
      </w:r>
      <w:r w:rsidR="00E40017">
        <w:rPr>
          <w:lang w:val="en-US"/>
        </w:rPr>
        <w:t>ndemnified</w:t>
      </w:r>
      <w:r w:rsidRPr="2C388DF0">
        <w:rPr>
          <w:lang w:val="en-US"/>
        </w:rPr>
        <w:t xml:space="preserve">: </w:t>
      </w:r>
    </w:p>
    <w:p w14:paraId="05C4887D" w14:textId="4DD4D1C7" w:rsidR="00C5267D" w:rsidRPr="00F75565" w:rsidRDefault="2C388DF0" w:rsidP="0058045D">
      <w:pPr>
        <w:pStyle w:val="Heading4"/>
      </w:pPr>
      <w:bookmarkStart w:id="4918" w:name="_Hlk113975394"/>
      <w:r>
        <w:t xml:space="preserve">is </w:t>
      </w:r>
      <w:r w:rsidRPr="2C388DF0">
        <w:rPr>
          <w:lang w:val="en-US"/>
        </w:rPr>
        <w:t xml:space="preserve">caused or contributed to by </w:t>
      </w:r>
      <w:bookmarkEnd w:id="4918"/>
      <w:r w:rsidRPr="2C388DF0">
        <w:rPr>
          <w:lang w:val="en-US"/>
        </w:rPr>
        <w:t xml:space="preserve">any </w:t>
      </w:r>
      <w:r w:rsidR="00E40017">
        <w:rPr>
          <w:lang w:val="en-US"/>
        </w:rPr>
        <w:t xml:space="preserve">negligent, reckless, </w:t>
      </w:r>
      <w:r>
        <w:t xml:space="preserve">criminal or fraudulent act or omission, wilful misconduct or wilful breach, or </w:t>
      </w:r>
      <w:r w:rsidR="00E40017">
        <w:t>breach</w:t>
      </w:r>
      <w:r>
        <w:t xml:space="preserve"> of </w:t>
      </w:r>
      <w:bookmarkStart w:id="4919" w:name="_Hlk114133798"/>
      <w:r w:rsidR="00E40017">
        <w:rPr>
          <w:lang w:val="en-US"/>
        </w:rPr>
        <w:t xml:space="preserve">a contract or Law by </w:t>
      </w:r>
      <w:r w:rsidR="00360CD0">
        <w:rPr>
          <w:lang w:val="en-US"/>
        </w:rPr>
        <w:t>T</w:t>
      </w:r>
      <w:r w:rsidR="00E40017">
        <w:rPr>
          <w:lang w:val="en-US"/>
        </w:rPr>
        <w:t xml:space="preserve">hose </w:t>
      </w:r>
      <w:r w:rsidR="00360CD0">
        <w:rPr>
          <w:lang w:val="en-US"/>
        </w:rPr>
        <w:t>I</w:t>
      </w:r>
      <w:r w:rsidR="00E40017">
        <w:rPr>
          <w:lang w:val="en-US"/>
        </w:rPr>
        <w:t>ndemnified</w:t>
      </w:r>
      <w:r>
        <w:t xml:space="preserve">; </w:t>
      </w:r>
    </w:p>
    <w:p w14:paraId="1753A129" w14:textId="77777777" w:rsidR="00E40017" w:rsidRDefault="2C388DF0" w:rsidP="0058045D">
      <w:pPr>
        <w:pStyle w:val="Heading4"/>
      </w:pPr>
      <w:r>
        <w:t>arises in respect of an electricity hedging arrangement entered into by the Commonwealth and a third party</w:t>
      </w:r>
      <w:bookmarkEnd w:id="4919"/>
      <w:r w:rsidR="00E40017">
        <w:t>; or</w:t>
      </w:r>
    </w:p>
    <w:p w14:paraId="7BBA244D" w14:textId="62CD94A1" w:rsidR="00E40017" w:rsidRDefault="00E40017" w:rsidP="0076796C">
      <w:pPr>
        <w:pStyle w:val="Heading4"/>
        <w:numPr>
          <w:ilvl w:val="3"/>
          <w:numId w:val="45"/>
        </w:numPr>
      </w:pPr>
      <w:bookmarkStart w:id="4920" w:name="_Hlk174439101"/>
      <w:r>
        <w:t xml:space="preserve">is caused by the failure of </w:t>
      </w:r>
      <w:r w:rsidR="00360CD0">
        <w:t>T</w:t>
      </w:r>
      <w:r>
        <w:t xml:space="preserve">hose </w:t>
      </w:r>
      <w:r w:rsidR="00360CD0">
        <w:t>I</w:t>
      </w:r>
      <w:r>
        <w:t>ndemnified</w:t>
      </w:r>
      <w:r w:rsidRPr="003E4AA5">
        <w:t xml:space="preserve"> to take reasonable steps to mitigate any Loss or liability</w:t>
      </w:r>
      <w:r>
        <w:t xml:space="preserve"> </w:t>
      </w:r>
      <w:r w:rsidRPr="008D00F5">
        <w:t>that</w:t>
      </w:r>
      <w:r w:rsidRPr="003E4AA5">
        <w:t xml:space="preserve"> any of them sustain as a result of the matters </w:t>
      </w:r>
      <w:r>
        <w:t>that</w:t>
      </w:r>
      <w:r w:rsidRPr="003E4AA5">
        <w:t xml:space="preserve"> are the subject matter of the indemnities in this clause</w:t>
      </w:r>
      <w:r>
        <w:t> </w:t>
      </w:r>
      <w:r>
        <w:fldChar w:fldCharType="begin"/>
      </w:r>
      <w:r>
        <w:instrText xml:space="preserve"> REF _Ref159422502 \w \h </w:instrText>
      </w:r>
      <w:r>
        <w:fldChar w:fldCharType="separate"/>
      </w:r>
      <w:r w:rsidR="002E5C6A">
        <w:t>24.4</w:t>
      </w:r>
      <w:r>
        <w:fldChar w:fldCharType="end"/>
      </w:r>
      <w:bookmarkEnd w:id="4920"/>
      <w:r>
        <w:t>.</w:t>
      </w:r>
    </w:p>
    <w:p w14:paraId="4A59CDC7" w14:textId="3D9E882B" w:rsidR="00E40017" w:rsidRPr="00154065" w:rsidRDefault="00E40017" w:rsidP="004674FF">
      <w:pPr>
        <w:pStyle w:val="Heading3"/>
      </w:pPr>
      <w:r w:rsidRPr="00154065">
        <w:t xml:space="preserve">The right of </w:t>
      </w:r>
      <w:r w:rsidR="00360CD0" w:rsidRPr="00154065">
        <w:t>T</w:t>
      </w:r>
      <w:r w:rsidRPr="00154065">
        <w:t xml:space="preserve">hose </w:t>
      </w:r>
      <w:r w:rsidR="00360CD0" w:rsidRPr="00154065">
        <w:t>I</w:t>
      </w:r>
      <w:r w:rsidRPr="00154065">
        <w:t>ndemnified to be indemnified under this clause </w:t>
      </w:r>
      <w:r w:rsidRPr="00154065">
        <w:fldChar w:fldCharType="begin"/>
      </w:r>
      <w:r w:rsidRPr="00154065">
        <w:instrText xml:space="preserve"> REF _Ref159422502 \w \h </w:instrText>
      </w:r>
      <w:r w:rsidR="00154065">
        <w:instrText xml:space="preserve"> \* MERGEFORMAT </w:instrText>
      </w:r>
      <w:r w:rsidRPr="00154065">
        <w:fldChar w:fldCharType="separate"/>
      </w:r>
      <w:r w:rsidR="002E5C6A">
        <w:t>24.4</w:t>
      </w:r>
      <w:r w:rsidRPr="00154065">
        <w:fldChar w:fldCharType="end"/>
      </w:r>
      <w:r w:rsidRPr="00154065">
        <w:t xml:space="preserve"> is in addition to, and not exclusive of, any other right, power, or remedy provided by Law, but </w:t>
      </w:r>
      <w:r w:rsidR="00360CD0" w:rsidRPr="00154065">
        <w:t>T</w:t>
      </w:r>
      <w:r w:rsidRPr="00154065">
        <w:t xml:space="preserve">hose </w:t>
      </w:r>
      <w:r w:rsidR="00360CD0" w:rsidRPr="00154065">
        <w:t>I</w:t>
      </w:r>
      <w:r w:rsidRPr="00154065">
        <w:t>ndemnified are not entitled to be compensated in excess of the amount of the relevant Loss.</w:t>
      </w:r>
    </w:p>
    <w:p w14:paraId="72382FEB" w14:textId="079DC039" w:rsidR="00E40017" w:rsidRPr="00154065" w:rsidRDefault="00E40017" w:rsidP="004674FF">
      <w:pPr>
        <w:pStyle w:val="Heading3"/>
      </w:pPr>
      <w:r w:rsidRPr="00154065">
        <w:t xml:space="preserve">The Commonwealth will hold the indemnity for the benefit of </w:t>
      </w:r>
      <w:r w:rsidR="00360CD0" w:rsidRPr="00154065">
        <w:t>T</w:t>
      </w:r>
      <w:r w:rsidRPr="00154065">
        <w:t xml:space="preserve">hose </w:t>
      </w:r>
      <w:r w:rsidR="00360CD0" w:rsidRPr="00154065">
        <w:t>I</w:t>
      </w:r>
      <w:r w:rsidRPr="00154065">
        <w:t xml:space="preserve">ndemnified and it may be exercised either by the Commonwealth or by </w:t>
      </w:r>
      <w:r w:rsidR="00360CD0" w:rsidRPr="00154065">
        <w:t>T</w:t>
      </w:r>
      <w:r w:rsidRPr="00154065">
        <w:t xml:space="preserve">hose </w:t>
      </w:r>
      <w:r w:rsidR="00360CD0" w:rsidRPr="00154065">
        <w:t>I</w:t>
      </w:r>
      <w:r w:rsidRPr="00154065">
        <w:t>ndemnified.</w:t>
      </w:r>
    </w:p>
    <w:p w14:paraId="532C0573" w14:textId="76F501CD" w:rsidR="001D00DC" w:rsidRDefault="001D00DC" w:rsidP="0076796C">
      <w:pPr>
        <w:pStyle w:val="Heading2"/>
      </w:pPr>
      <w:bookmarkStart w:id="4921" w:name="_Toc180560257"/>
      <w:bookmarkStart w:id="4922" w:name="_Toc180560486"/>
      <w:bookmarkStart w:id="4923" w:name="_Toc159511863"/>
      <w:bookmarkStart w:id="4924" w:name="_Toc159511864"/>
      <w:bookmarkStart w:id="4925" w:name="_Toc159511865"/>
      <w:bookmarkStart w:id="4926" w:name="_Toc108089395"/>
      <w:bookmarkStart w:id="4927" w:name="_Toc108098120"/>
      <w:bookmarkStart w:id="4928" w:name="_Toc108425517"/>
      <w:bookmarkStart w:id="4929" w:name="_Toc207309690"/>
      <w:bookmarkStart w:id="4930" w:name="_Toc104305769"/>
      <w:bookmarkEnd w:id="4913"/>
      <w:bookmarkEnd w:id="4915"/>
      <w:bookmarkEnd w:id="4916"/>
      <w:bookmarkEnd w:id="4921"/>
      <w:bookmarkEnd w:id="4922"/>
      <w:bookmarkEnd w:id="4923"/>
      <w:bookmarkEnd w:id="4924"/>
      <w:bookmarkEnd w:id="4925"/>
      <w:bookmarkEnd w:id="4926"/>
      <w:bookmarkEnd w:id="4927"/>
      <w:bookmarkEnd w:id="4928"/>
      <w:r>
        <w:t>Proportionate Liability</w:t>
      </w:r>
      <w:bookmarkEnd w:id="4929"/>
      <w:r>
        <w:t xml:space="preserve"> </w:t>
      </w:r>
    </w:p>
    <w:p w14:paraId="4A0D811A" w14:textId="77777777" w:rsidR="00A15084" w:rsidRDefault="001D00DC" w:rsidP="001D00DC">
      <w:pPr>
        <w:pStyle w:val="Heading3"/>
      </w:pPr>
      <w:r>
        <w:t>The parties agree that, to the extent permitted by law, the provisions of this agreement</w:t>
      </w:r>
      <w:r w:rsidR="00A15084">
        <w:t>:</w:t>
      </w:r>
    </w:p>
    <w:p w14:paraId="5C290422" w14:textId="0DB03F48" w:rsidR="00A15084" w:rsidRDefault="001D00DC" w:rsidP="008F660B">
      <w:pPr>
        <w:pStyle w:val="Heading4"/>
      </w:pPr>
      <w:r>
        <w:t xml:space="preserve">are express provisions for their rights, obligations and liabilities with respect to matters to which a law imposing a proportional liability regime applies (including the </w:t>
      </w:r>
      <w:r w:rsidRPr="00A15084">
        <w:rPr>
          <w:i/>
          <w:iCs/>
        </w:rPr>
        <w:t>Civil Liability Act 2002</w:t>
      </w:r>
      <w:r>
        <w:t xml:space="preserve"> (WA) –Part</w:t>
      </w:r>
      <w:r w:rsidR="00154065">
        <w:t> </w:t>
      </w:r>
      <w:r>
        <w:t>1F)</w:t>
      </w:r>
      <w:r w:rsidR="00A15084">
        <w:t>;</w:t>
      </w:r>
      <w:r w:rsidR="00204477">
        <w:t xml:space="preserve"> and</w:t>
      </w:r>
    </w:p>
    <w:p w14:paraId="76D56945" w14:textId="1BBACB23" w:rsidR="001D00DC" w:rsidRDefault="001D00DC" w:rsidP="008F660B">
      <w:pPr>
        <w:pStyle w:val="Heading4"/>
      </w:pPr>
      <w:r>
        <w:t>exclude, modify and restrict the provisions of any such proportionate liability law to the extent of their inconsistency with that law, whether such rights are sought to be enforced in contract, tort or otherwise</w:t>
      </w:r>
      <w:r w:rsidR="00A15084">
        <w:t>,</w:t>
      </w:r>
    </w:p>
    <w:p w14:paraId="5AD9E737" w14:textId="74347D3D" w:rsidR="001D00DC" w:rsidRDefault="001D00DC" w:rsidP="001D00DC">
      <w:pPr>
        <w:pStyle w:val="Heading3"/>
      </w:pPr>
      <w:r>
        <w:t>Each party’s liability to another party for loss or damage will be reduced proportionally to the extent that any unlawful, wilfully wrongful or negligent act or omission of that other party caused or contributed to the relevant loss or damage.</w:t>
      </w:r>
    </w:p>
    <w:p w14:paraId="365FC2C0" w14:textId="77777777" w:rsidR="00696003" w:rsidRDefault="2BC382E4" w:rsidP="0058045D">
      <w:pPr>
        <w:pStyle w:val="Heading1"/>
      </w:pPr>
      <w:bookmarkStart w:id="4931" w:name="_Toc207309691"/>
      <w:r>
        <w:t>Representations and warranties</w:t>
      </w:r>
      <w:bookmarkEnd w:id="4930"/>
      <w:bookmarkEnd w:id="4931"/>
    </w:p>
    <w:p w14:paraId="12BF1E76" w14:textId="77777777" w:rsidR="00DB31CD" w:rsidRPr="00DB31CD" w:rsidRDefault="2C388DF0" w:rsidP="0058045D">
      <w:pPr>
        <w:pStyle w:val="Heading2"/>
      </w:pPr>
      <w:bookmarkStart w:id="4932" w:name="_Ref166250098"/>
      <w:bookmarkStart w:id="4933" w:name="_Toc207309692"/>
      <w:r>
        <w:t>General representations and warranties</w:t>
      </w:r>
      <w:bookmarkEnd w:id="4932"/>
      <w:bookmarkEnd w:id="4933"/>
    </w:p>
    <w:p w14:paraId="49005F1F" w14:textId="77777777" w:rsidR="00696003" w:rsidRPr="003350D6" w:rsidRDefault="00696003" w:rsidP="00321466">
      <w:pPr>
        <w:pStyle w:val="Indent2"/>
        <w:keepNext/>
      </w:pPr>
      <w:r w:rsidRPr="003350D6">
        <w:t>Each party</w:t>
      </w:r>
      <w:r w:rsidR="001129E4">
        <w:t xml:space="preserve"> represents and</w:t>
      </w:r>
      <w:r w:rsidRPr="003350D6">
        <w:t xml:space="preserve"> warrants that:</w:t>
      </w:r>
    </w:p>
    <w:p w14:paraId="2E4E0254" w14:textId="77777777" w:rsidR="00696003" w:rsidRPr="003350D6" w:rsidRDefault="00696003" w:rsidP="0058045D">
      <w:pPr>
        <w:pStyle w:val="Heading3"/>
      </w:pPr>
      <w:r>
        <w:t>(</w:t>
      </w:r>
      <w:r w:rsidRPr="0055410E">
        <w:rPr>
          <w:b/>
        </w:rPr>
        <w:t>power and authority</w:t>
      </w:r>
      <w:r>
        <w:t xml:space="preserve">) </w:t>
      </w:r>
      <w:r w:rsidRPr="003350D6">
        <w:t xml:space="preserve">it has full power and authority to enter into and perform its obligations under this </w:t>
      </w:r>
      <w:r>
        <w:t xml:space="preserve">agreement </w:t>
      </w:r>
      <w:r w:rsidRPr="003350D6">
        <w:t>and carry out the transactions contemplated by this</w:t>
      </w:r>
      <w:r>
        <w:t xml:space="preserve"> agreement</w:t>
      </w:r>
      <w:r w:rsidRPr="003350D6">
        <w:t>;</w:t>
      </w:r>
    </w:p>
    <w:p w14:paraId="01BC10BC" w14:textId="77777777" w:rsidR="00696003" w:rsidRPr="003350D6" w:rsidRDefault="00696003" w:rsidP="0058045D">
      <w:pPr>
        <w:pStyle w:val="Heading3"/>
      </w:pPr>
      <w:r>
        <w:t>(</w:t>
      </w:r>
      <w:r w:rsidRPr="0055410E">
        <w:rPr>
          <w:b/>
        </w:rPr>
        <w:t>execution authorised</w:t>
      </w:r>
      <w:r>
        <w:t xml:space="preserve">) </w:t>
      </w:r>
      <w:r w:rsidRPr="003350D6">
        <w:t xml:space="preserve">it has taken all necessary action to authorise the execution, delivery and the performance of this </w:t>
      </w:r>
      <w:r>
        <w:t>agreement</w:t>
      </w:r>
      <w:r w:rsidRPr="003350D6">
        <w:t xml:space="preserve">; </w:t>
      </w:r>
      <w:r w:rsidR="00CE3AF9">
        <w:t>and</w:t>
      </w:r>
    </w:p>
    <w:p w14:paraId="26DAA2F6" w14:textId="0CEFC344" w:rsidR="00696003" w:rsidRDefault="00696003" w:rsidP="0058045D">
      <w:pPr>
        <w:pStyle w:val="Heading3"/>
      </w:pPr>
      <w:r>
        <w:t>(</w:t>
      </w:r>
      <w:r w:rsidRPr="0055410E">
        <w:rPr>
          <w:b/>
        </w:rPr>
        <w:t>binding nature</w:t>
      </w:r>
      <w:r>
        <w:t xml:space="preserve">) </w:t>
      </w:r>
      <w:r w:rsidRPr="003350D6">
        <w:t xml:space="preserve">this </w:t>
      </w:r>
      <w:r>
        <w:t>agreement</w:t>
      </w:r>
      <w:r w:rsidRPr="003350D6">
        <w:t xml:space="preserve"> constitutes legal, valid and binding obligations</w:t>
      </w:r>
      <w:r w:rsidR="00321466">
        <w:t xml:space="preserve"> on that party</w:t>
      </w:r>
      <w:r w:rsidRPr="003350D6">
        <w:t xml:space="preserve">, enforceable </w:t>
      </w:r>
      <w:r w:rsidR="00321466">
        <w:t xml:space="preserve">against that party </w:t>
      </w:r>
      <w:r w:rsidRPr="003350D6">
        <w:t>in accordance with its terms</w:t>
      </w:r>
      <w:r w:rsidR="00CE3AF9">
        <w:t>.</w:t>
      </w:r>
    </w:p>
    <w:p w14:paraId="2CAA86B8" w14:textId="77777777" w:rsidR="00CE3AF9" w:rsidRDefault="2C388DF0" w:rsidP="0058045D">
      <w:pPr>
        <w:pStyle w:val="Heading2"/>
      </w:pPr>
      <w:bookmarkStart w:id="4934" w:name="_Toc207309693"/>
      <w:r>
        <w:t>Project Operator representations and warranties</w:t>
      </w:r>
      <w:bookmarkEnd w:id="4934"/>
      <w:r>
        <w:t xml:space="preserve"> </w:t>
      </w:r>
    </w:p>
    <w:p w14:paraId="24FF1909" w14:textId="77777777" w:rsidR="00CE3AF9" w:rsidRDefault="00CE3AF9" w:rsidP="002D6D4F">
      <w:pPr>
        <w:pStyle w:val="Indent2"/>
        <w:keepNext/>
      </w:pPr>
      <w:r>
        <w:t>Project Operator represents and</w:t>
      </w:r>
      <w:r w:rsidRPr="003350D6">
        <w:t xml:space="preserve"> warrants that</w:t>
      </w:r>
      <w:r>
        <w:t>:</w:t>
      </w:r>
    </w:p>
    <w:p w14:paraId="69704017" w14:textId="77777777" w:rsidR="00CE3AF9" w:rsidRPr="003350D6" w:rsidRDefault="00CE3AF9" w:rsidP="0058045D">
      <w:pPr>
        <w:pStyle w:val="Heading3"/>
      </w:pPr>
      <w:r>
        <w:t>(</w:t>
      </w:r>
      <w:r w:rsidRPr="0055410E">
        <w:rPr>
          <w:b/>
        </w:rPr>
        <w:t>corporate existence</w:t>
      </w:r>
      <w:r>
        <w:t xml:space="preserve">) </w:t>
      </w:r>
      <w:r w:rsidRPr="003350D6">
        <w:t>it is duly registered and validly existing under the laws of its place of incorporation</w:t>
      </w:r>
      <w:r>
        <w:t xml:space="preserve"> </w:t>
      </w:r>
      <w:r w:rsidRPr="00354E1C">
        <w:t>and has power and authority to own its assets and carry on its business as it is now being conducted</w:t>
      </w:r>
      <w:r w:rsidRPr="003350D6">
        <w:t>;</w:t>
      </w:r>
    </w:p>
    <w:p w14:paraId="2FB28A12" w14:textId="77777777" w:rsidR="00A15084" w:rsidRDefault="00E52631" w:rsidP="0058045D">
      <w:pPr>
        <w:pStyle w:val="Heading3"/>
      </w:pPr>
      <w:bookmarkStart w:id="4935" w:name="_Ref166250102"/>
      <w:r>
        <w:t>(</w:t>
      </w:r>
      <w:r w:rsidRPr="00E10719">
        <w:rPr>
          <w:b/>
          <w:bCs/>
        </w:rPr>
        <w:t>no Claims</w:t>
      </w:r>
      <w:r>
        <w:t xml:space="preserve">) </w:t>
      </w:r>
    </w:p>
    <w:p w14:paraId="411CBEE3" w14:textId="1B4425DE" w:rsidR="00A15084" w:rsidRDefault="00E52631" w:rsidP="00A15084">
      <w:pPr>
        <w:pStyle w:val="Heading4"/>
      </w:pPr>
      <w:r w:rsidRPr="00E10719">
        <w:t>it</w:t>
      </w:r>
      <w:r w:rsidR="00C16348">
        <w:t xml:space="preserve"> is not</w:t>
      </w:r>
      <w:r w:rsidRPr="00E10719">
        <w:t>,</w:t>
      </w:r>
      <w:r w:rsidR="00C16348">
        <w:t xml:space="preserve"> and none of its</w:t>
      </w:r>
      <w:r w:rsidRPr="00E10719">
        <w:t xml:space="preserve"> directors </w:t>
      </w:r>
      <w:r w:rsidR="00C16348">
        <w:t>or</w:t>
      </w:r>
      <w:r w:rsidRPr="00E10719">
        <w:t xml:space="preserve"> its Related Bod</w:t>
      </w:r>
      <w:r w:rsidR="00321466">
        <w:t>ies</w:t>
      </w:r>
      <w:r w:rsidRPr="00E10719">
        <w:t xml:space="preserve"> Corporate are</w:t>
      </w:r>
      <w:r w:rsidR="00204477">
        <w:t>,</w:t>
      </w:r>
      <w:r w:rsidRPr="00E10719">
        <w:t xml:space="preserve"> engaged in any Claim</w:t>
      </w:r>
      <w:r w:rsidR="00321466">
        <w:t>,</w:t>
      </w:r>
      <w:r w:rsidRPr="00E10719">
        <w:t xml:space="preserve"> or aware of any pending or threatened Claim</w:t>
      </w:r>
      <w:r w:rsidR="00321466">
        <w:t>,</w:t>
      </w:r>
      <w:r w:rsidRPr="00E10719">
        <w:t xml:space="preserve"> of which written or verbal communication has</w:t>
      </w:r>
      <w:r>
        <w:t xml:space="preserve"> </w:t>
      </w:r>
      <w:r w:rsidRPr="00E10719">
        <w:t xml:space="preserve">been given or received and </w:t>
      </w:r>
    </w:p>
    <w:p w14:paraId="494E78B5" w14:textId="77777777" w:rsidR="00A15084" w:rsidRDefault="00E52631" w:rsidP="00A15084">
      <w:pPr>
        <w:pStyle w:val="Heading4"/>
      </w:pPr>
      <w:r w:rsidRPr="00E10719">
        <w:t xml:space="preserve">there are no facts, matters, circumstances or events </w:t>
      </w:r>
      <w:r w:rsidR="00321466">
        <w:t>that</w:t>
      </w:r>
      <w:r w:rsidR="00321466" w:rsidRPr="00E10719">
        <w:t xml:space="preserve"> </w:t>
      </w:r>
      <w:r w:rsidRPr="00E10719">
        <w:t>are</w:t>
      </w:r>
      <w:r>
        <w:t xml:space="preserve"> </w:t>
      </w:r>
      <w:r w:rsidRPr="00E10719">
        <w:t>reasonably likely to give rise to any such Claims by any third party against it, its directors</w:t>
      </w:r>
      <w:r>
        <w:t xml:space="preserve"> </w:t>
      </w:r>
      <w:r w:rsidRPr="00E10719">
        <w:t>or its Related Bod</w:t>
      </w:r>
      <w:r w:rsidR="00321466">
        <w:t>ies</w:t>
      </w:r>
      <w:r w:rsidRPr="00E10719">
        <w:t xml:space="preserve"> Corporate</w:t>
      </w:r>
      <w:r w:rsidR="00321466">
        <w:t>,</w:t>
      </w:r>
      <w:r w:rsidRPr="00E10719">
        <w:t xml:space="preserve"> </w:t>
      </w:r>
    </w:p>
    <w:p w14:paraId="125799AF" w14:textId="425B72C3" w:rsidR="00E52631" w:rsidRDefault="00E52631" w:rsidP="008F660B">
      <w:pPr>
        <w:pStyle w:val="Heading4"/>
        <w:numPr>
          <w:ilvl w:val="0"/>
          <w:numId w:val="0"/>
        </w:numPr>
        <w:ind w:left="1474"/>
      </w:pPr>
      <w:r w:rsidRPr="00E10719">
        <w:t xml:space="preserve">in each case </w:t>
      </w:r>
      <w:r w:rsidR="00321466">
        <w:t>that</w:t>
      </w:r>
      <w:r w:rsidR="00321466" w:rsidRPr="00E10719">
        <w:t xml:space="preserve"> </w:t>
      </w:r>
      <w:r w:rsidRPr="00E10719">
        <w:t>would have a material adverse</w:t>
      </w:r>
      <w:r>
        <w:t xml:space="preserve"> </w:t>
      </w:r>
      <w:r w:rsidRPr="00E10719">
        <w:t>effect on the subject matter of any Project Document</w:t>
      </w:r>
      <w:r w:rsidR="00321466">
        <w:t xml:space="preserve">, </w:t>
      </w:r>
      <w:r w:rsidR="00321466" w:rsidRPr="00E10719">
        <w:t>of which written or verbal communication has</w:t>
      </w:r>
      <w:r w:rsidR="00321466">
        <w:t xml:space="preserve"> </w:t>
      </w:r>
      <w:r w:rsidR="00321466" w:rsidRPr="00E10719">
        <w:t>been given or received</w:t>
      </w:r>
      <w:r w:rsidRPr="00E10719">
        <w:t>;</w:t>
      </w:r>
      <w:bookmarkEnd w:id="4935"/>
    </w:p>
    <w:p w14:paraId="45AF948F" w14:textId="77777777" w:rsidR="00CE3AF9" w:rsidRPr="003350D6" w:rsidRDefault="00CE3AF9" w:rsidP="0058045D">
      <w:pPr>
        <w:pStyle w:val="Heading3"/>
      </w:pPr>
      <w:r>
        <w:t>(</w:t>
      </w:r>
      <w:r w:rsidRPr="0055410E">
        <w:rPr>
          <w:b/>
        </w:rPr>
        <w:t>no breach</w:t>
      </w:r>
      <w:r>
        <w:t xml:space="preserve">) </w:t>
      </w:r>
      <w:r w:rsidRPr="003350D6">
        <w:t xml:space="preserve">the execution, delivery and performance of this </w:t>
      </w:r>
      <w:r>
        <w:t>agreement</w:t>
      </w:r>
      <w:r w:rsidRPr="003350D6">
        <w:t xml:space="preserve"> does not </w:t>
      </w:r>
      <w:r>
        <w:t xml:space="preserve">and will not </w:t>
      </w:r>
      <w:r w:rsidRPr="003350D6">
        <w:t>violate, breach or result in a contravention of:</w:t>
      </w:r>
    </w:p>
    <w:p w14:paraId="7BE2FE73" w14:textId="26A31765" w:rsidR="00CE3AF9" w:rsidRPr="003350D6" w:rsidRDefault="00CE3AF9" w:rsidP="0058045D">
      <w:pPr>
        <w:pStyle w:val="Heading4"/>
      </w:pPr>
      <w:r w:rsidRPr="003350D6">
        <w:t xml:space="preserve">any </w:t>
      </w:r>
      <w:r>
        <w:t>L</w:t>
      </w:r>
      <w:r w:rsidRPr="003350D6">
        <w:t xml:space="preserve">aw by which it </w:t>
      </w:r>
      <w:r w:rsidR="00321466">
        <w:t>or</w:t>
      </w:r>
      <w:r w:rsidR="00321466" w:rsidRPr="00E10719">
        <w:t xml:space="preserve"> its Related Bod</w:t>
      </w:r>
      <w:r w:rsidR="00321466">
        <w:t>ies</w:t>
      </w:r>
      <w:r w:rsidR="00321466" w:rsidRPr="00E10719">
        <w:t xml:space="preserve"> Corporate </w:t>
      </w:r>
      <w:r w:rsidR="00321466">
        <w:t>are</w:t>
      </w:r>
      <w:r w:rsidRPr="003350D6">
        <w:t xml:space="preserve"> bound;</w:t>
      </w:r>
    </w:p>
    <w:p w14:paraId="4E486D13" w14:textId="5A33654E" w:rsidR="00CE3AF9" w:rsidRPr="003350D6" w:rsidRDefault="00CE3AF9" w:rsidP="0058045D">
      <w:pPr>
        <w:pStyle w:val="Heading4"/>
      </w:pPr>
      <w:r w:rsidRPr="003350D6">
        <w:t xml:space="preserve">any authorisation, ruling, judgment, order or decree of any Government </w:t>
      </w:r>
      <w:r>
        <w:t>Authority</w:t>
      </w:r>
      <w:r w:rsidR="00B314B2">
        <w:t xml:space="preserve"> or Commonwealth Entity</w:t>
      </w:r>
      <w:r w:rsidRPr="003350D6">
        <w:t>;</w:t>
      </w:r>
    </w:p>
    <w:p w14:paraId="4B8D4FF0" w14:textId="59C55608" w:rsidR="00CE3AF9" w:rsidRPr="003350D6" w:rsidRDefault="00CE3AF9" w:rsidP="0058045D">
      <w:pPr>
        <w:pStyle w:val="Heading4"/>
      </w:pPr>
      <w:r w:rsidRPr="003350D6">
        <w:t xml:space="preserve">the constitutional documents of </w:t>
      </w:r>
      <w:r w:rsidR="00321466" w:rsidRPr="003350D6">
        <w:t xml:space="preserve">it </w:t>
      </w:r>
      <w:r w:rsidR="00321466">
        <w:t xml:space="preserve">or </w:t>
      </w:r>
      <w:r w:rsidR="00321466" w:rsidRPr="00E10719">
        <w:t>its Related Bod</w:t>
      </w:r>
      <w:r w:rsidR="00321466">
        <w:t>ies</w:t>
      </w:r>
      <w:r w:rsidR="00321466" w:rsidRPr="00E10719">
        <w:t xml:space="preserve"> Corporate</w:t>
      </w:r>
      <w:r>
        <w:t>;</w:t>
      </w:r>
      <w:r w:rsidRPr="003350D6">
        <w:t xml:space="preserve"> or</w:t>
      </w:r>
    </w:p>
    <w:p w14:paraId="07408275" w14:textId="028250AB" w:rsidR="00CE3AF9" w:rsidRPr="003350D6" w:rsidRDefault="00CE3AF9" w:rsidP="0058045D">
      <w:pPr>
        <w:pStyle w:val="Heading4"/>
      </w:pPr>
      <w:r w:rsidRPr="003350D6">
        <w:t xml:space="preserve">any </w:t>
      </w:r>
      <w:r>
        <w:rPr>
          <w:lang w:eastAsia="en-AU"/>
        </w:rPr>
        <w:t xml:space="preserve">Security Interest </w:t>
      </w:r>
      <w:r w:rsidRPr="003350D6">
        <w:t xml:space="preserve">by which it </w:t>
      </w:r>
      <w:r w:rsidR="00321466">
        <w:t xml:space="preserve">or </w:t>
      </w:r>
      <w:r w:rsidR="00321466" w:rsidRPr="00E10719">
        <w:t>its Related Bod</w:t>
      </w:r>
      <w:r w:rsidR="00321466">
        <w:t>ies</w:t>
      </w:r>
      <w:r w:rsidR="00321466" w:rsidRPr="00E10719">
        <w:t xml:space="preserve"> Corporate </w:t>
      </w:r>
      <w:r w:rsidR="00321466">
        <w:t>are</w:t>
      </w:r>
      <w:r w:rsidRPr="003350D6">
        <w:t xml:space="preserve"> bound;</w:t>
      </w:r>
    </w:p>
    <w:p w14:paraId="50D974EE" w14:textId="440D9D0C" w:rsidR="00E52631" w:rsidRDefault="00E52631" w:rsidP="0058045D">
      <w:pPr>
        <w:pStyle w:val="Heading3"/>
      </w:pPr>
      <w:bookmarkStart w:id="4936" w:name="_Ref164220085"/>
      <w:r>
        <w:t>(</w:t>
      </w:r>
      <w:r w:rsidRPr="00E10719">
        <w:rPr>
          <w:b/>
          <w:bCs/>
        </w:rPr>
        <w:t>Authorisations</w:t>
      </w:r>
      <w:r>
        <w:t xml:space="preserve">) it holds </w:t>
      </w:r>
      <w:r w:rsidR="00C16348">
        <w:t xml:space="preserve">or will obtain </w:t>
      </w:r>
      <w:r>
        <w:t>and will continue to hold</w:t>
      </w:r>
      <w:r w:rsidR="00204477">
        <w:t xml:space="preserve"> as</w:t>
      </w:r>
      <w:r>
        <w:t xml:space="preserve"> </w:t>
      </w:r>
      <w:r w:rsidR="00C16348">
        <w:t xml:space="preserve">at the relevant point in time, </w:t>
      </w:r>
      <w:r>
        <w:t xml:space="preserve">all Authorisations that it is required by Law to </w:t>
      </w:r>
      <w:r w:rsidR="00C16348">
        <w:t xml:space="preserve">obtain or </w:t>
      </w:r>
      <w:r>
        <w:t xml:space="preserve">hold </w:t>
      </w:r>
      <w:r w:rsidR="00C16348">
        <w:t>in</w:t>
      </w:r>
      <w:r w:rsidR="00E40017">
        <w:t xml:space="preserve"> </w:t>
      </w:r>
      <w:r>
        <w:t>order to lawfully execute, deliver and perform its obligations under the Project Documents;</w:t>
      </w:r>
      <w:bookmarkEnd w:id="4936"/>
    </w:p>
    <w:p w14:paraId="4167B1AB" w14:textId="77777777" w:rsidR="00E52631" w:rsidRDefault="00E52631" w:rsidP="0058045D">
      <w:pPr>
        <w:pStyle w:val="Heading3"/>
      </w:pPr>
      <w:bookmarkStart w:id="4937" w:name="_Ref164220087"/>
      <w:r>
        <w:t>(</w:t>
      </w:r>
      <w:r w:rsidRPr="00E10719">
        <w:rPr>
          <w:b/>
          <w:bCs/>
        </w:rPr>
        <w:t>not a trustee</w:t>
      </w:r>
      <w:r>
        <w:t xml:space="preserve">) unless </w:t>
      </w:r>
      <w:r w:rsidRPr="00530623">
        <w:t xml:space="preserve">otherwise expressly </w:t>
      </w:r>
      <w:r>
        <w:t xml:space="preserve">provided </w:t>
      </w:r>
      <w:r w:rsidRPr="00530623">
        <w:t xml:space="preserve">or permitted in this </w:t>
      </w:r>
      <w:r>
        <w:t>agreement</w:t>
      </w:r>
      <w:r w:rsidRPr="00530623">
        <w:t xml:space="preserve">, it is not the trustee or </w:t>
      </w:r>
      <w:r>
        <w:t>r</w:t>
      </w:r>
      <w:r w:rsidRPr="00530623">
        <w:t xml:space="preserve">esponsible </w:t>
      </w:r>
      <w:r>
        <w:t>e</w:t>
      </w:r>
      <w:r w:rsidRPr="00530623">
        <w:t>ntity of any</w:t>
      </w:r>
      <w:r>
        <w:t xml:space="preserve"> trust nor does it hold any property subject to or impressed by any trust;</w:t>
      </w:r>
      <w:bookmarkEnd w:id="4937"/>
    </w:p>
    <w:p w14:paraId="4217B37B" w14:textId="04CB50F0" w:rsidR="00E52631" w:rsidRDefault="00E52631" w:rsidP="0058045D">
      <w:pPr>
        <w:pStyle w:val="Heading3"/>
      </w:pPr>
      <w:bookmarkStart w:id="4938" w:name="_Ref164220089"/>
      <w:r>
        <w:t>(</w:t>
      </w:r>
      <w:r w:rsidRPr="00E10719">
        <w:rPr>
          <w:b/>
          <w:bCs/>
        </w:rPr>
        <w:t>information</w:t>
      </w:r>
      <w:r>
        <w:t xml:space="preserve">) all information that has been provided to the Commonwealth by </w:t>
      </w:r>
      <w:r w:rsidR="004555B0">
        <w:t xml:space="preserve">or on behalf of </w:t>
      </w:r>
      <w:r>
        <w:t>Project Operator is true and correct at the time it was provided to the Commonwealth;</w:t>
      </w:r>
      <w:bookmarkEnd w:id="4938"/>
    </w:p>
    <w:p w14:paraId="224D3EAA" w14:textId="77777777" w:rsidR="00E52631" w:rsidRDefault="00E52631" w:rsidP="0058045D">
      <w:pPr>
        <w:pStyle w:val="Heading3"/>
      </w:pPr>
      <w:bookmarkStart w:id="4939" w:name="_Ref164220092"/>
      <w:r>
        <w:t>(</w:t>
      </w:r>
      <w:r w:rsidRPr="00E10719">
        <w:rPr>
          <w:b/>
          <w:bCs/>
        </w:rPr>
        <w:t>no adverse effects</w:t>
      </w:r>
      <w:r>
        <w:t>) it is not aware of any material facts or circumstances that have not been disclosed to the Commonwealth as at the Signing Date:</w:t>
      </w:r>
      <w:bookmarkEnd w:id="4939"/>
    </w:p>
    <w:p w14:paraId="0869D674" w14:textId="77777777" w:rsidR="00E52631" w:rsidRDefault="00E52631" w:rsidP="0058045D">
      <w:pPr>
        <w:pStyle w:val="Heading4"/>
      </w:pPr>
      <w:r>
        <w:t>that may have an adverse effect on Project Operator's ability to meet its obligations under any Project Document; or</w:t>
      </w:r>
    </w:p>
    <w:p w14:paraId="5F54D9AF" w14:textId="406DFF59" w:rsidR="00E52631" w:rsidRDefault="004555B0" w:rsidP="0058045D">
      <w:pPr>
        <w:pStyle w:val="Heading4"/>
      </w:pPr>
      <w:r>
        <w:t>that</w:t>
      </w:r>
      <w:r w:rsidR="00E52631">
        <w:t xml:space="preserve">, had they been disclosed, may have made a prudent person in the Commonwealth's position, considering whether or not to enter into any Project Document, determine not to do so; </w:t>
      </w:r>
    </w:p>
    <w:p w14:paraId="552FFB98" w14:textId="56E9E348" w:rsidR="00896779" w:rsidRDefault="00696003" w:rsidP="0058045D">
      <w:pPr>
        <w:pStyle w:val="Heading3"/>
      </w:pPr>
      <w:r>
        <w:t>(</w:t>
      </w:r>
      <w:r w:rsidRPr="0055410E">
        <w:rPr>
          <w:b/>
          <w:bCs/>
        </w:rPr>
        <w:t xml:space="preserve">no </w:t>
      </w:r>
      <w:r w:rsidR="00DB31CD">
        <w:rPr>
          <w:b/>
          <w:bCs/>
        </w:rPr>
        <w:t>i</w:t>
      </w:r>
      <w:r w:rsidRPr="0055410E">
        <w:rPr>
          <w:b/>
          <w:bCs/>
        </w:rPr>
        <w:t>nsolvency</w:t>
      </w:r>
      <w:r>
        <w:t xml:space="preserve">) it </w:t>
      </w:r>
      <w:r w:rsidR="004555B0" w:rsidRPr="00E10719">
        <w:t>and its Related Bod</w:t>
      </w:r>
      <w:r w:rsidR="004555B0">
        <w:t>ies</w:t>
      </w:r>
      <w:r w:rsidR="004555B0" w:rsidRPr="00E10719">
        <w:t xml:space="preserve"> Corporate </w:t>
      </w:r>
      <w:r w:rsidR="004555B0">
        <w:t>are</w:t>
      </w:r>
      <w:r>
        <w:t xml:space="preserve"> not subject to an Insolvency Event</w:t>
      </w:r>
      <w:r w:rsidR="00896779">
        <w:t>;</w:t>
      </w:r>
    </w:p>
    <w:p w14:paraId="2CD3DB13" w14:textId="5B634DB0" w:rsidR="00F22B33" w:rsidRDefault="00F22B33" w:rsidP="0058045D">
      <w:pPr>
        <w:pStyle w:val="Heading3"/>
      </w:pPr>
      <w:bookmarkStart w:id="4940" w:name="_Ref164220098"/>
      <w:r>
        <w:t>(</w:t>
      </w:r>
      <w:r w:rsidRPr="002D6D4F">
        <w:rPr>
          <w:b/>
          <w:bCs/>
        </w:rPr>
        <w:t>bona fide</w:t>
      </w:r>
      <w:r>
        <w:t xml:space="preserve"> </w:t>
      </w:r>
      <w:r w:rsidRPr="002D6D4F">
        <w:rPr>
          <w:b/>
          <w:bCs/>
        </w:rPr>
        <w:t>contracts</w:t>
      </w:r>
      <w:r>
        <w:t xml:space="preserve">) it has not entered into any </w:t>
      </w:r>
      <w:r w:rsidR="00D238B0">
        <w:t xml:space="preserve">Bilateral </w:t>
      </w:r>
      <w:r>
        <w:t xml:space="preserve">Contract or other arrangement </w:t>
      </w:r>
      <w:r w:rsidR="004555B0">
        <w:t xml:space="preserve">that </w:t>
      </w:r>
      <w:r>
        <w:t xml:space="preserve">would have been a breach of clause </w:t>
      </w:r>
      <w:r>
        <w:fldChar w:fldCharType="begin"/>
      </w:r>
      <w:r>
        <w:instrText xml:space="preserve"> REF _Ref150848459 \w \h </w:instrText>
      </w:r>
      <w:r>
        <w:fldChar w:fldCharType="separate"/>
      </w:r>
      <w:r w:rsidR="002E5C6A">
        <w:t>15.6</w:t>
      </w:r>
      <w:r>
        <w:fldChar w:fldCharType="end"/>
      </w:r>
      <w:r>
        <w:t xml:space="preserve"> (“</w:t>
      </w:r>
      <w:r>
        <w:fldChar w:fldCharType="begin"/>
      </w:r>
      <w:r>
        <w:instrText xml:space="preserve">  REF _Ref150848459 \h </w:instrText>
      </w:r>
      <w:r>
        <w:fldChar w:fldCharType="separate"/>
      </w:r>
      <w:r w:rsidR="002E5C6A">
        <w:t>Bona fide and arm’s length arrangements</w:t>
      </w:r>
      <w:r>
        <w:fldChar w:fldCharType="end"/>
      </w:r>
      <w:r>
        <w:t>”) if it had entered into that arrangement during the Term;</w:t>
      </w:r>
      <w:bookmarkEnd w:id="4940"/>
      <w:r>
        <w:t xml:space="preserve"> </w:t>
      </w:r>
    </w:p>
    <w:p w14:paraId="56882E1C" w14:textId="6D2094F4" w:rsidR="00F22B33" w:rsidRDefault="00F22B33" w:rsidP="0058045D">
      <w:pPr>
        <w:pStyle w:val="Heading3"/>
      </w:pPr>
      <w:bookmarkStart w:id="4941" w:name="_Ref164220100"/>
      <w:r>
        <w:t>(</w:t>
      </w:r>
      <w:r w:rsidRPr="002D6D4F">
        <w:rPr>
          <w:b/>
          <w:bCs/>
        </w:rPr>
        <w:t xml:space="preserve">no </w:t>
      </w:r>
      <w:r>
        <w:rPr>
          <w:b/>
          <w:bCs/>
        </w:rPr>
        <w:t>subsidiaries</w:t>
      </w:r>
      <w:r>
        <w:t>) it has no subsidiaries</w:t>
      </w:r>
      <w:r w:rsidR="00C16348">
        <w:t xml:space="preserve"> other</w:t>
      </w:r>
      <w:r w:rsidR="00204477">
        <w:t>,</w:t>
      </w:r>
      <w:r w:rsidR="00C16348">
        <w:t xml:space="preserve"> than </w:t>
      </w:r>
      <w:r w:rsidR="00204477">
        <w:t>as</w:t>
      </w:r>
      <w:r w:rsidR="00C16348">
        <w:t xml:space="preserve"> permitted by clause </w:t>
      </w:r>
      <w:r w:rsidR="00C16348">
        <w:fldChar w:fldCharType="begin"/>
      </w:r>
      <w:r w:rsidR="00C16348">
        <w:instrText xml:space="preserve"> REF _Ref199428450 \r \h </w:instrText>
      </w:r>
      <w:r w:rsidR="00C16348">
        <w:fldChar w:fldCharType="separate"/>
      </w:r>
      <w:r w:rsidR="002E5C6A">
        <w:t>8.6(a)(v)</w:t>
      </w:r>
      <w:r w:rsidR="00C16348">
        <w:fldChar w:fldCharType="end"/>
      </w:r>
      <w:r w:rsidR="00C16348">
        <w:t xml:space="preserve"> (“</w:t>
      </w:r>
      <w:r w:rsidR="00C16348">
        <w:fldChar w:fldCharType="begin"/>
      </w:r>
      <w:r w:rsidR="00C16348">
        <w:instrText xml:space="preserve"> REF _Ref199428473 \h </w:instrText>
      </w:r>
      <w:r w:rsidR="00C16348">
        <w:fldChar w:fldCharType="separate"/>
      </w:r>
      <w:r w:rsidR="002E5C6A">
        <w:t>Project Operator is a special purpose vehicle</w:t>
      </w:r>
      <w:r w:rsidR="00C16348">
        <w:fldChar w:fldCharType="end"/>
      </w:r>
      <w:r w:rsidR="00C16348">
        <w:t>”)</w:t>
      </w:r>
      <w:r>
        <w:t>;</w:t>
      </w:r>
      <w:bookmarkEnd w:id="4941"/>
      <w:r>
        <w:t xml:space="preserve"> </w:t>
      </w:r>
    </w:p>
    <w:p w14:paraId="415DC994" w14:textId="77777777" w:rsidR="00434563" w:rsidRDefault="00434563" w:rsidP="0058045D">
      <w:pPr>
        <w:pStyle w:val="Heading3"/>
      </w:pPr>
      <w:bookmarkStart w:id="4942" w:name="_Ref164220105"/>
      <w:r>
        <w:t>(</w:t>
      </w:r>
      <w:r w:rsidRPr="002D6D4F">
        <w:rPr>
          <w:b/>
          <w:bCs/>
        </w:rPr>
        <w:t>Security Interests</w:t>
      </w:r>
      <w:r>
        <w:t xml:space="preserve">) </w:t>
      </w:r>
      <w:r w:rsidR="00F22B33">
        <w:t>none of its assets are subject to any Security Interest other than</w:t>
      </w:r>
      <w:r>
        <w:t>:</w:t>
      </w:r>
    </w:p>
    <w:p w14:paraId="460B11B3" w14:textId="53F60804" w:rsidR="00434563" w:rsidRDefault="00434563" w:rsidP="0058045D">
      <w:pPr>
        <w:pStyle w:val="Heading4"/>
      </w:pPr>
      <w:r w:rsidRPr="00556253">
        <w:t xml:space="preserve">any Security Interest arising solely by operation of Law and in the ordinary course of </w:t>
      </w:r>
      <w:r>
        <w:t>Project Operator’s</w:t>
      </w:r>
      <w:r w:rsidRPr="00556253">
        <w:t xml:space="preserve"> ordinary business; </w:t>
      </w:r>
      <w:r w:rsidR="00E40017">
        <w:t>or</w:t>
      </w:r>
      <w:r w:rsidRPr="00556253">
        <w:t xml:space="preserve"> </w:t>
      </w:r>
    </w:p>
    <w:p w14:paraId="31B2DF30" w14:textId="3A3BE1AC" w:rsidR="00F22B33" w:rsidRDefault="00434563" w:rsidP="0058045D">
      <w:pPr>
        <w:pStyle w:val="Heading4"/>
      </w:pPr>
      <w:r w:rsidRPr="00716FCD">
        <w:t xml:space="preserve">any Security Interest granted in support of the external debt financing whose </w:t>
      </w:r>
      <w:r w:rsidR="00C16348">
        <w:t xml:space="preserve">sole </w:t>
      </w:r>
      <w:r w:rsidRPr="00716FCD">
        <w:t>purpose is</w:t>
      </w:r>
      <w:r w:rsidR="00790D6E">
        <w:t xml:space="preserve"> </w:t>
      </w:r>
      <w:r w:rsidRPr="00716FCD">
        <w:t xml:space="preserve">to fund the design, construction, commissioning, testing, operation and maintenance of the </w:t>
      </w:r>
      <w:r>
        <w:t>Project</w:t>
      </w:r>
      <w:r w:rsidR="0077783D">
        <w:t xml:space="preserve"> [and the Associated Project, if applicable</w:t>
      </w:r>
      <w:r w:rsidR="00321C16">
        <w:t>/ and the Existing Project</w:t>
      </w:r>
      <w:r w:rsidR="0077783D">
        <w:t>]</w:t>
      </w:r>
      <w:r w:rsidR="00C16348">
        <w:t xml:space="preserve"> or a portfolio of projects of which the Project is a part</w:t>
      </w:r>
      <w:r w:rsidR="00F22B33">
        <w:t>;</w:t>
      </w:r>
      <w:r w:rsidR="0077783D">
        <w:t xml:space="preserve"> [</w:t>
      </w:r>
      <w:r w:rsidR="0077783D" w:rsidRPr="004D3942">
        <w:rPr>
          <w:b/>
          <w:bCs/>
          <w:i/>
          <w:iCs/>
          <w:highlight w:val="lightGray"/>
        </w:rPr>
        <w:t xml:space="preserve">Note: </w:t>
      </w:r>
      <w:r w:rsidR="0077783D">
        <w:rPr>
          <w:b/>
          <w:bCs/>
          <w:i/>
          <w:iCs/>
          <w:highlight w:val="lightGray"/>
        </w:rPr>
        <w:t xml:space="preserve">words in square brackets to be included </w:t>
      </w:r>
      <w:r w:rsidR="0077783D" w:rsidRPr="004D3942">
        <w:rPr>
          <w:b/>
          <w:bCs/>
          <w:i/>
          <w:iCs/>
          <w:highlight w:val="lightGray"/>
        </w:rPr>
        <w:t>for all Hybrid Projects</w:t>
      </w:r>
      <w:r w:rsidR="00C16348">
        <w:rPr>
          <w:b/>
          <w:bCs/>
          <w:i/>
          <w:iCs/>
          <w:highlight w:val="lightGray"/>
        </w:rPr>
        <w:t xml:space="preserve"> and Staged Projects, as applicable</w:t>
      </w:r>
      <w:r w:rsidR="0077783D" w:rsidRPr="00C16348">
        <w:rPr>
          <w:b/>
          <w:bCs/>
          <w:i/>
          <w:iCs/>
          <w:highlight w:val="lightGray"/>
        </w:rPr>
        <w:t>.</w:t>
      </w:r>
      <w:r w:rsidR="0077783D">
        <w:t>]</w:t>
      </w:r>
    </w:p>
    <w:p w14:paraId="36290224" w14:textId="77777777" w:rsidR="00F22B33" w:rsidRDefault="00434563" w:rsidP="0058045D">
      <w:pPr>
        <w:pStyle w:val="Heading3"/>
      </w:pPr>
      <w:r>
        <w:t>(</w:t>
      </w:r>
      <w:r w:rsidRPr="002D6D4F">
        <w:rPr>
          <w:b/>
          <w:bCs/>
        </w:rPr>
        <w:t>no partnership</w:t>
      </w:r>
      <w:r>
        <w:t xml:space="preserve">) </w:t>
      </w:r>
      <w:r w:rsidR="00F22B33">
        <w:t>it is not a partner in a partnership, it is not a party to an unincorporated joint venture and it is not a participant in or a member of an association or other incorporated body;</w:t>
      </w:r>
    </w:p>
    <w:p w14:paraId="5E43E06A" w14:textId="1596B1A2" w:rsidR="00F22B33" w:rsidRDefault="00434563" w:rsidP="0058045D">
      <w:pPr>
        <w:pStyle w:val="Heading3"/>
      </w:pPr>
      <w:r>
        <w:t>(</w:t>
      </w:r>
      <w:r w:rsidRPr="002D6D4F">
        <w:rPr>
          <w:b/>
          <w:bCs/>
        </w:rPr>
        <w:t>AFSL</w:t>
      </w:r>
      <w:r>
        <w:t xml:space="preserve">) </w:t>
      </w:r>
      <w:r w:rsidR="00F22B33">
        <w:t xml:space="preserve">to the extent required by Law, it holds (or is exempt from the requirement to hold) an Australian financial services licence under Division 2 of Part 7.6 of the Corporations Act; </w:t>
      </w:r>
    </w:p>
    <w:p w14:paraId="6D052B54" w14:textId="51294B5F" w:rsidR="00E3160F" w:rsidRDefault="00434563" w:rsidP="0058045D">
      <w:pPr>
        <w:pStyle w:val="Heading3"/>
      </w:pPr>
      <w:r>
        <w:t>(</w:t>
      </w:r>
      <w:r w:rsidRPr="002D6D4F">
        <w:rPr>
          <w:b/>
          <w:bCs/>
        </w:rPr>
        <w:t>wholesale client</w:t>
      </w:r>
      <w:r>
        <w:t xml:space="preserve">) </w:t>
      </w:r>
      <w:r w:rsidR="00F22B33">
        <w:t>it is a "wholesale client" within the meaning of section</w:t>
      </w:r>
      <w:r w:rsidR="004555B0">
        <w:t> </w:t>
      </w:r>
      <w:r w:rsidR="00F22B33">
        <w:t>761G of the Corporations Act</w:t>
      </w:r>
      <w:bookmarkEnd w:id="4942"/>
      <w:r w:rsidR="00E3160F">
        <w:t>; and</w:t>
      </w:r>
    </w:p>
    <w:p w14:paraId="7A5C3A23" w14:textId="17D3C7CB" w:rsidR="00696003" w:rsidRDefault="00E3160F" w:rsidP="0058045D">
      <w:pPr>
        <w:pStyle w:val="Heading3"/>
      </w:pPr>
      <w:r>
        <w:t>(</w:t>
      </w:r>
      <w:r>
        <w:rPr>
          <w:b/>
          <w:bCs/>
        </w:rPr>
        <w:t>NCESS Contract</w:t>
      </w:r>
      <w:r>
        <w:t xml:space="preserve">) </w:t>
      </w:r>
      <w:r w:rsidRPr="0029252E">
        <w:t xml:space="preserve">at the </w:t>
      </w:r>
      <w:r w:rsidR="00DD5C90">
        <w:t>Signing D</w:t>
      </w:r>
      <w:r>
        <w:t>ate, Project Operator is not a party to an NCESS Contract in respect of the Project</w:t>
      </w:r>
      <w:r w:rsidR="00284A5E">
        <w:t>.</w:t>
      </w:r>
    </w:p>
    <w:p w14:paraId="3F2F3E09" w14:textId="77777777" w:rsidR="009C38CE" w:rsidRDefault="009C38CE" w:rsidP="0058045D">
      <w:pPr>
        <w:pStyle w:val="Heading2"/>
      </w:pPr>
      <w:bookmarkStart w:id="4943" w:name="_Ref159345995"/>
      <w:bookmarkStart w:id="4944" w:name="_Toc207309694"/>
      <w:r>
        <w:t>Anti-bribery and anti-corruption</w:t>
      </w:r>
      <w:bookmarkEnd w:id="4943"/>
      <w:bookmarkEnd w:id="4944"/>
    </w:p>
    <w:p w14:paraId="126BB9B6" w14:textId="7FFB5631" w:rsidR="009C38CE" w:rsidRPr="009C38CE" w:rsidRDefault="00411B14" w:rsidP="009C38CE">
      <w:pPr>
        <w:pStyle w:val="Indent2"/>
      </w:pPr>
      <w:r>
        <w:t>Project Operator</w:t>
      </w:r>
      <w:bookmarkStart w:id="4945" w:name="_Hlk114580652"/>
      <w:r w:rsidR="009C38CE">
        <w:t xml:space="preserve"> represents and warrants that neither it nor any of its Related Bodies Corporate ha</w:t>
      </w:r>
      <w:r w:rsidR="00753092">
        <w:t>ve</w:t>
      </w:r>
      <w:r w:rsidR="009C38CE">
        <w:t xml:space="preserve"> engaged in any activity or conduct</w:t>
      </w:r>
      <w:r w:rsidR="00923DEE">
        <w:t xml:space="preserve"> in </w:t>
      </w:r>
      <w:r w:rsidR="00576E82">
        <w:t xml:space="preserve">connection with </w:t>
      </w:r>
      <w:r w:rsidR="00923DEE">
        <w:t xml:space="preserve">the </w:t>
      </w:r>
      <w:r w:rsidR="004555B0">
        <w:t xml:space="preserve">Tender Process or the </w:t>
      </w:r>
      <w:r w:rsidR="00923DEE">
        <w:t>Project</w:t>
      </w:r>
      <w:r w:rsidR="009C38CE">
        <w:t xml:space="preserve"> </w:t>
      </w:r>
      <w:r w:rsidR="0077783D">
        <w:t xml:space="preserve">[or the </w:t>
      </w:r>
      <w:r w:rsidR="00C16348">
        <w:t>[</w:t>
      </w:r>
      <w:r w:rsidR="0077783D">
        <w:t>Associated</w:t>
      </w:r>
      <w:r w:rsidR="00C16348">
        <w:t>/Existing]</w:t>
      </w:r>
      <w:r w:rsidR="0077783D">
        <w:t xml:space="preserve"> Project] </w:t>
      </w:r>
      <w:r w:rsidR="004555B0">
        <w:t xml:space="preserve">that </w:t>
      </w:r>
      <w:r w:rsidR="009C38CE">
        <w:t>would violate any applicable anti-bribery, anti-corruption</w:t>
      </w:r>
      <w:r w:rsidR="008E72DA">
        <w:t>,</w:t>
      </w:r>
      <w:r w:rsidR="009C38CE">
        <w:t xml:space="preserve"> anti-money laundering </w:t>
      </w:r>
      <w:r w:rsidR="008E72DA">
        <w:t xml:space="preserve">or counter-terrorism financing </w:t>
      </w:r>
      <w:r w:rsidR="009C38CE">
        <w:t>laws, regulations or rules in any applicable jurisdiction.</w:t>
      </w:r>
      <w:r w:rsidR="0077783D">
        <w:t xml:space="preserve"> [</w:t>
      </w:r>
      <w:r w:rsidR="0077783D" w:rsidRPr="004D3942">
        <w:rPr>
          <w:b/>
          <w:bCs/>
          <w:i/>
          <w:iCs/>
          <w:highlight w:val="lightGray"/>
        </w:rPr>
        <w:t xml:space="preserve">Note: </w:t>
      </w:r>
      <w:r w:rsidR="00A15084">
        <w:rPr>
          <w:b/>
          <w:bCs/>
          <w:i/>
          <w:iCs/>
          <w:highlight w:val="lightGray"/>
        </w:rPr>
        <w:t xml:space="preserve">the </w:t>
      </w:r>
      <w:r w:rsidR="0077783D">
        <w:rPr>
          <w:b/>
          <w:bCs/>
          <w:i/>
          <w:iCs/>
          <w:highlight w:val="lightGray"/>
        </w:rPr>
        <w:t xml:space="preserve">words in square brackets </w:t>
      </w:r>
      <w:r w:rsidR="00A15084">
        <w:rPr>
          <w:b/>
          <w:bCs/>
          <w:i/>
          <w:iCs/>
          <w:highlight w:val="lightGray"/>
        </w:rPr>
        <w:t xml:space="preserve">are </w:t>
      </w:r>
      <w:r w:rsidR="0077783D">
        <w:rPr>
          <w:b/>
          <w:bCs/>
          <w:i/>
          <w:iCs/>
          <w:highlight w:val="lightGray"/>
        </w:rPr>
        <w:t xml:space="preserve">to be included </w:t>
      </w:r>
      <w:r w:rsidR="0077783D" w:rsidRPr="004D3942">
        <w:rPr>
          <w:b/>
          <w:bCs/>
          <w:i/>
          <w:iCs/>
          <w:highlight w:val="lightGray"/>
        </w:rPr>
        <w:t>for all Hybrid Projects</w:t>
      </w:r>
      <w:r w:rsidR="00C16348">
        <w:rPr>
          <w:b/>
          <w:bCs/>
          <w:i/>
          <w:iCs/>
          <w:highlight w:val="lightGray"/>
        </w:rPr>
        <w:t xml:space="preserve"> and Staged Projects (as applicable)</w:t>
      </w:r>
      <w:r w:rsidR="0077783D" w:rsidRPr="004D3942">
        <w:rPr>
          <w:b/>
          <w:bCs/>
          <w:i/>
          <w:iCs/>
          <w:highlight w:val="lightGray"/>
        </w:rPr>
        <w:t>.</w:t>
      </w:r>
      <w:r w:rsidR="0077783D">
        <w:t>]</w:t>
      </w:r>
    </w:p>
    <w:p w14:paraId="49C037CF" w14:textId="77777777" w:rsidR="00630B4B" w:rsidRDefault="2C388DF0" w:rsidP="0058045D">
      <w:pPr>
        <w:pStyle w:val="Heading2"/>
      </w:pPr>
      <w:bookmarkStart w:id="4946" w:name="_Ref105594132"/>
      <w:bookmarkStart w:id="4947" w:name="_Toc105762572"/>
      <w:bookmarkStart w:id="4948" w:name="_Toc207309695"/>
      <w:bookmarkStart w:id="4949" w:name="_Hlk107950015"/>
      <w:bookmarkEnd w:id="4945"/>
      <w:r>
        <w:t>Tender representations and warranties from Project Operator</w:t>
      </w:r>
      <w:bookmarkEnd w:id="4946"/>
      <w:bookmarkEnd w:id="4947"/>
      <w:bookmarkEnd w:id="4948"/>
    </w:p>
    <w:p w14:paraId="6E29DEFB" w14:textId="77777777" w:rsidR="005A68A7" w:rsidRDefault="00411B14" w:rsidP="004555B0">
      <w:pPr>
        <w:pStyle w:val="Indent2"/>
        <w:keepNext/>
      </w:pPr>
      <w:bookmarkStart w:id="4950" w:name="_Hlk108011330"/>
      <w:r>
        <w:t>Project Operator</w:t>
      </w:r>
      <w:r w:rsidR="00630B4B">
        <w:t xml:space="preserve"> </w:t>
      </w:r>
      <w:r w:rsidR="00630B4B" w:rsidRPr="00426FD6">
        <w:t>represents and warrants that</w:t>
      </w:r>
      <w:r w:rsidR="005A68A7">
        <w:t>:</w:t>
      </w:r>
    </w:p>
    <w:p w14:paraId="575C3AC5" w14:textId="7FFB0E9E" w:rsidR="004C2668" w:rsidRDefault="009F696C" w:rsidP="0058045D">
      <w:pPr>
        <w:pStyle w:val="Heading3"/>
      </w:pPr>
      <w:r>
        <w:t xml:space="preserve">each statement, representation </w:t>
      </w:r>
      <w:r w:rsidR="00301C90">
        <w:t xml:space="preserve">and </w:t>
      </w:r>
      <w:r>
        <w:t>declaration</w:t>
      </w:r>
      <w:r w:rsidR="00301C90">
        <w:t>,</w:t>
      </w:r>
      <w:r>
        <w:t xml:space="preserve"> and </w:t>
      </w:r>
      <w:r w:rsidR="00301C90">
        <w:t xml:space="preserve">all </w:t>
      </w:r>
      <w:r>
        <w:t>material and information,</w:t>
      </w:r>
      <w:r w:rsidR="00CD6575">
        <w:t xml:space="preserve"> provided by </w:t>
      </w:r>
      <w:bookmarkStart w:id="4951" w:name="_Hlk165041219"/>
      <w:r w:rsidR="006277A1">
        <w:t xml:space="preserve">or on behalf of </w:t>
      </w:r>
      <w:bookmarkEnd w:id="4951"/>
      <w:r w:rsidR="00411B14">
        <w:t>Project Operator</w:t>
      </w:r>
      <w:r w:rsidR="00CD6575">
        <w:t xml:space="preserve"> to </w:t>
      </w:r>
      <w:r w:rsidR="00F830B3">
        <w:t>the Commonwealth</w:t>
      </w:r>
      <w:r w:rsidR="00630B4B">
        <w:t xml:space="preserve"> in connection with </w:t>
      </w:r>
      <w:r w:rsidR="006277A1">
        <w:t>the Tender</w:t>
      </w:r>
      <w:r w:rsidR="005A68A7">
        <w:t xml:space="preserve"> (other than </w:t>
      </w:r>
      <w:r w:rsidR="00212DE5">
        <w:t>forecasts</w:t>
      </w:r>
      <w:r w:rsidR="00634FA3">
        <w:t xml:space="preserve"> </w:t>
      </w:r>
      <w:r w:rsidR="0083226A">
        <w:t xml:space="preserve">or </w:t>
      </w:r>
      <w:r w:rsidR="00212DE5">
        <w:t>project</w:t>
      </w:r>
      <w:r w:rsidR="00A3461E">
        <w:t>ion</w:t>
      </w:r>
      <w:r w:rsidR="00212DE5">
        <w:t>s</w:t>
      </w:r>
      <w:r w:rsidR="002C57C0">
        <w:t>)</w:t>
      </w:r>
      <w:r w:rsidR="00204739">
        <w:t xml:space="preserve"> </w:t>
      </w:r>
      <w:r w:rsidR="002C15C6">
        <w:t>was</w:t>
      </w:r>
      <w:r w:rsidR="00630B4B">
        <w:t xml:space="preserve"> true, correct and not misleading in any material respect (whether by omission or otherwise) </w:t>
      </w:r>
      <w:r w:rsidR="002C15C6">
        <w:t>as at the Tender Date</w:t>
      </w:r>
      <w:r w:rsidR="005A68A7">
        <w:t>; and</w:t>
      </w:r>
    </w:p>
    <w:p w14:paraId="08476D83" w14:textId="0226CE36" w:rsidR="005A68A7" w:rsidRDefault="002C57C0" w:rsidP="0058045D">
      <w:pPr>
        <w:pStyle w:val="Heading3"/>
      </w:pPr>
      <w:r>
        <w:t>all forecasts</w:t>
      </w:r>
      <w:r w:rsidR="00634FA3">
        <w:t xml:space="preserve"> and</w:t>
      </w:r>
      <w:r w:rsidR="00A3461E">
        <w:t xml:space="preserve"> </w:t>
      </w:r>
      <w:r w:rsidR="00212DE5">
        <w:t>project</w:t>
      </w:r>
      <w:r w:rsidR="00A3461E">
        <w:t>ion</w:t>
      </w:r>
      <w:r w:rsidR="00212DE5">
        <w:t>s</w:t>
      </w:r>
      <w:r w:rsidR="00A3461E">
        <w:t xml:space="preserve"> </w:t>
      </w:r>
      <w:r w:rsidR="00212DE5">
        <w:t xml:space="preserve">provided by </w:t>
      </w:r>
      <w:r w:rsidR="006277A1">
        <w:t xml:space="preserve">or on behalf of </w:t>
      </w:r>
      <w:r w:rsidR="00411B14">
        <w:t>Project Operator</w:t>
      </w:r>
      <w:r w:rsidR="00212DE5">
        <w:t xml:space="preserve"> to </w:t>
      </w:r>
      <w:r w:rsidR="00F830B3">
        <w:t>the Commonwealth</w:t>
      </w:r>
      <w:r w:rsidR="00212DE5">
        <w:t xml:space="preserve"> in connection with </w:t>
      </w:r>
      <w:r w:rsidR="006277A1">
        <w:t>the Tender</w:t>
      </w:r>
      <w:r w:rsidR="00212DE5">
        <w:t xml:space="preserve"> </w:t>
      </w:r>
      <w:r w:rsidR="00A3461E">
        <w:t xml:space="preserve">were prepared using due care and skill based on assumptions </w:t>
      </w:r>
      <w:r w:rsidR="00301C90">
        <w:t xml:space="preserve">that </w:t>
      </w:r>
      <w:r w:rsidR="00411B14">
        <w:t>Project Operator</w:t>
      </w:r>
      <w:r w:rsidR="00A3461E">
        <w:t xml:space="preserve"> </w:t>
      </w:r>
      <w:r w:rsidR="00AD0AAA">
        <w:t xml:space="preserve">and its </w:t>
      </w:r>
      <w:r w:rsidR="00C16348">
        <w:t>A</w:t>
      </w:r>
      <w:r w:rsidR="00AD0AAA">
        <w:t xml:space="preserve">ssociates </w:t>
      </w:r>
      <w:r w:rsidR="00A3461E">
        <w:t>believed, in good faith, were fair and reasonable assumptions as at the Tender Date</w:t>
      </w:r>
      <w:r w:rsidR="002B5C85">
        <w:t>.</w:t>
      </w:r>
    </w:p>
    <w:p w14:paraId="3740FB2E" w14:textId="77777777" w:rsidR="00434563" w:rsidRPr="002D6D4F" w:rsidRDefault="2C388DF0" w:rsidP="0058045D">
      <w:pPr>
        <w:pStyle w:val="Heading2"/>
      </w:pPr>
      <w:bookmarkStart w:id="4952" w:name="_Toc207309696"/>
      <w:r>
        <w:t>Repetition</w:t>
      </w:r>
      <w:bookmarkEnd w:id="4952"/>
    </w:p>
    <w:p w14:paraId="52F0DD37" w14:textId="4390AD44" w:rsidR="00434563" w:rsidRPr="004C2668" w:rsidRDefault="00434563" w:rsidP="002D6D4F">
      <w:pPr>
        <w:pStyle w:val="Indent2"/>
      </w:pPr>
      <w:r w:rsidRPr="002D6D4F">
        <w:t xml:space="preserve">Unless expressly stated otherwise, each representation and warranty given by </w:t>
      </w:r>
      <w:r>
        <w:t xml:space="preserve">Project </w:t>
      </w:r>
      <w:r w:rsidRPr="002D6D4F">
        <w:t xml:space="preserve">Operator </w:t>
      </w:r>
      <w:r w:rsidR="006D1B5D">
        <w:t xml:space="preserve">(other than clauses </w:t>
      </w:r>
      <w:r w:rsidR="00E52631">
        <w:fldChar w:fldCharType="begin"/>
      </w:r>
      <w:r w:rsidR="00E52631">
        <w:instrText xml:space="preserve"> REF _Ref166250102 \w \h </w:instrText>
      </w:r>
      <w:r w:rsidR="00E52631">
        <w:fldChar w:fldCharType="separate"/>
      </w:r>
      <w:r w:rsidR="002E5C6A">
        <w:t>25.2(b)</w:t>
      </w:r>
      <w:r w:rsidR="00E52631">
        <w:fldChar w:fldCharType="end"/>
      </w:r>
      <w:r w:rsidR="00E52631">
        <w:t xml:space="preserve"> (“no Claims”), </w:t>
      </w:r>
      <w:r w:rsidR="00E52631">
        <w:fldChar w:fldCharType="begin"/>
      </w:r>
      <w:r w:rsidR="00E52631">
        <w:instrText xml:space="preserve"> REF _Ref164220092 \w \h </w:instrText>
      </w:r>
      <w:r w:rsidR="00E52631">
        <w:fldChar w:fldCharType="separate"/>
      </w:r>
      <w:r w:rsidR="002E5C6A">
        <w:t>25.2(g)</w:t>
      </w:r>
      <w:r w:rsidR="00E52631">
        <w:fldChar w:fldCharType="end"/>
      </w:r>
      <w:r w:rsidR="00E52631">
        <w:t xml:space="preserve"> (“no adverse effects”)</w:t>
      </w:r>
      <w:r w:rsidR="006D1B5D">
        <w:t xml:space="preserve"> </w:t>
      </w:r>
      <w:r w:rsidR="00E52631">
        <w:t xml:space="preserve">and </w:t>
      </w:r>
      <w:r w:rsidR="006D1B5D">
        <w:fldChar w:fldCharType="begin"/>
      </w:r>
      <w:r w:rsidR="006D1B5D">
        <w:instrText xml:space="preserve"> REF _Ref105594132 \w \h </w:instrText>
      </w:r>
      <w:r w:rsidR="006D1B5D">
        <w:fldChar w:fldCharType="separate"/>
      </w:r>
      <w:r w:rsidR="002E5C6A">
        <w:t>25.4</w:t>
      </w:r>
      <w:r w:rsidR="006D1B5D">
        <w:fldChar w:fldCharType="end"/>
      </w:r>
      <w:r w:rsidR="006D1B5D">
        <w:t xml:space="preserve"> (“</w:t>
      </w:r>
      <w:r w:rsidR="006D1B5D">
        <w:fldChar w:fldCharType="begin"/>
      </w:r>
      <w:r w:rsidR="006D1B5D">
        <w:instrText xml:space="preserve"> REF _Ref105594132 \h </w:instrText>
      </w:r>
      <w:r w:rsidR="006D1B5D">
        <w:fldChar w:fldCharType="separate"/>
      </w:r>
      <w:r w:rsidR="002E5C6A">
        <w:t>Tender representations and warranties from Project Operator</w:t>
      </w:r>
      <w:r w:rsidR="006D1B5D">
        <w:fldChar w:fldCharType="end"/>
      </w:r>
      <w:r w:rsidR="006D1B5D">
        <w:t xml:space="preserve">”) is deemed to be given on the Signing Date and </w:t>
      </w:r>
      <w:r w:rsidRPr="002D6D4F">
        <w:t>repeated on each day thereafter throughout the Term with reference to the facts and</w:t>
      </w:r>
      <w:r w:rsidR="006D1B5D">
        <w:t xml:space="preserve"> </w:t>
      </w:r>
      <w:r w:rsidRPr="002D6D4F">
        <w:t>circumstances then subsisting.</w:t>
      </w:r>
    </w:p>
    <w:p w14:paraId="7D636816" w14:textId="77777777" w:rsidR="00DB31CD" w:rsidRDefault="2C388DF0" w:rsidP="0058045D">
      <w:pPr>
        <w:pStyle w:val="Heading2"/>
      </w:pPr>
      <w:bookmarkStart w:id="4953" w:name="_Toc106275723"/>
      <w:bookmarkStart w:id="4954" w:name="_Toc207309697"/>
      <w:bookmarkEnd w:id="4949"/>
      <w:bookmarkEnd w:id="4950"/>
      <w:r>
        <w:t>No reliance</w:t>
      </w:r>
      <w:bookmarkEnd w:id="4953"/>
      <w:bookmarkEnd w:id="4954"/>
    </w:p>
    <w:p w14:paraId="699CFD6A" w14:textId="77777777" w:rsidR="00EF55F8" w:rsidRDefault="00EF55F8" w:rsidP="00EF55F8">
      <w:pPr>
        <w:pStyle w:val="Indent2"/>
      </w:pPr>
      <w:r>
        <w:t xml:space="preserve">Each party acknowledges that it has not relied on any representation or warranty (whether express or implied) about the subject matter of this agreement other than those contained in this agreement. </w:t>
      </w:r>
    </w:p>
    <w:p w14:paraId="46B2BB3A" w14:textId="04273DD1" w:rsidR="00132E64" w:rsidRDefault="2BC382E4" w:rsidP="0058045D">
      <w:pPr>
        <w:pStyle w:val="Heading1"/>
      </w:pPr>
      <w:bookmarkStart w:id="4955" w:name="_Toc108021023"/>
      <w:bookmarkStart w:id="4956" w:name="_Toc108089400"/>
      <w:bookmarkStart w:id="4957" w:name="_Toc108098125"/>
      <w:bookmarkStart w:id="4958" w:name="_Toc108425522"/>
      <w:bookmarkStart w:id="4959" w:name="_Toc207309698"/>
      <w:bookmarkEnd w:id="4955"/>
      <w:bookmarkEnd w:id="4956"/>
      <w:bookmarkEnd w:id="4957"/>
      <w:bookmarkEnd w:id="4958"/>
      <w:r>
        <w:t>[Trustee provisions</w:t>
      </w:r>
      <w:bookmarkEnd w:id="4959"/>
    </w:p>
    <w:p w14:paraId="58DCD47C" w14:textId="1BAA4299" w:rsidR="00C16348" w:rsidRPr="00C16348" w:rsidRDefault="00C16348" w:rsidP="00D315FD">
      <w:pPr>
        <w:spacing w:before="240"/>
      </w:pPr>
      <w:r w:rsidRPr="008129EB">
        <w:t>[</w:t>
      </w:r>
      <w:r w:rsidRPr="00C500CE">
        <w:rPr>
          <w:b/>
          <w:bCs/>
          <w:i/>
          <w:iCs/>
          <w:highlight w:val="lightGray"/>
        </w:rPr>
        <w:t xml:space="preserve">Note: this clause </w:t>
      </w:r>
      <w:r w:rsidR="008F4CFC">
        <w:rPr>
          <w:b/>
          <w:bCs/>
          <w:i/>
          <w:iCs/>
          <w:highlight w:val="lightGray"/>
        </w:rPr>
        <w:t xml:space="preserve">26 </w:t>
      </w:r>
      <w:r w:rsidRPr="00C500CE">
        <w:rPr>
          <w:b/>
          <w:bCs/>
          <w:i/>
          <w:iCs/>
          <w:highlight w:val="lightGray"/>
        </w:rPr>
        <w:t>is to be included if Project Operator is trustee of a trust.</w:t>
      </w:r>
      <w:r w:rsidRPr="008129EB">
        <w:t>]</w:t>
      </w:r>
    </w:p>
    <w:p w14:paraId="51C5733D" w14:textId="77777777" w:rsidR="00132E64" w:rsidRDefault="2BC382E4" w:rsidP="008F660B">
      <w:pPr>
        <w:pStyle w:val="Heading2"/>
        <w:numPr>
          <w:ilvl w:val="1"/>
          <w:numId w:val="81"/>
        </w:numPr>
      </w:pPr>
      <w:bookmarkStart w:id="4960" w:name="_Toc207309699"/>
      <w:r>
        <w:t>Trustee representations and warranties</w:t>
      </w:r>
      <w:bookmarkEnd w:id="4960"/>
    </w:p>
    <w:p w14:paraId="1EE2DCD4" w14:textId="77777777" w:rsidR="00132E64" w:rsidRDefault="00411B14" w:rsidP="00AF145F">
      <w:pPr>
        <w:pStyle w:val="Indent2"/>
        <w:keepNext/>
      </w:pPr>
      <w:r>
        <w:t>Project Operator</w:t>
      </w:r>
      <w:r w:rsidR="00132E64">
        <w:t xml:space="preserve"> represents and warrants to </w:t>
      </w:r>
      <w:r w:rsidR="00BE77D6" w:rsidRPr="00F75565">
        <w:t>the Commonwealth</w:t>
      </w:r>
      <w:r w:rsidR="00132E64" w:rsidRPr="00F75565">
        <w:t xml:space="preserve"> that:</w:t>
      </w:r>
      <w:r w:rsidR="00132E64">
        <w:t xml:space="preserve"> </w:t>
      </w:r>
    </w:p>
    <w:p w14:paraId="003E798D" w14:textId="77777777" w:rsidR="00132E64" w:rsidRPr="00E0095B" w:rsidRDefault="00132E64" w:rsidP="0058045D">
      <w:pPr>
        <w:pStyle w:val="Heading3"/>
      </w:pPr>
      <w:r w:rsidRPr="00E0095B">
        <w:t>(</w:t>
      </w:r>
      <w:r w:rsidRPr="00E0095B">
        <w:rPr>
          <w:b/>
          <w:bCs/>
        </w:rPr>
        <w:t>existence</w:t>
      </w:r>
      <w:r w:rsidRPr="00E0095B">
        <w:t>) the Trust has been duly established</w:t>
      </w:r>
      <w:r>
        <w:t xml:space="preserve"> and constituted</w:t>
      </w:r>
      <w:r w:rsidRPr="00E0095B">
        <w:t xml:space="preserve">; </w:t>
      </w:r>
    </w:p>
    <w:p w14:paraId="77C9C31A" w14:textId="77777777" w:rsidR="00132E64" w:rsidRPr="00E0095B" w:rsidRDefault="00132E64" w:rsidP="0058045D">
      <w:pPr>
        <w:pStyle w:val="Heading3"/>
      </w:pPr>
      <w:r w:rsidRPr="00E0095B">
        <w:t>(</w:t>
      </w:r>
      <w:r w:rsidRPr="00E0095B">
        <w:rPr>
          <w:b/>
          <w:bCs/>
        </w:rPr>
        <w:t>sole trustee</w:t>
      </w:r>
      <w:r w:rsidRPr="00E0095B">
        <w:t xml:space="preserve">) it is the only trustee of the Trust; </w:t>
      </w:r>
    </w:p>
    <w:p w14:paraId="124EB516" w14:textId="77777777" w:rsidR="00132E64" w:rsidRPr="00E0095B" w:rsidRDefault="00132E64" w:rsidP="0058045D">
      <w:pPr>
        <w:pStyle w:val="Heading3"/>
      </w:pPr>
      <w:r w:rsidRPr="00E0095B">
        <w:t>(</w:t>
      </w:r>
      <w:r w:rsidRPr="00E0095B">
        <w:rPr>
          <w:b/>
          <w:bCs/>
        </w:rPr>
        <w:t>appointment and no removal</w:t>
      </w:r>
      <w:r w:rsidRPr="00E0095B">
        <w:t xml:space="preserve">) it has been validly appointed as trustee of the Trust and no action has been taken or proposed to remove it as trustee of the Trust; </w:t>
      </w:r>
    </w:p>
    <w:p w14:paraId="7085B96C" w14:textId="77777777" w:rsidR="00132E64" w:rsidRPr="00E0095B" w:rsidRDefault="00132E64" w:rsidP="0058045D">
      <w:pPr>
        <w:pStyle w:val="Heading3"/>
      </w:pPr>
      <w:r w:rsidRPr="00E0095B">
        <w:t>(</w:t>
      </w:r>
      <w:r w:rsidRPr="00E0095B">
        <w:rPr>
          <w:b/>
          <w:bCs/>
        </w:rPr>
        <w:t>power</w:t>
      </w:r>
      <w:r w:rsidRPr="00E0095B">
        <w:t xml:space="preserve">) it has power under the terms of the Trust to enter into this agreement and comply with its obligations under it; </w:t>
      </w:r>
    </w:p>
    <w:p w14:paraId="5527596C" w14:textId="7113D909" w:rsidR="00132E64" w:rsidRPr="00E0095B" w:rsidRDefault="00132E64" w:rsidP="0058045D">
      <w:pPr>
        <w:pStyle w:val="Heading3"/>
      </w:pPr>
      <w:r w:rsidRPr="00E0095B">
        <w:t>(</w:t>
      </w:r>
      <w:r w:rsidRPr="00E0095B">
        <w:rPr>
          <w:b/>
          <w:bCs/>
        </w:rPr>
        <w:t>authorisations</w:t>
      </w:r>
      <w:r w:rsidRPr="00E0095B">
        <w:t xml:space="preserve">) it has in full force and effect the authorisations necessary for it to enter into this agreement, perform obligations under it and allow it to be enforced (including </w:t>
      </w:r>
      <w:r w:rsidR="00301C90">
        <w:t xml:space="preserve">all Authorisations and </w:t>
      </w:r>
      <w:r w:rsidRPr="00E0095B">
        <w:t xml:space="preserve">any authorisation required under the Trust Deed and its constitution (if any)); </w:t>
      </w:r>
    </w:p>
    <w:p w14:paraId="619E615E" w14:textId="77777777" w:rsidR="00132E64" w:rsidRPr="00AA1B8B" w:rsidRDefault="00132E64" w:rsidP="0058045D">
      <w:pPr>
        <w:pStyle w:val="Heading3"/>
      </w:pPr>
      <w:r w:rsidRPr="00E0095B">
        <w:t>(</w:t>
      </w:r>
      <w:r w:rsidRPr="00E0095B">
        <w:rPr>
          <w:b/>
          <w:bCs/>
        </w:rPr>
        <w:t>indemnity</w:t>
      </w:r>
      <w:r w:rsidRPr="00E0095B">
        <w:t xml:space="preserve">) it has a right to be fully indemnified out of the </w:t>
      </w:r>
      <w:r>
        <w:t>T</w:t>
      </w:r>
      <w:r w:rsidRPr="00E0095B">
        <w:t xml:space="preserve">rust </w:t>
      </w:r>
      <w:r>
        <w:t>P</w:t>
      </w:r>
      <w:r w:rsidRPr="00E0095B">
        <w:t xml:space="preserve">roperty </w:t>
      </w:r>
      <w:r w:rsidRPr="00AA1B8B">
        <w:t>in respect of obligations incurred by it under this agreement</w:t>
      </w:r>
      <w:r>
        <w:t xml:space="preserve"> and there are no facts, matters or circumstances that would disentitle </w:t>
      </w:r>
      <w:r w:rsidR="00411B14">
        <w:t>Project Operator</w:t>
      </w:r>
      <w:r>
        <w:t xml:space="preserve"> from being so indemnified</w:t>
      </w:r>
      <w:r w:rsidRPr="00AA1B8B">
        <w:t xml:space="preserve">; </w:t>
      </w:r>
    </w:p>
    <w:p w14:paraId="140A4AE3" w14:textId="77777777" w:rsidR="00132E64" w:rsidRPr="00AA1B8B" w:rsidRDefault="00132E64" w:rsidP="0058045D">
      <w:pPr>
        <w:pStyle w:val="Heading3"/>
      </w:pPr>
      <w:r w:rsidRPr="00AA1B8B">
        <w:t>(</w:t>
      </w:r>
      <w:r w:rsidRPr="00AA1B8B">
        <w:rPr>
          <w:b/>
          <w:bCs/>
        </w:rPr>
        <w:t>no default</w:t>
      </w:r>
      <w:r w:rsidRPr="00AA1B8B">
        <w:t xml:space="preserve">) it is not, and never has been, in default under the Trust Deed; </w:t>
      </w:r>
    </w:p>
    <w:p w14:paraId="69E7A3FB" w14:textId="77777777" w:rsidR="00132E64" w:rsidRPr="00E0095B" w:rsidRDefault="00132E64" w:rsidP="0058045D">
      <w:pPr>
        <w:pStyle w:val="Heading3"/>
      </w:pPr>
      <w:r w:rsidRPr="00E0095B">
        <w:t>(</w:t>
      </w:r>
      <w:r w:rsidRPr="00E0095B">
        <w:rPr>
          <w:b/>
          <w:bCs/>
        </w:rPr>
        <w:t>no termination</w:t>
      </w:r>
      <w:r w:rsidRPr="00E0095B">
        <w:t>) no action has been taken or proposed to terminate the Trust;</w:t>
      </w:r>
    </w:p>
    <w:p w14:paraId="768AB2E4" w14:textId="77777777" w:rsidR="00132E64" w:rsidRPr="00AA1B8B" w:rsidRDefault="00132E64" w:rsidP="0058045D">
      <w:pPr>
        <w:pStyle w:val="Heading3"/>
      </w:pPr>
      <w:r w:rsidRPr="00AA1B8B">
        <w:t>(</w:t>
      </w:r>
      <w:r w:rsidRPr="00AA1B8B">
        <w:rPr>
          <w:b/>
          <w:bCs/>
        </w:rPr>
        <w:t>officers’ compliance</w:t>
      </w:r>
      <w:r w:rsidRPr="00AA1B8B">
        <w:t>) it and its directors and other officers have complied with their obligations in connection with the Trust;</w:t>
      </w:r>
    </w:p>
    <w:p w14:paraId="41FDC572" w14:textId="77777777" w:rsidR="00132E64" w:rsidRPr="00AA1B8B" w:rsidRDefault="00132E64" w:rsidP="0058045D">
      <w:pPr>
        <w:pStyle w:val="Heading3"/>
      </w:pPr>
      <w:r w:rsidRPr="00AA1B8B">
        <w:t>(</w:t>
      </w:r>
      <w:r w:rsidRPr="00AA1B8B">
        <w:rPr>
          <w:b/>
          <w:bCs/>
        </w:rPr>
        <w:t>exercise of powers</w:t>
      </w:r>
      <w:r w:rsidRPr="00AA1B8B">
        <w:t>) it has not exercised its powers under the Trust Deed to release, abandon or restrict any power conferred on it by the Trust Deed; and</w:t>
      </w:r>
    </w:p>
    <w:p w14:paraId="3F8C808E" w14:textId="77777777" w:rsidR="00132E64" w:rsidRPr="00E0095B" w:rsidRDefault="00132E64" w:rsidP="0058045D">
      <w:pPr>
        <w:pStyle w:val="Heading3"/>
      </w:pPr>
      <w:r w:rsidRPr="00E0095B">
        <w:t>(</w:t>
      </w:r>
      <w:r w:rsidRPr="00E0095B">
        <w:rPr>
          <w:b/>
          <w:bCs/>
        </w:rPr>
        <w:t>benefit</w:t>
      </w:r>
      <w:r w:rsidRPr="00E0095B">
        <w:t>) entry into the documents to which it is a party is a valid exercise of its powers under the Trust Deed for the benefit of the</w:t>
      </w:r>
      <w:r>
        <w:t xml:space="preserve"> </w:t>
      </w:r>
      <w:r w:rsidRPr="00E0095B">
        <w:t>beneficiaries</w:t>
      </w:r>
      <w:r w:rsidR="00AD0AAA">
        <w:t xml:space="preserve"> of the Trust</w:t>
      </w:r>
      <w:r w:rsidRPr="00E0095B">
        <w:t>.</w:t>
      </w:r>
    </w:p>
    <w:p w14:paraId="0C2C8EC5" w14:textId="77777777" w:rsidR="00132E64" w:rsidRDefault="2BC382E4" w:rsidP="0058045D">
      <w:pPr>
        <w:pStyle w:val="Heading2"/>
        <w:rPr>
          <w:rFonts w:eastAsia="Arial Unicode MS"/>
          <w:lang w:eastAsia="en-AU"/>
        </w:rPr>
      </w:pPr>
      <w:bookmarkStart w:id="4961" w:name="_Toc207309700"/>
      <w:r w:rsidRPr="2BC382E4">
        <w:rPr>
          <w:rFonts w:eastAsia="Arial Unicode MS"/>
          <w:lang w:eastAsia="en-AU"/>
        </w:rPr>
        <w:t>Trustee undertakings</w:t>
      </w:r>
      <w:bookmarkEnd w:id="4961"/>
    </w:p>
    <w:p w14:paraId="246DE479" w14:textId="77777777" w:rsidR="00132E64" w:rsidRDefault="00411B14" w:rsidP="00132E64">
      <w:pPr>
        <w:pStyle w:val="Indent2"/>
      </w:pPr>
      <w:r>
        <w:t>Project Operator</w:t>
      </w:r>
      <w:r w:rsidR="00132E64">
        <w:t xml:space="preserve"> undertakes</w:t>
      </w:r>
      <w:r w:rsidR="00132E64" w:rsidRPr="00AE2787">
        <w:t xml:space="preserve"> </w:t>
      </w:r>
      <w:r w:rsidR="00132E64">
        <w:t>to comply with its obligations as trustee of the Trust</w:t>
      </w:r>
      <w:r w:rsidR="00870061">
        <w:t>.</w:t>
      </w:r>
    </w:p>
    <w:p w14:paraId="26E2C5AF" w14:textId="77777777" w:rsidR="00EF250B" w:rsidRDefault="2BC382E4" w:rsidP="0058045D">
      <w:pPr>
        <w:pStyle w:val="Heading2"/>
      </w:pPr>
      <w:bookmarkStart w:id="4962" w:name="_Toc165390635"/>
      <w:bookmarkStart w:id="4963" w:name="_Toc207309701"/>
      <w:r>
        <w:t>Restrictions on trustee</w:t>
      </w:r>
      <w:bookmarkEnd w:id="4962"/>
      <w:bookmarkEnd w:id="4963"/>
      <w:r>
        <w:t xml:space="preserve"> </w:t>
      </w:r>
    </w:p>
    <w:p w14:paraId="64C6883D" w14:textId="2A60C245" w:rsidR="00132E64" w:rsidRDefault="00132E64" w:rsidP="00132E64">
      <w:pPr>
        <w:pStyle w:val="Indent2"/>
      </w:pPr>
      <w:r>
        <w:t xml:space="preserve">Without the consent of </w:t>
      </w:r>
      <w:r w:rsidR="00BE77D6" w:rsidRPr="00F75565">
        <w:t>the Commonwealth</w:t>
      </w:r>
      <w:r w:rsidRPr="00F75565">
        <w:t xml:space="preserve">, </w:t>
      </w:r>
      <w:r w:rsidR="00411B14">
        <w:t>Project Operator</w:t>
      </w:r>
      <w:r>
        <w:t xml:space="preserve"> m</w:t>
      </w:r>
      <w:r w:rsidR="00303D9B">
        <w:t>ust</w:t>
      </w:r>
      <w:r>
        <w:t xml:space="preserve"> not, and m</w:t>
      </w:r>
      <w:r w:rsidR="00303D9B">
        <w:t>ust</w:t>
      </w:r>
      <w:r>
        <w:t xml:space="preserve"> not agree, attempt </w:t>
      </w:r>
      <w:r w:rsidR="00A15084">
        <w:t xml:space="preserve">to, </w:t>
      </w:r>
      <w:r>
        <w:t xml:space="preserve">or take any step to, do anything </w:t>
      </w:r>
      <w:r w:rsidR="00303D9B">
        <w:t>that</w:t>
      </w:r>
      <w:r>
        <w:t xml:space="preserve">: </w:t>
      </w:r>
    </w:p>
    <w:p w14:paraId="2F6578CF" w14:textId="62D20526" w:rsidR="00132E64" w:rsidRPr="00AA1B8B" w:rsidRDefault="00132E64" w:rsidP="0058045D">
      <w:pPr>
        <w:pStyle w:val="Heading3"/>
      </w:pPr>
      <w:r w:rsidRPr="00AA1B8B">
        <w:t>(</w:t>
      </w:r>
      <w:r w:rsidRPr="00AA1B8B">
        <w:rPr>
          <w:b/>
          <w:bCs/>
        </w:rPr>
        <w:t>retirement, removal, replacement</w:t>
      </w:r>
      <w:r w:rsidRPr="00AA1B8B">
        <w:t xml:space="preserve">) effects or facilitates the retirement, removal or replacement of </w:t>
      </w:r>
      <w:r w:rsidR="00411B14">
        <w:t>Project Operator</w:t>
      </w:r>
      <w:r w:rsidRPr="00AA1B8B">
        <w:t xml:space="preserve"> as trustee of the Trust</w:t>
      </w:r>
      <w:r w:rsidR="007B65C7">
        <w:t xml:space="preserve"> </w:t>
      </w:r>
      <w:bookmarkStart w:id="4964" w:name="_Hlk174439925"/>
      <w:r w:rsidR="007B65C7" w:rsidRPr="00764C21">
        <w:t>(except to the extent that has been expressly approved as part of the approval of an assignment, novation</w:t>
      </w:r>
      <w:r w:rsidR="007B65C7">
        <w:t xml:space="preserve"> or </w:t>
      </w:r>
      <w:r w:rsidR="007B65C7" w:rsidRPr="00764C21">
        <w:t xml:space="preserve">transfer approved </w:t>
      </w:r>
      <w:r w:rsidR="007B65C7">
        <w:t xml:space="preserve">by the Commonwealth </w:t>
      </w:r>
      <w:r w:rsidR="007B65C7" w:rsidRPr="00764C21">
        <w:t>pursuant to clause</w:t>
      </w:r>
      <w:r w:rsidR="007B65C7">
        <w:t> </w:t>
      </w:r>
      <w:r w:rsidR="007B65C7">
        <w:fldChar w:fldCharType="begin"/>
      </w:r>
      <w:r w:rsidR="007B65C7">
        <w:instrText xml:space="preserve"> REF _Ref159345994 \w \h </w:instrText>
      </w:r>
      <w:r w:rsidR="007B65C7">
        <w:fldChar w:fldCharType="separate"/>
      </w:r>
      <w:r w:rsidR="002E5C6A">
        <w:t>23.1</w:t>
      </w:r>
      <w:r w:rsidR="007B65C7">
        <w:fldChar w:fldCharType="end"/>
      </w:r>
      <w:r w:rsidR="007B65C7">
        <w:t xml:space="preserve"> (“</w:t>
      </w:r>
      <w:r w:rsidR="007B65C7">
        <w:rPr>
          <w:highlight w:val="green"/>
        </w:rPr>
        <w:fldChar w:fldCharType="begin"/>
      </w:r>
      <w:r w:rsidR="007B65C7">
        <w:instrText xml:space="preserve"> REF _Ref159345994 \h </w:instrText>
      </w:r>
      <w:r w:rsidR="007B65C7">
        <w:rPr>
          <w:highlight w:val="green"/>
        </w:rPr>
      </w:r>
      <w:r w:rsidR="007B65C7">
        <w:rPr>
          <w:highlight w:val="green"/>
        </w:rPr>
        <w:fldChar w:fldCharType="separate"/>
      </w:r>
      <w:r w:rsidR="002E5C6A">
        <w:t>Assignment by Project Operator</w:t>
      </w:r>
      <w:r w:rsidR="007B65C7">
        <w:rPr>
          <w:highlight w:val="green"/>
        </w:rPr>
        <w:fldChar w:fldCharType="end"/>
      </w:r>
      <w:r w:rsidR="007B65C7">
        <w:t>”</w:t>
      </w:r>
      <w:r w:rsidR="007B65C7" w:rsidRPr="00764C21">
        <w:t>)</w:t>
      </w:r>
      <w:bookmarkEnd w:id="4964"/>
      <w:r w:rsidR="00204477">
        <w:t>)</w:t>
      </w:r>
      <w:r w:rsidRPr="00AA1B8B">
        <w:t xml:space="preserve">; </w:t>
      </w:r>
    </w:p>
    <w:p w14:paraId="62D85F36" w14:textId="77777777" w:rsidR="00132E64" w:rsidRPr="00AA1B8B" w:rsidRDefault="00132E64" w:rsidP="0058045D">
      <w:pPr>
        <w:pStyle w:val="Heading3"/>
      </w:pPr>
      <w:r w:rsidRPr="00AA1B8B">
        <w:t>(</w:t>
      </w:r>
      <w:r w:rsidRPr="00AA1B8B">
        <w:rPr>
          <w:b/>
          <w:bCs/>
        </w:rPr>
        <w:t>restriction on right of indemnity</w:t>
      </w:r>
      <w:r w:rsidRPr="00AA1B8B">
        <w:t xml:space="preserve">) could restrict </w:t>
      </w:r>
      <w:r w:rsidR="00411B14">
        <w:t>Project Operator</w:t>
      </w:r>
      <w:r w:rsidRPr="00AA1B8B">
        <w:t xml:space="preserve">’s right of indemnity from the </w:t>
      </w:r>
      <w:r>
        <w:t>T</w:t>
      </w:r>
      <w:r w:rsidRPr="00AA1B8B">
        <w:t xml:space="preserve">rust </w:t>
      </w:r>
      <w:r>
        <w:t>P</w:t>
      </w:r>
      <w:r w:rsidRPr="00AA1B8B">
        <w:t xml:space="preserve">roperty in respect of obligations incurred by </w:t>
      </w:r>
      <w:r w:rsidR="00411B14">
        <w:t>Project Operator</w:t>
      </w:r>
      <w:r w:rsidRPr="00AA1B8B">
        <w:t xml:space="preserve"> under this agreement;</w:t>
      </w:r>
    </w:p>
    <w:p w14:paraId="21C9756F" w14:textId="77777777" w:rsidR="00132E64" w:rsidRPr="00AA1B8B" w:rsidRDefault="00132E64" w:rsidP="0058045D">
      <w:pPr>
        <w:pStyle w:val="Heading3"/>
      </w:pPr>
      <w:r w:rsidRPr="00AA1B8B">
        <w:t>(</w:t>
      </w:r>
      <w:r w:rsidRPr="00AA1B8B">
        <w:rPr>
          <w:b/>
          <w:bCs/>
        </w:rPr>
        <w:t>restrict or impair compliance</w:t>
      </w:r>
      <w:r w:rsidRPr="00AA1B8B">
        <w:t xml:space="preserve">) could restrict or impair the ability of </w:t>
      </w:r>
      <w:r w:rsidR="00411B14">
        <w:t>Project Operator</w:t>
      </w:r>
      <w:r w:rsidRPr="00AA1B8B">
        <w:t xml:space="preserve"> to comply with its obligations under this agreement; </w:t>
      </w:r>
    </w:p>
    <w:p w14:paraId="48AADC7F" w14:textId="77777777" w:rsidR="00132E64" w:rsidRPr="00AA1B8B" w:rsidRDefault="00132E64" w:rsidP="0058045D">
      <w:pPr>
        <w:pStyle w:val="Heading3"/>
      </w:pPr>
      <w:r w:rsidRPr="00AA1B8B">
        <w:t>(</w:t>
      </w:r>
      <w:r w:rsidRPr="00AA1B8B">
        <w:rPr>
          <w:b/>
          <w:bCs/>
        </w:rPr>
        <w:t>termination of trust</w:t>
      </w:r>
      <w:r w:rsidRPr="00AA1B8B">
        <w:t xml:space="preserve">) effects or facilitates the termination of the Trust; </w:t>
      </w:r>
    </w:p>
    <w:p w14:paraId="5DD9BE50" w14:textId="77777777" w:rsidR="00132E64" w:rsidRPr="00AA1B8B" w:rsidRDefault="00132E64" w:rsidP="0058045D">
      <w:pPr>
        <w:pStyle w:val="Heading3"/>
      </w:pPr>
      <w:r w:rsidRPr="00AA1B8B">
        <w:t>(</w:t>
      </w:r>
      <w:r w:rsidRPr="00AA1B8B">
        <w:rPr>
          <w:b/>
          <w:bCs/>
        </w:rPr>
        <w:t>variation of Trust Deed</w:t>
      </w:r>
      <w:r w:rsidRPr="00AA1B8B">
        <w:t>) effects or facilitates the variation of the Trust Deed;</w:t>
      </w:r>
      <w:r>
        <w:t xml:space="preserve"> or</w:t>
      </w:r>
    </w:p>
    <w:p w14:paraId="0566FC86" w14:textId="77777777" w:rsidR="00132E64" w:rsidRPr="00AA1B8B" w:rsidRDefault="00132E64" w:rsidP="0058045D">
      <w:pPr>
        <w:pStyle w:val="Heading3"/>
      </w:pPr>
      <w:r w:rsidRPr="00AA1B8B">
        <w:t>(</w:t>
      </w:r>
      <w:r w:rsidRPr="00AA1B8B">
        <w:rPr>
          <w:b/>
          <w:bCs/>
        </w:rPr>
        <w:t xml:space="preserve">resettlement of </w:t>
      </w:r>
      <w:r>
        <w:rPr>
          <w:b/>
          <w:bCs/>
        </w:rPr>
        <w:t>T</w:t>
      </w:r>
      <w:r w:rsidRPr="00AA1B8B">
        <w:rPr>
          <w:b/>
          <w:bCs/>
        </w:rPr>
        <w:t xml:space="preserve">rust </w:t>
      </w:r>
      <w:r>
        <w:rPr>
          <w:b/>
          <w:bCs/>
        </w:rPr>
        <w:t>P</w:t>
      </w:r>
      <w:r w:rsidRPr="00AA1B8B">
        <w:rPr>
          <w:b/>
          <w:bCs/>
        </w:rPr>
        <w:t>roperty</w:t>
      </w:r>
      <w:r w:rsidRPr="00AA1B8B">
        <w:t xml:space="preserve">) effects or facilitates the resettlement of the </w:t>
      </w:r>
      <w:r>
        <w:t>T</w:t>
      </w:r>
      <w:r w:rsidRPr="00AA1B8B">
        <w:t xml:space="preserve">rust </w:t>
      </w:r>
      <w:r>
        <w:t>P</w:t>
      </w:r>
      <w:r w:rsidRPr="00AA1B8B">
        <w:t>roperty</w:t>
      </w:r>
      <w:r>
        <w:t>.</w:t>
      </w:r>
      <w:r w:rsidRPr="00AA1B8B">
        <w:t xml:space="preserve"> </w:t>
      </w:r>
    </w:p>
    <w:p w14:paraId="5AF26503" w14:textId="77777777" w:rsidR="000D44B7" w:rsidRDefault="2BC382E4" w:rsidP="0058045D">
      <w:pPr>
        <w:pStyle w:val="Heading2"/>
      </w:pPr>
      <w:bookmarkStart w:id="4965" w:name="_Ref100223865"/>
      <w:bookmarkStart w:id="4966" w:name="_Toc207309702"/>
      <w:r>
        <w:t>Trustee limitation of liability</w:t>
      </w:r>
      <w:bookmarkEnd w:id="4965"/>
      <w:bookmarkEnd w:id="4966"/>
    </w:p>
    <w:p w14:paraId="23F539AE" w14:textId="1345BEA8" w:rsidR="00132E64" w:rsidRPr="00911990" w:rsidRDefault="00132E64" w:rsidP="0058045D">
      <w:pPr>
        <w:pStyle w:val="Heading3"/>
      </w:pPr>
      <w:r>
        <w:t xml:space="preserve">This clause </w:t>
      </w:r>
      <w:r>
        <w:fldChar w:fldCharType="begin"/>
      </w:r>
      <w:r>
        <w:instrText xml:space="preserve"> REF _Ref100223865 \w \h </w:instrText>
      </w:r>
      <w:r>
        <w:fldChar w:fldCharType="separate"/>
      </w:r>
      <w:r w:rsidR="002E5C6A">
        <w:t>26.4</w:t>
      </w:r>
      <w:r>
        <w:fldChar w:fldCharType="end"/>
      </w:r>
      <w:r>
        <w:t xml:space="preserve"> applies to </w:t>
      </w:r>
      <w:r w:rsidR="00411B14">
        <w:t>Project Operator</w:t>
      </w:r>
      <w:r>
        <w:t xml:space="preserve"> as trustee of the Trust to the extent that </w:t>
      </w:r>
      <w:r w:rsidR="00411B14">
        <w:t>Project Operator</w:t>
      </w:r>
      <w:r>
        <w:t xml:space="preserve"> is acting in that capacity. </w:t>
      </w:r>
    </w:p>
    <w:p w14:paraId="11B29E02" w14:textId="148CCB46" w:rsidR="00132E64" w:rsidRDefault="00132E64" w:rsidP="0058045D">
      <w:pPr>
        <w:pStyle w:val="Heading3"/>
      </w:pPr>
      <w:bookmarkStart w:id="4967" w:name="_Ref100223760"/>
      <w:r>
        <w:t xml:space="preserve">Subject to </w:t>
      </w:r>
      <w:r w:rsidR="002C15C6">
        <w:t xml:space="preserve">paragraphs </w:t>
      </w:r>
      <w:r w:rsidR="002C15C6">
        <w:fldChar w:fldCharType="begin"/>
      </w:r>
      <w:r w:rsidR="002C15C6">
        <w:instrText xml:space="preserve"> REF _Ref100224598 \n \h </w:instrText>
      </w:r>
      <w:r w:rsidR="002C15C6">
        <w:fldChar w:fldCharType="separate"/>
      </w:r>
      <w:r w:rsidR="002E5C6A">
        <w:t>(c)</w:t>
      </w:r>
      <w:r w:rsidR="002C15C6">
        <w:fldChar w:fldCharType="end"/>
      </w:r>
      <w:r w:rsidR="002C15C6">
        <w:t xml:space="preserve">, </w:t>
      </w:r>
      <w:r w:rsidR="002C15C6">
        <w:fldChar w:fldCharType="begin"/>
      </w:r>
      <w:r w:rsidR="002C15C6">
        <w:instrText xml:space="preserve"> REF _Ref100224603 \n \h </w:instrText>
      </w:r>
      <w:r w:rsidR="002C15C6">
        <w:fldChar w:fldCharType="separate"/>
      </w:r>
      <w:r w:rsidR="002E5C6A">
        <w:t>(d)</w:t>
      </w:r>
      <w:r w:rsidR="002C15C6">
        <w:fldChar w:fldCharType="end"/>
      </w:r>
      <w:r w:rsidR="002C15C6">
        <w:t xml:space="preserve"> and </w:t>
      </w:r>
      <w:r w:rsidR="002C15C6">
        <w:fldChar w:fldCharType="begin"/>
      </w:r>
      <w:r w:rsidR="002C15C6">
        <w:instrText xml:space="preserve"> REF _Ref100224610 \n \h </w:instrText>
      </w:r>
      <w:r w:rsidR="002C15C6">
        <w:fldChar w:fldCharType="separate"/>
      </w:r>
      <w:r w:rsidR="002E5C6A">
        <w:t>(e)</w:t>
      </w:r>
      <w:r w:rsidR="002C15C6">
        <w:fldChar w:fldCharType="end"/>
      </w:r>
      <w:r>
        <w:t xml:space="preserve">, </w:t>
      </w:r>
      <w:r w:rsidR="00411B14">
        <w:t>Project Operator</w:t>
      </w:r>
      <w:r>
        <w:t xml:space="preserve">’s liability to any person in connection with this agreement (or any transaction in connection </w:t>
      </w:r>
      <w:r w:rsidR="00AB2BDC">
        <w:t>with it) is limited to the extent</w:t>
      </w:r>
      <w:r>
        <w:t xml:space="preserve"> to which the liability is or can be satisfied out of the Trust Property by </w:t>
      </w:r>
      <w:r w:rsidR="00411B14">
        <w:t>Project Operator</w:t>
      </w:r>
      <w:r>
        <w:t xml:space="preserve"> exercising its right of indemnity out of the Trust Property.</w:t>
      </w:r>
      <w:bookmarkEnd w:id="4967"/>
    </w:p>
    <w:p w14:paraId="0C646562" w14:textId="68E50940" w:rsidR="00132E64" w:rsidRDefault="00132E64" w:rsidP="00365259">
      <w:pPr>
        <w:pStyle w:val="Heading3"/>
        <w:keepNext/>
      </w:pPr>
      <w:bookmarkStart w:id="4968" w:name="_Ref100224598"/>
      <w:r>
        <w:t xml:space="preserve">Subject to </w:t>
      </w:r>
      <w:bookmarkStart w:id="4969" w:name="_Hlk108183122"/>
      <w:r w:rsidR="006F0506">
        <w:t xml:space="preserve">subparagraphs </w:t>
      </w:r>
      <w:r w:rsidR="006F0506">
        <w:fldChar w:fldCharType="begin"/>
      </w:r>
      <w:r w:rsidR="006F0506">
        <w:instrText xml:space="preserve"> REF _Ref100224598 \n \h </w:instrText>
      </w:r>
      <w:r w:rsidR="006F0506">
        <w:fldChar w:fldCharType="separate"/>
      </w:r>
      <w:r w:rsidR="002E5C6A">
        <w:t>(c)</w:t>
      </w:r>
      <w:r w:rsidR="006F0506">
        <w:fldChar w:fldCharType="end"/>
      </w:r>
      <w:r w:rsidR="006F0506">
        <w:fldChar w:fldCharType="begin"/>
      </w:r>
      <w:r w:rsidR="006F0506">
        <w:instrText xml:space="preserve"> REF _Ref108101903 \n \h </w:instrText>
      </w:r>
      <w:r w:rsidR="006F0506">
        <w:fldChar w:fldCharType="separate"/>
      </w:r>
      <w:r w:rsidR="002E5C6A">
        <w:t>(i)</w:t>
      </w:r>
      <w:r w:rsidR="006F0506">
        <w:fldChar w:fldCharType="end"/>
      </w:r>
      <w:r w:rsidR="006F0506">
        <w:t xml:space="preserve"> and </w:t>
      </w:r>
      <w:r w:rsidR="006F0506">
        <w:fldChar w:fldCharType="begin"/>
      </w:r>
      <w:r w:rsidR="006F0506">
        <w:instrText xml:space="preserve"> REF _Ref100224905 \n \h </w:instrText>
      </w:r>
      <w:r w:rsidR="006F0506">
        <w:fldChar w:fldCharType="separate"/>
      </w:r>
      <w:r w:rsidR="002E5C6A">
        <w:t>(ii)</w:t>
      </w:r>
      <w:r w:rsidR="006F0506">
        <w:fldChar w:fldCharType="end"/>
      </w:r>
      <w:bookmarkEnd w:id="4969"/>
      <w:r>
        <w:t xml:space="preserve">, </w:t>
      </w:r>
      <w:r w:rsidR="00BE77D6" w:rsidRPr="00F75565">
        <w:t>the Commonwealth</w:t>
      </w:r>
      <w:r>
        <w:t xml:space="preserve"> may not seek to recover any amounts owing to it under this agreement by bringing proceedings against </w:t>
      </w:r>
      <w:r w:rsidR="00411B14">
        <w:t>Project Operator</w:t>
      </w:r>
      <w:r>
        <w:t xml:space="preserve"> in its personal capacity.</w:t>
      </w:r>
      <w:r w:rsidR="008951EF">
        <w:t xml:space="preserve"> </w:t>
      </w:r>
      <w:r>
        <w:t xml:space="preserve">However, </w:t>
      </w:r>
      <w:r w:rsidR="00BE77D6" w:rsidRPr="00F75565">
        <w:t>the Commonwealth</w:t>
      </w:r>
      <w:r>
        <w:t xml:space="preserve"> may:</w:t>
      </w:r>
      <w:bookmarkEnd w:id="4968"/>
    </w:p>
    <w:p w14:paraId="02920BFD" w14:textId="77777777" w:rsidR="00132E64" w:rsidRDefault="00132E64" w:rsidP="0058045D">
      <w:pPr>
        <w:pStyle w:val="Heading4"/>
      </w:pPr>
      <w:bookmarkStart w:id="4970" w:name="_Ref100224904"/>
      <w:bookmarkStart w:id="4971" w:name="_Ref108101903"/>
      <w:r>
        <w:t>do anything necessary to enforce its rights in connection with the Trust Property</w:t>
      </w:r>
      <w:bookmarkEnd w:id="4970"/>
      <w:r>
        <w:t>; and</w:t>
      </w:r>
      <w:bookmarkEnd w:id="4971"/>
    </w:p>
    <w:p w14:paraId="37E2A2E8" w14:textId="77777777" w:rsidR="00132E64" w:rsidRDefault="00132E64" w:rsidP="0058045D">
      <w:pPr>
        <w:pStyle w:val="Heading4"/>
      </w:pPr>
      <w:bookmarkStart w:id="4972" w:name="_Ref100224905"/>
      <w:r>
        <w:t>take proceedings to obtain either or both:</w:t>
      </w:r>
      <w:bookmarkEnd w:id="4972"/>
    </w:p>
    <w:p w14:paraId="0C906864" w14:textId="77777777" w:rsidR="00132E64" w:rsidRDefault="00132E64" w:rsidP="0058045D">
      <w:pPr>
        <w:pStyle w:val="Heading5"/>
      </w:pPr>
      <w:r>
        <w:t xml:space="preserve">an injunction or other order to restrain any breach of this agreement by </w:t>
      </w:r>
      <w:r w:rsidR="00411B14">
        <w:t>Project Operator</w:t>
      </w:r>
      <w:r>
        <w:t>; and</w:t>
      </w:r>
    </w:p>
    <w:p w14:paraId="1B018119" w14:textId="77777777" w:rsidR="00132E64" w:rsidRDefault="00132E64" w:rsidP="0058045D">
      <w:pPr>
        <w:pStyle w:val="Heading5"/>
      </w:pPr>
      <w:r>
        <w:t xml:space="preserve">declaratory relief or other similar judgment or order as to the obligations of </w:t>
      </w:r>
      <w:r w:rsidR="00411B14">
        <w:t>Project Operator</w:t>
      </w:r>
      <w:r>
        <w:t xml:space="preserve"> under this agreement.</w:t>
      </w:r>
    </w:p>
    <w:p w14:paraId="23C25B79" w14:textId="611FFD46" w:rsidR="00132E64" w:rsidRDefault="00132E64" w:rsidP="0058045D">
      <w:pPr>
        <w:pStyle w:val="Heading3"/>
      </w:pPr>
      <w:bookmarkStart w:id="4973" w:name="_Ref100224603"/>
      <w:r>
        <w:t xml:space="preserve">The limitations and restrictions under </w:t>
      </w:r>
      <w:bookmarkStart w:id="4974" w:name="_Hlk108183102"/>
      <w:r w:rsidR="003B03C4">
        <w:t xml:space="preserve">paragraphs </w:t>
      </w:r>
      <w:r w:rsidR="003B03C4">
        <w:fldChar w:fldCharType="begin"/>
      </w:r>
      <w:r w:rsidR="003B03C4">
        <w:instrText xml:space="preserve"> REF _Ref100223760 \n \h </w:instrText>
      </w:r>
      <w:r w:rsidR="003B03C4">
        <w:fldChar w:fldCharType="separate"/>
      </w:r>
      <w:r w:rsidR="002E5C6A">
        <w:t>(b)</w:t>
      </w:r>
      <w:r w:rsidR="003B03C4">
        <w:fldChar w:fldCharType="end"/>
      </w:r>
      <w:r w:rsidR="003B03C4">
        <w:t xml:space="preserve"> and </w:t>
      </w:r>
      <w:r w:rsidR="003B03C4">
        <w:fldChar w:fldCharType="begin"/>
      </w:r>
      <w:r w:rsidR="003B03C4">
        <w:instrText xml:space="preserve"> REF _Ref100224598 \n \h </w:instrText>
      </w:r>
      <w:r w:rsidR="003B03C4">
        <w:fldChar w:fldCharType="separate"/>
      </w:r>
      <w:r w:rsidR="002E5C6A">
        <w:t>(c)</w:t>
      </w:r>
      <w:r w:rsidR="003B03C4">
        <w:fldChar w:fldCharType="end"/>
      </w:r>
      <w:bookmarkEnd w:id="4974"/>
      <w:r>
        <w:t xml:space="preserve"> do not apply to a liability to the extent that it is not satisfied because there is a reduction in the extent of </w:t>
      </w:r>
      <w:r w:rsidR="00411B14">
        <w:t>Project Operator</w:t>
      </w:r>
      <w:r>
        <w:t xml:space="preserve">’s indemnification out of the Trust Property either as a result of </w:t>
      </w:r>
      <w:r w:rsidR="00411B14">
        <w:t>Project Operator</w:t>
      </w:r>
      <w:r>
        <w:t>’s fraud, negligence or wilful default, or by operation of Law.</w:t>
      </w:r>
      <w:bookmarkEnd w:id="4973"/>
    </w:p>
    <w:p w14:paraId="723BFE0E" w14:textId="0FB26297" w:rsidR="00132E64" w:rsidRDefault="00132E64" w:rsidP="0058045D">
      <w:pPr>
        <w:pStyle w:val="Heading3"/>
      </w:pPr>
      <w:bookmarkStart w:id="4975" w:name="_Ref100137142"/>
      <w:bookmarkStart w:id="4976" w:name="_Toc100220618"/>
      <w:bookmarkStart w:id="4977" w:name="_Ref100224610"/>
      <w:bookmarkEnd w:id="4975"/>
      <w:bookmarkEnd w:id="4976"/>
      <w:r>
        <w:t xml:space="preserve">The limitation of </w:t>
      </w:r>
      <w:r w:rsidR="00411B14">
        <w:t>Project Operator</w:t>
      </w:r>
      <w:r>
        <w:t xml:space="preserve">’s liability under </w:t>
      </w:r>
      <w:bookmarkStart w:id="4978" w:name="_Hlk108183107"/>
      <w:r w:rsidR="003B03C4">
        <w:t xml:space="preserve">paragraph </w:t>
      </w:r>
      <w:r w:rsidR="003B03C4">
        <w:fldChar w:fldCharType="begin"/>
      </w:r>
      <w:r w:rsidR="003B03C4">
        <w:instrText xml:space="preserve"> REF _Ref100223760 \n \h </w:instrText>
      </w:r>
      <w:r w:rsidR="003B03C4">
        <w:fldChar w:fldCharType="separate"/>
      </w:r>
      <w:r w:rsidR="002E5C6A">
        <w:t>(b)</w:t>
      </w:r>
      <w:r w:rsidR="003B03C4">
        <w:fldChar w:fldCharType="end"/>
      </w:r>
      <w:bookmarkEnd w:id="4978"/>
      <w:r>
        <w:t xml:space="preserve"> is to be disregarded for the purposes of determining whether </w:t>
      </w:r>
      <w:r w:rsidR="00411B14">
        <w:t>Project Operator</w:t>
      </w:r>
      <w:r>
        <w:t xml:space="preserve"> has failed to comply with or perform any obligation under this agreement because of a failure by </w:t>
      </w:r>
      <w:r w:rsidR="00411B14">
        <w:t>Project Operator</w:t>
      </w:r>
      <w:r>
        <w:t xml:space="preserve"> to pay an amount payable by it under this agreement.</w:t>
      </w:r>
      <w:bookmarkEnd w:id="4977"/>
      <w:r w:rsidR="003B03C4">
        <w:t>]</w:t>
      </w:r>
    </w:p>
    <w:p w14:paraId="028E5BC5" w14:textId="77777777" w:rsidR="008C02E2" w:rsidRDefault="2BC382E4" w:rsidP="0058045D">
      <w:pPr>
        <w:pStyle w:val="Heading1"/>
      </w:pPr>
      <w:bookmarkStart w:id="4979" w:name="_Toc170215593"/>
      <w:bookmarkStart w:id="4980" w:name="_Toc170217555"/>
      <w:bookmarkStart w:id="4981" w:name="_Ref467517745"/>
      <w:bookmarkStart w:id="4982" w:name="_Ref467517751"/>
      <w:bookmarkStart w:id="4983" w:name="_Ref467517816"/>
      <w:bookmarkStart w:id="4984" w:name="_Ref467518367"/>
      <w:bookmarkStart w:id="4985" w:name="_Toc492504881"/>
      <w:bookmarkStart w:id="4986" w:name="_Toc515359115"/>
      <w:bookmarkStart w:id="4987" w:name="_Toc515470287"/>
      <w:bookmarkStart w:id="4988" w:name="_Toc207309703"/>
      <w:bookmarkEnd w:id="4979"/>
      <w:bookmarkEnd w:id="4980"/>
      <w:r>
        <w:t>Dispute Resolution</w:t>
      </w:r>
      <w:bookmarkEnd w:id="4981"/>
      <w:bookmarkEnd w:id="4982"/>
      <w:bookmarkEnd w:id="4983"/>
      <w:bookmarkEnd w:id="4984"/>
      <w:bookmarkEnd w:id="4985"/>
      <w:bookmarkEnd w:id="4986"/>
      <w:bookmarkEnd w:id="4987"/>
      <w:bookmarkEnd w:id="4988"/>
    </w:p>
    <w:p w14:paraId="2A6351A2" w14:textId="77777777" w:rsidR="00B1487C" w:rsidRDefault="2C388DF0" w:rsidP="0058045D">
      <w:pPr>
        <w:pStyle w:val="Heading2"/>
      </w:pPr>
      <w:bookmarkStart w:id="4989" w:name="_Toc492504882"/>
      <w:bookmarkStart w:id="4990" w:name="_Toc515359116"/>
      <w:bookmarkStart w:id="4991" w:name="_Toc515470288"/>
      <w:bookmarkStart w:id="4992" w:name="_Ref101535792"/>
      <w:bookmarkStart w:id="4993" w:name="_Toc207309704"/>
      <w:r>
        <w:t>Dispute mechanism</w:t>
      </w:r>
      <w:bookmarkEnd w:id="4989"/>
      <w:bookmarkEnd w:id="4990"/>
      <w:bookmarkEnd w:id="4991"/>
      <w:bookmarkEnd w:id="4992"/>
      <w:bookmarkEnd w:id="4993"/>
    </w:p>
    <w:p w14:paraId="3F3F8F1E" w14:textId="5A87D0C3" w:rsidR="00B1487C" w:rsidRDefault="008D72DB" w:rsidP="00706F65">
      <w:pPr>
        <w:pStyle w:val="Indent2"/>
      </w:pPr>
      <w:r>
        <w:t xml:space="preserve">Any dispute or difference of any kind arising between the parties in connection with or arising out of this agreement, whether during </w:t>
      </w:r>
      <w:r w:rsidR="00713FB9">
        <w:t xml:space="preserve">or after </w:t>
      </w:r>
      <w:r>
        <w:t xml:space="preserve">the </w:t>
      </w:r>
      <w:r w:rsidR="008F229D">
        <w:t>T</w:t>
      </w:r>
      <w:r>
        <w:t>erm</w:t>
      </w:r>
      <w:r w:rsidR="00365259">
        <w:t>,</w:t>
      </w:r>
      <w:r>
        <w:t xml:space="preserve"> (“</w:t>
      </w:r>
      <w:r>
        <w:rPr>
          <w:b/>
          <w:bCs/>
        </w:rPr>
        <w:t>D</w:t>
      </w:r>
      <w:r w:rsidRPr="003D5257">
        <w:rPr>
          <w:b/>
          <w:bCs/>
        </w:rPr>
        <w:t>ispute</w:t>
      </w:r>
      <w:r>
        <w:t xml:space="preserve">”) must be resolved pursuant to this clause </w:t>
      </w:r>
      <w:r w:rsidR="00507BC1">
        <w:fldChar w:fldCharType="begin"/>
      </w:r>
      <w:r w:rsidR="00507BC1">
        <w:instrText xml:space="preserve"> REF _Ref467517745 \r \h </w:instrText>
      </w:r>
      <w:r w:rsidR="00507BC1">
        <w:fldChar w:fldCharType="separate"/>
      </w:r>
      <w:r w:rsidR="002E5C6A">
        <w:t>27</w:t>
      </w:r>
      <w:r w:rsidR="00507BC1">
        <w:fldChar w:fldCharType="end"/>
      </w:r>
      <w:r w:rsidR="00B1487C">
        <w:t>.</w:t>
      </w:r>
    </w:p>
    <w:p w14:paraId="04624586" w14:textId="77777777" w:rsidR="00706F65" w:rsidRDefault="2C388DF0" w:rsidP="0058045D">
      <w:pPr>
        <w:pStyle w:val="Heading2"/>
      </w:pPr>
      <w:bookmarkStart w:id="4994" w:name="_Toc492504883"/>
      <w:bookmarkStart w:id="4995" w:name="_Toc515359117"/>
      <w:bookmarkStart w:id="4996" w:name="_Toc515470289"/>
      <w:bookmarkStart w:id="4997" w:name="_Toc207309705"/>
      <w:r>
        <w:t>No proceedings</w:t>
      </w:r>
      <w:bookmarkEnd w:id="4994"/>
      <w:bookmarkEnd w:id="4995"/>
      <w:bookmarkEnd w:id="4996"/>
      <w:bookmarkEnd w:id="4997"/>
    </w:p>
    <w:p w14:paraId="4911CE11" w14:textId="6E264A97" w:rsidR="00B1487C" w:rsidRDefault="00B1487C" w:rsidP="00706F65">
      <w:pPr>
        <w:pStyle w:val="Indent2"/>
      </w:pPr>
      <w:r>
        <w:t xml:space="preserve">Subject to </w:t>
      </w:r>
      <w:r w:rsidR="00EC7FD8">
        <w:t>clause </w:t>
      </w:r>
      <w:r w:rsidR="001F634B">
        <w:rPr>
          <w:highlight w:val="yellow"/>
        </w:rPr>
        <w:fldChar w:fldCharType="begin"/>
      </w:r>
      <w:r w:rsidR="001F634B">
        <w:instrText xml:space="preserve"> REF _Ref103668697 \r \h </w:instrText>
      </w:r>
      <w:r w:rsidR="001F634B">
        <w:rPr>
          <w:highlight w:val="yellow"/>
        </w:rPr>
      </w:r>
      <w:r w:rsidR="001F634B">
        <w:rPr>
          <w:highlight w:val="yellow"/>
        </w:rPr>
        <w:fldChar w:fldCharType="separate"/>
      </w:r>
      <w:r w:rsidR="002E5C6A">
        <w:t>27.9</w:t>
      </w:r>
      <w:r w:rsidR="001F634B">
        <w:rPr>
          <w:highlight w:val="yellow"/>
        </w:rPr>
        <w:fldChar w:fldCharType="end"/>
      </w:r>
      <w:r w:rsidR="00EA11B7">
        <w:t xml:space="preserve"> (“</w:t>
      </w:r>
      <w:r w:rsidR="004C7D14">
        <w:fldChar w:fldCharType="begin"/>
      </w:r>
      <w:r w:rsidR="004C7D14">
        <w:instrText xml:space="preserve"> REF _Ref103668697 \h </w:instrText>
      </w:r>
      <w:r w:rsidR="004C7D14">
        <w:fldChar w:fldCharType="separate"/>
      </w:r>
      <w:r w:rsidR="002E5C6A">
        <w:t>Interim relief</w:t>
      </w:r>
      <w:r w:rsidR="004C7D14">
        <w:fldChar w:fldCharType="end"/>
      </w:r>
      <w:r w:rsidR="00F21B2C">
        <w:t>”</w:t>
      </w:r>
      <w:r w:rsidR="00EA11B7">
        <w:t>)</w:t>
      </w:r>
      <w:r>
        <w:t xml:space="preserve">, </w:t>
      </w:r>
      <w:bookmarkStart w:id="4998" w:name="_Hlk106265761"/>
      <w:r>
        <w:t xml:space="preserve">a </w:t>
      </w:r>
      <w:r w:rsidR="00214F92">
        <w:t xml:space="preserve">party must not commence or maintain a court action or proceedings in relation to a Dispute until the party has complied with </w:t>
      </w:r>
      <w:bookmarkEnd w:id="4998"/>
      <w:r w:rsidR="00214F92">
        <w:t xml:space="preserve">this clause </w:t>
      </w:r>
      <w:r w:rsidR="00507BC1">
        <w:fldChar w:fldCharType="begin"/>
      </w:r>
      <w:r w:rsidR="00507BC1">
        <w:instrText xml:space="preserve"> REF _Ref467517745 \r \h </w:instrText>
      </w:r>
      <w:r w:rsidR="00507BC1">
        <w:fldChar w:fldCharType="separate"/>
      </w:r>
      <w:r w:rsidR="002E5C6A">
        <w:t>27</w:t>
      </w:r>
      <w:r w:rsidR="00507BC1">
        <w:fldChar w:fldCharType="end"/>
      </w:r>
      <w:r w:rsidR="00CC422C">
        <w:t xml:space="preserve"> and, if applicable, clause </w:t>
      </w:r>
      <w:r w:rsidR="00CC422C">
        <w:fldChar w:fldCharType="begin"/>
      </w:r>
      <w:r w:rsidR="00CC422C">
        <w:instrText xml:space="preserve"> REF _Ref103668707 \r \h </w:instrText>
      </w:r>
      <w:r w:rsidR="00CC422C">
        <w:fldChar w:fldCharType="separate"/>
      </w:r>
      <w:r w:rsidR="002E5C6A">
        <w:t>28</w:t>
      </w:r>
      <w:r w:rsidR="00CC422C">
        <w:fldChar w:fldCharType="end"/>
      </w:r>
      <w:r w:rsidR="00CC422C">
        <w:t xml:space="preserve"> (“</w:t>
      </w:r>
      <w:r w:rsidR="00CC422C">
        <w:fldChar w:fldCharType="begin"/>
      </w:r>
      <w:r w:rsidR="00CC422C">
        <w:instrText xml:space="preserve"> REF _Ref103668707 \h </w:instrText>
      </w:r>
      <w:r w:rsidR="00CC422C">
        <w:fldChar w:fldCharType="separate"/>
      </w:r>
      <w:r w:rsidR="002E5C6A">
        <w:t>Pooled Disputes</w:t>
      </w:r>
      <w:r w:rsidR="00CC422C">
        <w:fldChar w:fldCharType="end"/>
      </w:r>
      <w:r w:rsidR="00CC422C">
        <w:t>”)</w:t>
      </w:r>
      <w:r>
        <w:t xml:space="preserve">. </w:t>
      </w:r>
    </w:p>
    <w:p w14:paraId="4B1B3858" w14:textId="77777777" w:rsidR="00B1487C" w:rsidRDefault="2C388DF0" w:rsidP="0058045D">
      <w:pPr>
        <w:pStyle w:val="Heading2"/>
      </w:pPr>
      <w:bookmarkStart w:id="4999" w:name="_Toc492504885"/>
      <w:bookmarkStart w:id="5000" w:name="_Toc515359119"/>
      <w:bookmarkStart w:id="5001" w:name="_Toc515470291"/>
      <w:bookmarkStart w:id="5002" w:name="_Ref103669135"/>
      <w:bookmarkStart w:id="5003" w:name="_Ref103669160"/>
      <w:bookmarkStart w:id="5004" w:name="_Toc207309706"/>
      <w:r>
        <w:t>Disputes</w:t>
      </w:r>
      <w:bookmarkEnd w:id="4999"/>
      <w:bookmarkEnd w:id="5000"/>
      <w:bookmarkEnd w:id="5001"/>
      <w:bookmarkEnd w:id="5002"/>
      <w:bookmarkEnd w:id="5003"/>
      <w:bookmarkEnd w:id="5004"/>
    </w:p>
    <w:p w14:paraId="6E4D5D76" w14:textId="77777777" w:rsidR="001F634B" w:rsidRDefault="001F634B" w:rsidP="001F634B">
      <w:pPr>
        <w:pStyle w:val="Indent2"/>
      </w:pPr>
      <w:r>
        <w:t xml:space="preserve">If a party wishes to raise a Dispute, then that party must deliver to the other party a notice of </w:t>
      </w:r>
      <w:r w:rsidR="003D177C">
        <w:t>D</w:t>
      </w:r>
      <w:r>
        <w:t>ispute (</w:t>
      </w:r>
      <w:r w:rsidR="008D72DB">
        <w:t>“</w:t>
      </w:r>
      <w:r w:rsidRPr="00272262">
        <w:rPr>
          <w:b/>
          <w:bCs/>
        </w:rPr>
        <w:t>Dispute Notice</w:t>
      </w:r>
      <w:r w:rsidR="008D72DB">
        <w:t>”</w:t>
      </w:r>
      <w:r>
        <w:t>) setting out the:</w:t>
      </w:r>
    </w:p>
    <w:p w14:paraId="29075B60" w14:textId="77777777" w:rsidR="001F634B" w:rsidRDefault="2C388DF0" w:rsidP="0058045D">
      <w:pPr>
        <w:pStyle w:val="Heading3"/>
      </w:pPr>
      <w:bookmarkStart w:id="5005" w:name="_Toc515359120"/>
      <w:r>
        <w:t>nature of the Dispute;</w:t>
      </w:r>
      <w:bookmarkEnd w:id="5005"/>
      <w:r>
        <w:t xml:space="preserve"> </w:t>
      </w:r>
    </w:p>
    <w:p w14:paraId="1A492DBF" w14:textId="77777777" w:rsidR="001F634B" w:rsidRDefault="2C388DF0" w:rsidP="0058045D">
      <w:pPr>
        <w:pStyle w:val="Heading3"/>
      </w:pPr>
      <w:r>
        <w:t>facts, matters and circumstances relied upon by the party serving the Dispute Notice; and</w:t>
      </w:r>
    </w:p>
    <w:p w14:paraId="046CB0E3" w14:textId="77777777" w:rsidR="001F634B" w:rsidRDefault="2C388DF0" w:rsidP="0058045D">
      <w:pPr>
        <w:pStyle w:val="Heading3"/>
      </w:pPr>
      <w:r>
        <w:t>anticipated quantum of the Dispute (in money and, if applicable, in time).</w:t>
      </w:r>
    </w:p>
    <w:p w14:paraId="58CAA64A" w14:textId="77777777" w:rsidR="00857F91" w:rsidRDefault="2C388DF0" w:rsidP="0058045D">
      <w:pPr>
        <w:pStyle w:val="Heading2"/>
      </w:pPr>
      <w:bookmarkStart w:id="5006" w:name="_Toc207309707"/>
      <w:bookmarkStart w:id="5007" w:name="_Toc492504887"/>
      <w:bookmarkStart w:id="5008" w:name="_Toc515359124"/>
      <w:bookmarkStart w:id="5009" w:name="_Toc515470293"/>
      <w:bookmarkStart w:id="5010" w:name="_Ref101432542"/>
      <w:r>
        <w:t>Procedure to resolve Disputes</w:t>
      </w:r>
      <w:bookmarkEnd w:id="5006"/>
    </w:p>
    <w:p w14:paraId="715A5D11" w14:textId="77777777" w:rsidR="00857F91" w:rsidRDefault="2C388DF0" w:rsidP="0058045D">
      <w:pPr>
        <w:pStyle w:val="Heading3"/>
      </w:pPr>
      <w:r>
        <w:t>If there is a Dispute, then the parties must use reasonable endeavours to resolve that Dispute as soon as practicable.</w:t>
      </w:r>
    </w:p>
    <w:p w14:paraId="32B13C81" w14:textId="1A6D7A40" w:rsidR="00857F91" w:rsidRDefault="2C388DF0" w:rsidP="0058045D">
      <w:pPr>
        <w:pStyle w:val="Heading3"/>
      </w:pPr>
      <w:r>
        <w:t xml:space="preserve">Subject to clause </w:t>
      </w:r>
      <w:r w:rsidR="00857F91">
        <w:fldChar w:fldCharType="begin"/>
      </w:r>
      <w:r w:rsidR="00857F91">
        <w:instrText xml:space="preserve"> REF _Ref103668707 \r \h </w:instrText>
      </w:r>
      <w:r w:rsidR="00857F91">
        <w:fldChar w:fldCharType="separate"/>
      </w:r>
      <w:r w:rsidR="002E5C6A">
        <w:t>28</w:t>
      </w:r>
      <w:r w:rsidR="00857F91">
        <w:fldChar w:fldCharType="end"/>
      </w:r>
      <w:r>
        <w:t xml:space="preserve"> (“</w:t>
      </w:r>
      <w:r w:rsidR="00857F91">
        <w:fldChar w:fldCharType="begin"/>
      </w:r>
      <w:r w:rsidR="00857F91">
        <w:instrText xml:space="preserve"> REF _Ref103668707 \h </w:instrText>
      </w:r>
      <w:r w:rsidR="00857F91">
        <w:fldChar w:fldCharType="separate"/>
      </w:r>
      <w:r w:rsidR="002E5C6A">
        <w:t>Pooled Disputes</w:t>
      </w:r>
      <w:r w:rsidR="00857F91">
        <w:fldChar w:fldCharType="end"/>
      </w:r>
      <w:r>
        <w:t>”), the procedure that is to be followed to resolve a Dispute is as follows:</w:t>
      </w:r>
    </w:p>
    <w:p w14:paraId="546AE6EC" w14:textId="2F6C6CBE" w:rsidR="00857F91" w:rsidRDefault="2C388DF0" w:rsidP="0058045D">
      <w:pPr>
        <w:pStyle w:val="Heading4"/>
      </w:pPr>
      <w:r>
        <w:t xml:space="preserve">first, negotiation of the Dispute under clause </w:t>
      </w:r>
      <w:r w:rsidR="00857F91">
        <w:fldChar w:fldCharType="begin"/>
      </w:r>
      <w:r w:rsidR="00857F91">
        <w:instrText xml:space="preserve"> REF _Ref103668747 \r \h </w:instrText>
      </w:r>
      <w:r w:rsidR="00857F91">
        <w:fldChar w:fldCharType="separate"/>
      </w:r>
      <w:r w:rsidR="002E5C6A">
        <w:t>27.5</w:t>
      </w:r>
      <w:r w:rsidR="00857F91">
        <w:fldChar w:fldCharType="end"/>
      </w:r>
      <w:r>
        <w:t xml:space="preserve"> (“</w:t>
      </w:r>
      <w:r w:rsidR="00857F91">
        <w:fldChar w:fldCharType="begin"/>
      </w:r>
      <w:r w:rsidR="00857F91">
        <w:instrText xml:space="preserve"> REF _Ref103668747 \h </w:instrText>
      </w:r>
      <w:r w:rsidR="00857F91">
        <w:fldChar w:fldCharType="separate"/>
      </w:r>
      <w:r w:rsidR="002E5C6A">
        <w:t>Negotiation</w:t>
      </w:r>
      <w:r w:rsidR="00857F91">
        <w:fldChar w:fldCharType="end"/>
      </w:r>
      <w:r>
        <w:t>”);</w:t>
      </w:r>
    </w:p>
    <w:p w14:paraId="2429BF35" w14:textId="2FE45458" w:rsidR="00857F91" w:rsidRDefault="2C388DF0" w:rsidP="0058045D">
      <w:pPr>
        <w:pStyle w:val="Heading4"/>
      </w:pPr>
      <w:r>
        <w:t xml:space="preserve">second, if permitted under clause </w:t>
      </w:r>
      <w:r w:rsidR="00857F91">
        <w:fldChar w:fldCharType="begin"/>
      </w:r>
      <w:r w:rsidR="00857F91">
        <w:instrText xml:space="preserve"> REF _Ref107936893 \w \h </w:instrText>
      </w:r>
      <w:r w:rsidR="00857F91">
        <w:fldChar w:fldCharType="separate"/>
      </w:r>
      <w:r w:rsidR="002E5C6A">
        <w:t>27.5(b)</w:t>
      </w:r>
      <w:r w:rsidR="00857F91">
        <w:fldChar w:fldCharType="end"/>
      </w:r>
      <w:r>
        <w:t xml:space="preserve"> (“</w:t>
      </w:r>
      <w:r w:rsidR="00857F91">
        <w:fldChar w:fldCharType="begin"/>
      </w:r>
      <w:r w:rsidR="00857F91">
        <w:instrText xml:space="preserve"> REF _Ref103668747 \h </w:instrText>
      </w:r>
      <w:r w:rsidR="00857F91">
        <w:fldChar w:fldCharType="separate"/>
      </w:r>
      <w:r w:rsidR="002E5C6A">
        <w:t>Negotiation</w:t>
      </w:r>
      <w:r w:rsidR="00857F91">
        <w:fldChar w:fldCharType="end"/>
      </w:r>
      <w:r>
        <w:t xml:space="preserve">”), referral of the Dispute for determination by an Independent Expert under clause </w:t>
      </w:r>
      <w:r w:rsidR="00857F91">
        <w:fldChar w:fldCharType="begin"/>
      </w:r>
      <w:r w:rsidR="00857F91">
        <w:instrText xml:space="preserve"> REF _Ref515106310 \r \h </w:instrText>
      </w:r>
      <w:r w:rsidR="00857F91">
        <w:fldChar w:fldCharType="separate"/>
      </w:r>
      <w:r w:rsidR="002E5C6A">
        <w:t>27.6</w:t>
      </w:r>
      <w:r w:rsidR="00857F91">
        <w:fldChar w:fldCharType="end"/>
      </w:r>
      <w:r>
        <w:t xml:space="preserve"> (“</w:t>
      </w:r>
      <w:r w:rsidR="00857F91">
        <w:fldChar w:fldCharType="begin"/>
      </w:r>
      <w:r w:rsidR="00857F91">
        <w:instrText xml:space="preserve"> REF _Ref515106310 \h </w:instrText>
      </w:r>
      <w:r w:rsidR="00857F91">
        <w:fldChar w:fldCharType="separate"/>
      </w:r>
      <w:r w:rsidR="002E5C6A">
        <w:t>Independent Expert</w:t>
      </w:r>
      <w:r w:rsidR="00857F91">
        <w:fldChar w:fldCharType="end"/>
      </w:r>
      <w:r>
        <w:t>”); and</w:t>
      </w:r>
    </w:p>
    <w:p w14:paraId="70991510" w14:textId="77777777" w:rsidR="00857F91" w:rsidRDefault="2C388DF0" w:rsidP="0058045D">
      <w:pPr>
        <w:pStyle w:val="Heading4"/>
      </w:pPr>
      <w:r>
        <w:t>third, determination of the Dispute in a court of competent jurisdiction.</w:t>
      </w:r>
    </w:p>
    <w:p w14:paraId="3BCA0B96" w14:textId="77777777" w:rsidR="00B1487C" w:rsidRDefault="2C388DF0" w:rsidP="0058045D">
      <w:pPr>
        <w:pStyle w:val="Heading2"/>
      </w:pPr>
      <w:bookmarkStart w:id="5011" w:name="_Ref103668747"/>
      <w:bookmarkStart w:id="5012" w:name="_Toc207309708"/>
      <w:r>
        <w:t>Negotiation</w:t>
      </w:r>
      <w:bookmarkEnd w:id="5007"/>
      <w:bookmarkEnd w:id="5008"/>
      <w:bookmarkEnd w:id="5009"/>
      <w:bookmarkEnd w:id="5010"/>
      <w:bookmarkEnd w:id="5011"/>
      <w:bookmarkEnd w:id="5012"/>
    </w:p>
    <w:p w14:paraId="512B4E3C" w14:textId="77777777" w:rsidR="008D72DB" w:rsidRDefault="008D72DB" w:rsidP="0058045D">
      <w:pPr>
        <w:pStyle w:val="Heading3"/>
      </w:pPr>
      <w:bookmarkStart w:id="5013" w:name="_Ref103668795"/>
      <w:r>
        <w:t xml:space="preserve">Within </w:t>
      </w:r>
      <w:r w:rsidRPr="007E5840">
        <w:t>10</w:t>
      </w:r>
      <w:r>
        <w:t xml:space="preserve"> Business Days </w:t>
      </w:r>
      <w:r w:rsidR="00FE6B67">
        <w:t>after</w:t>
      </w:r>
      <w:r w:rsidR="00FE6B67" w:rsidRPr="007C4A7B" w:rsidDel="004F23C9">
        <w:t xml:space="preserve"> </w:t>
      </w:r>
      <w:r>
        <w:t>the service of a Dispute Notice, a senior representative of each party must meet, negotiate and seek to resolve the Dispute in good faith.</w:t>
      </w:r>
      <w:bookmarkEnd w:id="5013"/>
    </w:p>
    <w:p w14:paraId="05653E59" w14:textId="76818E3B" w:rsidR="007B724D" w:rsidRDefault="008D72DB" w:rsidP="0058045D">
      <w:pPr>
        <w:pStyle w:val="Heading3"/>
      </w:pPr>
      <w:bookmarkStart w:id="5014" w:name="_Ref107936893"/>
      <w:r>
        <w:t xml:space="preserve">If the Dispute is not resolved within 20 Business Days </w:t>
      </w:r>
      <w:r w:rsidR="00FE6B67">
        <w:t>after</w:t>
      </w:r>
      <w:r w:rsidR="00FE6B67" w:rsidRPr="007C4A7B" w:rsidDel="004F23C9">
        <w:t xml:space="preserve"> </w:t>
      </w:r>
      <w:r w:rsidR="004F23C9">
        <w:t xml:space="preserve">the </w:t>
      </w:r>
      <w:r>
        <w:t xml:space="preserve">negotiations between senior representatives </w:t>
      </w:r>
      <w:r w:rsidR="009514C5">
        <w:t>commenc</w:t>
      </w:r>
      <w:r w:rsidR="00365259">
        <w:t>e</w:t>
      </w:r>
      <w:r w:rsidR="009514C5">
        <w:t xml:space="preserve"> </w:t>
      </w:r>
      <w:r>
        <w:t xml:space="preserve">pursuant to </w:t>
      </w:r>
      <w:r w:rsidR="009514C5">
        <w:t xml:space="preserve">paragraph </w:t>
      </w:r>
      <w:r w:rsidR="009514C5">
        <w:fldChar w:fldCharType="begin"/>
      </w:r>
      <w:r w:rsidR="009514C5">
        <w:instrText xml:space="preserve"> REF _Ref103668795 \n \h </w:instrText>
      </w:r>
      <w:r w:rsidR="009514C5">
        <w:fldChar w:fldCharType="separate"/>
      </w:r>
      <w:r w:rsidR="002E5C6A">
        <w:t>(a)</w:t>
      </w:r>
      <w:r w:rsidR="009514C5">
        <w:fldChar w:fldCharType="end"/>
      </w:r>
      <w:r>
        <w:t xml:space="preserve">, then either party </w:t>
      </w:r>
      <w:r w:rsidR="007B724D">
        <w:t>may by written notice:</w:t>
      </w:r>
      <w:bookmarkEnd w:id="5014"/>
    </w:p>
    <w:p w14:paraId="18159B0D" w14:textId="43A58337" w:rsidR="007B724D" w:rsidRDefault="00365259" w:rsidP="0058045D">
      <w:pPr>
        <w:pStyle w:val="Heading4"/>
      </w:pPr>
      <w:bookmarkStart w:id="5015" w:name="_Ref205802564"/>
      <w:r>
        <w:t>if</w:t>
      </w:r>
      <w:r w:rsidR="007B724D">
        <w:t>:</w:t>
      </w:r>
      <w:bookmarkEnd w:id="5015"/>
      <w:r w:rsidR="007B724D">
        <w:t xml:space="preserve"> </w:t>
      </w:r>
    </w:p>
    <w:p w14:paraId="0FE9F67A" w14:textId="77777777" w:rsidR="007B724D" w:rsidRDefault="007B724D" w:rsidP="0058045D">
      <w:pPr>
        <w:pStyle w:val="Heading5"/>
      </w:pPr>
      <w:r>
        <w:t xml:space="preserve">expressly provided for under this agreement; </w:t>
      </w:r>
    </w:p>
    <w:p w14:paraId="1DA15501" w14:textId="77777777" w:rsidR="00AD0AAA" w:rsidRDefault="007B724D" w:rsidP="0058045D">
      <w:pPr>
        <w:pStyle w:val="Heading5"/>
      </w:pPr>
      <w:r>
        <w:t>the Dispute is of a technical or engineering nature</w:t>
      </w:r>
      <w:r w:rsidR="00AD0AAA">
        <w:t xml:space="preserve">; or </w:t>
      </w:r>
    </w:p>
    <w:p w14:paraId="5146C10F" w14:textId="77777777" w:rsidR="007B724D" w:rsidRDefault="00AD0AAA" w:rsidP="0058045D">
      <w:pPr>
        <w:pStyle w:val="Heading5"/>
      </w:pPr>
      <w:r>
        <w:t>the parties agree otherwise</w:t>
      </w:r>
      <w:r w:rsidR="007B724D">
        <w:t>,</w:t>
      </w:r>
    </w:p>
    <w:p w14:paraId="2269310C" w14:textId="3FA79C3D" w:rsidR="007B724D" w:rsidRDefault="007B724D" w:rsidP="0058045D">
      <w:pPr>
        <w:pStyle w:val="Heading5"/>
        <w:numPr>
          <w:ilvl w:val="0"/>
          <w:numId w:val="0"/>
        </w:numPr>
        <w:ind w:left="2211"/>
      </w:pPr>
      <w:r>
        <w:t xml:space="preserve">refer the Dispute for determination by an Independent Expert; </w:t>
      </w:r>
      <w:r w:rsidR="00365259">
        <w:t>or</w:t>
      </w:r>
    </w:p>
    <w:p w14:paraId="388B4F9C" w14:textId="25729BB7" w:rsidR="00857F91" w:rsidRDefault="00365259" w:rsidP="0058045D">
      <w:pPr>
        <w:pStyle w:val="Heading4"/>
      </w:pPr>
      <w:r>
        <w:t xml:space="preserve">if </w:t>
      </w:r>
      <w:r w:rsidR="007B724D">
        <w:t xml:space="preserve">the Dispute is not </w:t>
      </w:r>
      <w:r w:rsidR="00A15084">
        <w:t xml:space="preserve">provided for in paragraph </w:t>
      </w:r>
      <w:r w:rsidR="00A15084">
        <w:fldChar w:fldCharType="begin"/>
      </w:r>
      <w:r w:rsidR="00A15084">
        <w:instrText xml:space="preserve"> REF _Ref205802564 \r \h </w:instrText>
      </w:r>
      <w:r w:rsidR="00A15084">
        <w:fldChar w:fldCharType="separate"/>
      </w:r>
      <w:r w:rsidR="002E5C6A">
        <w:t>(i)</w:t>
      </w:r>
      <w:r w:rsidR="00A15084">
        <w:fldChar w:fldCharType="end"/>
      </w:r>
      <w:r w:rsidR="007B724D">
        <w:t>, commence proceedings in a court of competent jurisdiction</w:t>
      </w:r>
      <w:r w:rsidR="00AD0AAA">
        <w:t xml:space="preserve"> unless the parties agree to adopt a different form of alternative dispute resolution</w:t>
      </w:r>
      <w:r w:rsidR="00857F91">
        <w:t>.</w:t>
      </w:r>
    </w:p>
    <w:p w14:paraId="5379DAA1" w14:textId="77777777" w:rsidR="00551789" w:rsidRPr="007E5840" w:rsidRDefault="2C388DF0" w:rsidP="0058045D">
      <w:pPr>
        <w:pStyle w:val="Heading2"/>
      </w:pPr>
      <w:bookmarkStart w:id="5016" w:name="_Toc94798389"/>
      <w:bookmarkStart w:id="5017" w:name="_Toc94872315"/>
      <w:bookmarkStart w:id="5018" w:name="_Toc94885613"/>
      <w:bookmarkStart w:id="5019" w:name="_Toc94886048"/>
      <w:bookmarkStart w:id="5020" w:name="_Toc94886493"/>
      <w:bookmarkStart w:id="5021" w:name="_Toc99721858"/>
      <w:bookmarkStart w:id="5022" w:name="_Toc99723619"/>
      <w:bookmarkStart w:id="5023" w:name="_Ref515106310"/>
      <w:bookmarkStart w:id="5024" w:name="_Toc515359125"/>
      <w:bookmarkStart w:id="5025" w:name="_Toc515470294"/>
      <w:bookmarkStart w:id="5026" w:name="_Toc207309709"/>
      <w:bookmarkEnd w:id="5016"/>
      <w:bookmarkEnd w:id="5017"/>
      <w:bookmarkEnd w:id="5018"/>
      <w:bookmarkEnd w:id="5019"/>
      <w:bookmarkEnd w:id="5020"/>
      <w:bookmarkEnd w:id="5021"/>
      <w:bookmarkEnd w:id="5022"/>
      <w:r>
        <w:t>Independent Expert</w:t>
      </w:r>
      <w:bookmarkEnd w:id="5023"/>
      <w:bookmarkEnd w:id="5024"/>
      <w:bookmarkEnd w:id="5025"/>
      <w:bookmarkEnd w:id="5026"/>
    </w:p>
    <w:p w14:paraId="04C52CDB" w14:textId="510544DF" w:rsidR="008D72DB" w:rsidRPr="007E5840" w:rsidRDefault="008D72DB" w:rsidP="0058045D">
      <w:pPr>
        <w:pStyle w:val="Heading3"/>
      </w:pPr>
      <w:bookmarkStart w:id="5027" w:name="_Toc515359126"/>
      <w:bookmarkStart w:id="5028" w:name="_Hlk104317461"/>
      <w:bookmarkStart w:id="5029" w:name="_Ref103668824"/>
      <w:r w:rsidRPr="007E5840">
        <w:t xml:space="preserve">If this agreement provides that a </w:t>
      </w:r>
      <w:r>
        <w:t>D</w:t>
      </w:r>
      <w:r w:rsidRPr="007E5840">
        <w:t xml:space="preserve">ispute is to be referred </w:t>
      </w:r>
      <w:r>
        <w:t>for determination by</w:t>
      </w:r>
      <w:r w:rsidRPr="007E5840">
        <w:t xml:space="preserve"> an </w:t>
      </w:r>
      <w:r>
        <w:t xml:space="preserve">independent </w:t>
      </w:r>
      <w:r w:rsidRPr="007E5840">
        <w:t xml:space="preserve">expert, </w:t>
      </w:r>
      <w:r w:rsidR="004C1EF3">
        <w:t xml:space="preserve">then </w:t>
      </w:r>
      <w:r w:rsidRPr="007E5840">
        <w:t xml:space="preserve">the parties must appoint a </w:t>
      </w:r>
      <w:r>
        <w:t xml:space="preserve">person to </w:t>
      </w:r>
      <w:r w:rsidR="00365259">
        <w:t>whom</w:t>
      </w:r>
      <w:r>
        <w:t xml:space="preserve"> the Dispute will be referred for determination</w:t>
      </w:r>
      <w:r w:rsidRPr="007E5840">
        <w:t xml:space="preserve"> (</w:t>
      </w:r>
      <w:r w:rsidR="004A73AB">
        <w:t>“</w:t>
      </w:r>
      <w:r w:rsidRPr="006F568E">
        <w:rPr>
          <w:b/>
          <w:bCs/>
        </w:rPr>
        <w:t>Independent</w:t>
      </w:r>
      <w:r>
        <w:t xml:space="preserve"> </w:t>
      </w:r>
      <w:r w:rsidRPr="007E5840">
        <w:rPr>
          <w:b/>
        </w:rPr>
        <w:t>Expert</w:t>
      </w:r>
      <w:r w:rsidR="004A73AB">
        <w:rPr>
          <w:bCs/>
        </w:rPr>
        <w:t>”</w:t>
      </w:r>
      <w:r w:rsidRPr="007E5840">
        <w:t>)</w:t>
      </w:r>
      <w:bookmarkEnd w:id="5027"/>
      <w:r w:rsidRPr="007E5840">
        <w:t xml:space="preserve"> by mutual agreement within 10 Bu</w:t>
      </w:r>
      <w:r>
        <w:t xml:space="preserve">siness Days </w:t>
      </w:r>
      <w:r w:rsidR="00FE6B67">
        <w:t>after</w:t>
      </w:r>
      <w:r w:rsidR="00FE6B67" w:rsidRPr="007C4A7B" w:rsidDel="004F23C9">
        <w:t xml:space="preserve"> </w:t>
      </w:r>
      <w:r>
        <w:t xml:space="preserve">a notice referring a </w:t>
      </w:r>
      <w:r w:rsidR="00AD66A4">
        <w:t>D</w:t>
      </w:r>
      <w:r>
        <w:t>ispute to an Independent Expert being given (or such longer period the parties agree</w:t>
      </w:r>
      <w:bookmarkEnd w:id="5028"/>
      <w:r>
        <w:t>).</w:t>
      </w:r>
      <w:bookmarkEnd w:id="5029"/>
    </w:p>
    <w:p w14:paraId="1B568349" w14:textId="181C83E8" w:rsidR="008D72DB" w:rsidRDefault="008D72DB" w:rsidP="0058045D">
      <w:pPr>
        <w:pStyle w:val="Heading3"/>
      </w:pPr>
      <w:bookmarkStart w:id="5030" w:name="_Ref103668836"/>
      <w:r>
        <w:t xml:space="preserve">Failing agreement within the period specified in </w:t>
      </w:r>
      <w:bookmarkStart w:id="5031" w:name="_Hlk108183205"/>
      <w:r w:rsidR="009514C5">
        <w:t>paragraph</w:t>
      </w:r>
      <w:r>
        <w:t xml:space="preserve"> </w:t>
      </w:r>
      <w:r>
        <w:fldChar w:fldCharType="begin"/>
      </w:r>
      <w:r>
        <w:instrText xml:space="preserve"> REF _Ref103668824 \r \h </w:instrText>
      </w:r>
      <w:r>
        <w:fldChar w:fldCharType="separate"/>
      </w:r>
      <w:r w:rsidR="002E5C6A">
        <w:t>(a)</w:t>
      </w:r>
      <w:r>
        <w:fldChar w:fldCharType="end"/>
      </w:r>
      <w:bookmarkEnd w:id="5031"/>
      <w:r>
        <w:t>, either party may request the CEO of the Resolution Institute (or their independent nominee) to appoint an Independent Expert.</w:t>
      </w:r>
      <w:bookmarkEnd w:id="5030"/>
    </w:p>
    <w:p w14:paraId="60F7440F" w14:textId="437EA85C" w:rsidR="008D72DB" w:rsidRDefault="008D72DB" w:rsidP="0058045D">
      <w:pPr>
        <w:pStyle w:val="Heading3"/>
      </w:pPr>
      <w:r>
        <w:t xml:space="preserve">If an Independent Expert is not appointed within 20 Business Days </w:t>
      </w:r>
      <w:r w:rsidR="00FE6B67">
        <w:t>after</w:t>
      </w:r>
      <w:r w:rsidR="00FE6B67" w:rsidRPr="007C4A7B" w:rsidDel="004F23C9">
        <w:t xml:space="preserve"> </w:t>
      </w:r>
      <w:r>
        <w:t xml:space="preserve">the date of the request being made under </w:t>
      </w:r>
      <w:bookmarkStart w:id="5032" w:name="_Hlk108183213"/>
      <w:r w:rsidR="009514C5">
        <w:t>paragraph</w:t>
      </w:r>
      <w:r>
        <w:t xml:space="preserve"> </w:t>
      </w:r>
      <w:r>
        <w:fldChar w:fldCharType="begin"/>
      </w:r>
      <w:r>
        <w:instrText xml:space="preserve"> REF _Ref103668836 \r \h </w:instrText>
      </w:r>
      <w:r>
        <w:fldChar w:fldCharType="separate"/>
      </w:r>
      <w:r w:rsidR="002E5C6A">
        <w:t>(b)</w:t>
      </w:r>
      <w:r>
        <w:fldChar w:fldCharType="end"/>
      </w:r>
      <w:bookmarkEnd w:id="5032"/>
      <w:r>
        <w:t>, then either party may commence proceedings in a court of competent jurisdiction in relation to the Dispute.</w:t>
      </w:r>
    </w:p>
    <w:p w14:paraId="08FAEAAA" w14:textId="0D072882" w:rsidR="008D72DB" w:rsidRDefault="008D72DB" w:rsidP="0058045D">
      <w:pPr>
        <w:pStyle w:val="Heading3"/>
      </w:pPr>
      <w:bookmarkStart w:id="5033" w:name="_Toc515359127"/>
      <w:r>
        <w:t xml:space="preserve">The Independent Expert appointed must have reasonable qualifications, and commercial and practical experience, in the area of the </w:t>
      </w:r>
      <w:r w:rsidR="00AD66A4">
        <w:t>D</w:t>
      </w:r>
      <w:r>
        <w:t xml:space="preserve">ispute (including in the context of the </w:t>
      </w:r>
      <w:r w:rsidR="009633C4">
        <w:t>W</w:t>
      </w:r>
      <w:r>
        <w:t>EM)</w:t>
      </w:r>
      <w:r w:rsidR="00365259">
        <w:t>,</w:t>
      </w:r>
      <w:r>
        <w:t xml:space="preserve"> and no interest or duty </w:t>
      </w:r>
      <w:r w:rsidR="00365259">
        <w:t xml:space="preserve">that </w:t>
      </w:r>
      <w:r>
        <w:t>conflicts or may conflict with their function as an Independent Expert.</w:t>
      </w:r>
      <w:bookmarkEnd w:id="5033"/>
    </w:p>
    <w:p w14:paraId="1D092EDD" w14:textId="77777777" w:rsidR="008D72DB" w:rsidRDefault="008D72DB" w:rsidP="0058045D">
      <w:pPr>
        <w:pStyle w:val="Heading3"/>
      </w:pPr>
      <w:bookmarkStart w:id="5034" w:name="_Toc515359128"/>
      <w:r>
        <w:t>The Independent Expert will act as an expert and not as an arbitrator.</w:t>
      </w:r>
      <w:bookmarkEnd w:id="5034"/>
    </w:p>
    <w:p w14:paraId="0457831F" w14:textId="77777777" w:rsidR="008D72DB" w:rsidRDefault="008D72DB" w:rsidP="0058045D">
      <w:pPr>
        <w:pStyle w:val="Heading3"/>
      </w:pPr>
      <w:bookmarkStart w:id="5035" w:name="_Toc515359129"/>
      <w:r>
        <w:t xml:space="preserve">The parties must comply with all reasonable requests by an Independent Expert for information relating to the </w:t>
      </w:r>
      <w:r w:rsidR="00AD66A4">
        <w:t>D</w:t>
      </w:r>
      <w:r>
        <w:t>ispute.</w:t>
      </w:r>
      <w:bookmarkEnd w:id="5035"/>
    </w:p>
    <w:p w14:paraId="2C4DDD88" w14:textId="77777777" w:rsidR="008D72DB" w:rsidRDefault="008D72DB" w:rsidP="0058045D">
      <w:pPr>
        <w:pStyle w:val="Heading3"/>
      </w:pPr>
      <w:r>
        <w:t>The parties must ensure that the Independent Expert’s terms of appointment includ</w:t>
      </w:r>
      <w:r w:rsidR="007B724D">
        <w:t>e</w:t>
      </w:r>
      <w:r>
        <w:t xml:space="preserve"> the following requirements:</w:t>
      </w:r>
    </w:p>
    <w:p w14:paraId="423876C2" w14:textId="77777777" w:rsidR="008D72DB" w:rsidRDefault="008D72DB" w:rsidP="0058045D">
      <w:pPr>
        <w:pStyle w:val="Heading4"/>
      </w:pPr>
      <w:r>
        <w:t xml:space="preserve">the Independent Expert must consult with the parties concerning the matters under </w:t>
      </w:r>
      <w:r w:rsidR="00AD66A4">
        <w:t>D</w:t>
      </w:r>
      <w:r>
        <w:t>ispute;</w:t>
      </w:r>
    </w:p>
    <w:p w14:paraId="0B30CDD7" w14:textId="77777777" w:rsidR="008D72DB" w:rsidRDefault="008D72DB" w:rsidP="0058045D">
      <w:pPr>
        <w:pStyle w:val="Heading4"/>
      </w:pPr>
      <w:r>
        <w:t xml:space="preserve">the Independent Expert must make a draft report available to the parties within </w:t>
      </w:r>
      <w:r w:rsidRPr="007E5840">
        <w:t>30</w:t>
      </w:r>
      <w:r>
        <w:t xml:space="preserve"> Business Days </w:t>
      </w:r>
      <w:r w:rsidR="00FE6B67">
        <w:t>after</w:t>
      </w:r>
      <w:r w:rsidR="00FE6B67" w:rsidRPr="007C4A7B" w:rsidDel="004F23C9">
        <w:t xml:space="preserve"> </w:t>
      </w:r>
      <w:r>
        <w:t>their appointment;</w:t>
      </w:r>
    </w:p>
    <w:p w14:paraId="6A557104" w14:textId="69FA5928" w:rsidR="008D72DB" w:rsidRDefault="008D72DB" w:rsidP="0058045D">
      <w:pPr>
        <w:pStyle w:val="Heading4"/>
      </w:pPr>
      <w:r>
        <w:t xml:space="preserve">the Independent Expert must meet with representatives of the parties to discuss any </w:t>
      </w:r>
      <w:r w:rsidR="00A15084">
        <w:t xml:space="preserve">comments </w:t>
      </w:r>
      <w:r>
        <w:t xml:space="preserve">they may have </w:t>
      </w:r>
      <w:r w:rsidR="00A15084">
        <w:t>on</w:t>
      </w:r>
      <w:r>
        <w:t xml:space="preserve"> the draft report;</w:t>
      </w:r>
    </w:p>
    <w:p w14:paraId="6ADDA455" w14:textId="45010F84" w:rsidR="008D72DB" w:rsidRDefault="008D72DB" w:rsidP="0058045D">
      <w:pPr>
        <w:pStyle w:val="Heading4"/>
      </w:pPr>
      <w:r>
        <w:t xml:space="preserve">the Independent Expert must keep </w:t>
      </w:r>
      <w:r w:rsidR="00365259">
        <w:t xml:space="preserve">confidential all </w:t>
      </w:r>
      <w:r>
        <w:t>information provided by or on behalf of the parties to the Independent Expert;</w:t>
      </w:r>
    </w:p>
    <w:p w14:paraId="53F630B6" w14:textId="77777777" w:rsidR="008D72DB" w:rsidRDefault="008D72DB" w:rsidP="0058045D">
      <w:pPr>
        <w:pStyle w:val="Heading4"/>
      </w:pPr>
      <w:r>
        <w:t xml:space="preserve">the Independent Expert may investigate the matters under </w:t>
      </w:r>
      <w:r w:rsidR="00AD66A4">
        <w:t>D</w:t>
      </w:r>
      <w:r>
        <w:t>ispute and make inquiries in relation to them, and take the advice of any other person the Independent Expert deems appropriate; and</w:t>
      </w:r>
    </w:p>
    <w:p w14:paraId="26B79C3F" w14:textId="54BD1CBC" w:rsidR="008D72DB" w:rsidRDefault="008D72DB" w:rsidP="0058045D">
      <w:pPr>
        <w:pStyle w:val="Heading4"/>
      </w:pPr>
      <w:r>
        <w:t xml:space="preserve">the Independent Expert will use their best endeavours to notify the parties of the Independent Expert’s determination within </w:t>
      </w:r>
      <w:r w:rsidRPr="007E5840">
        <w:t>60</w:t>
      </w:r>
      <w:r w:rsidR="00365259">
        <w:t> </w:t>
      </w:r>
      <w:r>
        <w:t xml:space="preserve">Business Days </w:t>
      </w:r>
      <w:r w:rsidR="00FE6B67">
        <w:t>after</w:t>
      </w:r>
      <w:r w:rsidR="00FE6B67" w:rsidRPr="007C4A7B" w:rsidDel="004F23C9">
        <w:t xml:space="preserve"> </w:t>
      </w:r>
      <w:r>
        <w:t>the reference to the Independent Expert.</w:t>
      </w:r>
    </w:p>
    <w:p w14:paraId="6CF1E677" w14:textId="443B4EB7" w:rsidR="008D72DB" w:rsidRPr="00847C21" w:rsidRDefault="008D72DB" w:rsidP="0058045D">
      <w:pPr>
        <w:pStyle w:val="Heading3"/>
      </w:pPr>
      <w:bookmarkStart w:id="5036" w:name="_Toc515359130"/>
      <w:r>
        <w:t xml:space="preserve">In the absence of fraud or manifest error, the parties agree that any </w:t>
      </w:r>
      <w:r w:rsidR="00A15084" w:rsidRPr="008F660B">
        <w:t>determination of</w:t>
      </w:r>
      <w:r w:rsidR="00A15084" w:rsidRPr="00847C21">
        <w:t xml:space="preserve"> </w:t>
      </w:r>
      <w:r w:rsidRPr="00847C21">
        <w:t>an Independent Expert will be final and binding.</w:t>
      </w:r>
      <w:bookmarkEnd w:id="5036"/>
    </w:p>
    <w:p w14:paraId="17234B4F" w14:textId="77777777" w:rsidR="008D72DB" w:rsidRPr="00847C21" w:rsidRDefault="008D72DB" w:rsidP="0058045D">
      <w:pPr>
        <w:pStyle w:val="Heading3"/>
      </w:pPr>
      <w:bookmarkStart w:id="5037" w:name="_Toc515359131"/>
      <w:r w:rsidRPr="00847C21">
        <w:t>Each party will bear its own costs in respect of or in connection with any determination by an Independent Expert.</w:t>
      </w:r>
      <w:bookmarkEnd w:id="5037"/>
    </w:p>
    <w:p w14:paraId="400CD4B7" w14:textId="77777777" w:rsidR="00A41FEA" w:rsidRPr="00847C21" w:rsidRDefault="2C388DF0" w:rsidP="0058045D">
      <w:pPr>
        <w:pStyle w:val="Heading3"/>
      </w:pPr>
      <w:r w:rsidRPr="00847C21">
        <w:t>The costs of the Independent Expert will be borne equally between the parties.</w:t>
      </w:r>
    </w:p>
    <w:p w14:paraId="4749411A" w14:textId="77777777" w:rsidR="003C7021" w:rsidRPr="00847C21" w:rsidRDefault="2C388DF0" w:rsidP="0058045D">
      <w:pPr>
        <w:pStyle w:val="Heading2"/>
      </w:pPr>
      <w:bookmarkStart w:id="5038" w:name="_Toc492504888"/>
      <w:bookmarkStart w:id="5039" w:name="_Toc515359132"/>
      <w:bookmarkStart w:id="5040" w:name="_Toc515470295"/>
      <w:bookmarkStart w:id="5041" w:name="_Toc207309710"/>
      <w:r w:rsidRPr="00847C21">
        <w:t>Other relief</w:t>
      </w:r>
      <w:bookmarkEnd w:id="5038"/>
      <w:bookmarkEnd w:id="5039"/>
      <w:bookmarkEnd w:id="5040"/>
      <w:bookmarkEnd w:id="5041"/>
    </w:p>
    <w:p w14:paraId="60536D5E" w14:textId="41AE9BA1" w:rsidR="003C7021" w:rsidRPr="00847C21" w:rsidRDefault="003C7021" w:rsidP="0058045D">
      <w:pPr>
        <w:pStyle w:val="Heading3"/>
        <w:numPr>
          <w:ilvl w:val="0"/>
          <w:numId w:val="0"/>
        </w:numPr>
        <w:ind w:left="737"/>
      </w:pPr>
      <w:bookmarkStart w:id="5042" w:name="_Toc515359133"/>
      <w:r w:rsidRPr="00847C21">
        <w:t xml:space="preserve">The </w:t>
      </w:r>
      <w:r w:rsidR="00AD66A4" w:rsidRPr="00847C21">
        <w:t>D</w:t>
      </w:r>
      <w:r w:rsidRPr="00847C21">
        <w:t>ispute resolution procedures in this clause </w:t>
      </w:r>
      <w:r w:rsidR="00A36377" w:rsidRPr="00847C21">
        <w:fldChar w:fldCharType="begin"/>
      </w:r>
      <w:r w:rsidR="00A36377" w:rsidRPr="00847C21">
        <w:instrText xml:space="preserve"> REF _Ref467517745 \w \h </w:instrText>
      </w:r>
      <w:r w:rsidR="00801FA4">
        <w:instrText xml:space="preserve"> \* MERGEFORMAT </w:instrText>
      </w:r>
      <w:r w:rsidR="00A36377" w:rsidRPr="00847C21">
        <w:fldChar w:fldCharType="separate"/>
      </w:r>
      <w:r w:rsidR="002E5C6A">
        <w:t>27</w:t>
      </w:r>
      <w:r w:rsidR="00A36377" w:rsidRPr="00847C21">
        <w:fldChar w:fldCharType="end"/>
      </w:r>
      <w:r w:rsidRPr="00847C21">
        <w:t xml:space="preserve"> </w:t>
      </w:r>
      <w:r w:rsidR="00685E14" w:rsidRPr="00847C21">
        <w:t xml:space="preserve">or clause </w:t>
      </w:r>
      <w:r w:rsidR="00685E14" w:rsidRPr="00847C21">
        <w:fldChar w:fldCharType="begin"/>
      </w:r>
      <w:r w:rsidR="00685E14" w:rsidRPr="00847C21">
        <w:instrText xml:space="preserve"> REF _Ref103668707 \r \h </w:instrText>
      </w:r>
      <w:r w:rsidR="00801FA4">
        <w:instrText xml:space="preserve"> \* MERGEFORMAT </w:instrText>
      </w:r>
      <w:r w:rsidR="00685E14" w:rsidRPr="00847C21">
        <w:fldChar w:fldCharType="separate"/>
      </w:r>
      <w:r w:rsidR="002E5C6A">
        <w:t>28</w:t>
      </w:r>
      <w:r w:rsidR="00685E14" w:rsidRPr="00847C21">
        <w:fldChar w:fldCharType="end"/>
      </w:r>
      <w:r w:rsidR="00685E14" w:rsidRPr="00847C21">
        <w:t xml:space="preserve"> (“</w:t>
      </w:r>
      <w:r w:rsidR="00685E14" w:rsidRPr="00847C21">
        <w:fldChar w:fldCharType="begin"/>
      </w:r>
      <w:r w:rsidR="00685E14" w:rsidRPr="00847C21">
        <w:instrText xml:space="preserve"> REF _Ref103668707 \h </w:instrText>
      </w:r>
      <w:r w:rsidR="00801FA4">
        <w:instrText xml:space="preserve"> \* MERGEFORMAT </w:instrText>
      </w:r>
      <w:r w:rsidR="00685E14" w:rsidRPr="00847C21">
        <w:fldChar w:fldCharType="separate"/>
      </w:r>
      <w:r w:rsidR="002E5C6A">
        <w:t>Pooled Disputes</w:t>
      </w:r>
      <w:r w:rsidR="00685E14" w:rsidRPr="00847C21">
        <w:fldChar w:fldCharType="end"/>
      </w:r>
      <w:r w:rsidR="00685E14" w:rsidRPr="00847C21">
        <w:t xml:space="preserve">”) </w:t>
      </w:r>
      <w:r w:rsidRPr="00847C21">
        <w:t xml:space="preserve">do not apply </w:t>
      </w:r>
      <w:r w:rsidR="00365259" w:rsidRPr="00847C21">
        <w:t xml:space="preserve">so as </w:t>
      </w:r>
      <w:r w:rsidRPr="00847C21">
        <w:t>to impair, delay or otherwise prejudice the exercise by a party of its rights provided in this agreement (including any right of termination).</w:t>
      </w:r>
      <w:bookmarkEnd w:id="5042"/>
    </w:p>
    <w:p w14:paraId="7B9790B4" w14:textId="77777777" w:rsidR="00214F92" w:rsidRPr="00847C21" w:rsidRDefault="2C388DF0" w:rsidP="0058045D">
      <w:pPr>
        <w:pStyle w:val="Heading2"/>
      </w:pPr>
      <w:bookmarkStart w:id="5043" w:name="_Toc207309711"/>
      <w:r w:rsidRPr="00847C21">
        <w:t>Continued performance following a Dispute</w:t>
      </w:r>
      <w:bookmarkEnd w:id="5043"/>
    </w:p>
    <w:p w14:paraId="00973644" w14:textId="2559A5B1" w:rsidR="00214F92" w:rsidRDefault="00214F92" w:rsidP="0058045D">
      <w:pPr>
        <w:pStyle w:val="Heading3"/>
        <w:numPr>
          <w:ilvl w:val="0"/>
          <w:numId w:val="0"/>
        </w:numPr>
        <w:ind w:left="737"/>
      </w:pPr>
      <w:r w:rsidRPr="00847C21">
        <w:t xml:space="preserve">Despite </w:t>
      </w:r>
      <w:r w:rsidR="00A41FEA" w:rsidRPr="00847C21">
        <w:t xml:space="preserve">the existence of </w:t>
      </w:r>
      <w:r w:rsidRPr="00847C21">
        <w:t>any Dispute, each party must continue to perform its obligations under this agreement</w:t>
      </w:r>
      <w:r w:rsidR="00AD0AAA" w:rsidRPr="00847C21">
        <w:t xml:space="preserve">, other than an obligation to make </w:t>
      </w:r>
      <w:r w:rsidR="00A15084" w:rsidRPr="008F660B">
        <w:t>any part of</w:t>
      </w:r>
      <w:r w:rsidR="00A15084">
        <w:t xml:space="preserve"> </w:t>
      </w:r>
      <w:r w:rsidR="00365259">
        <w:t xml:space="preserve">a </w:t>
      </w:r>
      <w:r w:rsidR="00AD0AAA">
        <w:t>payment that is in dispute</w:t>
      </w:r>
      <w:r>
        <w:t>.</w:t>
      </w:r>
    </w:p>
    <w:p w14:paraId="44097F55" w14:textId="77777777" w:rsidR="00214F92" w:rsidRDefault="2C388DF0" w:rsidP="0058045D">
      <w:pPr>
        <w:pStyle w:val="Heading2"/>
      </w:pPr>
      <w:bookmarkStart w:id="5044" w:name="_Ref103668697"/>
      <w:bookmarkStart w:id="5045" w:name="_Toc207309712"/>
      <w:r>
        <w:t>Interim relief</w:t>
      </w:r>
      <w:bookmarkEnd w:id="5044"/>
      <w:bookmarkEnd w:id="5045"/>
    </w:p>
    <w:p w14:paraId="3B66B54D" w14:textId="0B6CD5A6" w:rsidR="00214F92" w:rsidRDefault="00214F92" w:rsidP="00214F92">
      <w:pPr>
        <w:pStyle w:val="Indent2"/>
      </w:pPr>
      <w:r>
        <w:t>Nothing in this clause </w:t>
      </w:r>
      <w:r>
        <w:rPr>
          <w:highlight w:val="yellow"/>
        </w:rPr>
        <w:fldChar w:fldCharType="begin"/>
      </w:r>
      <w:r>
        <w:instrText xml:space="preserve"> REF _Ref467518367 \n \h </w:instrText>
      </w:r>
      <w:r>
        <w:rPr>
          <w:highlight w:val="yellow"/>
        </w:rPr>
      </w:r>
      <w:r>
        <w:rPr>
          <w:highlight w:val="yellow"/>
        </w:rPr>
        <w:fldChar w:fldCharType="separate"/>
      </w:r>
      <w:r w:rsidR="002E5C6A">
        <w:t>27</w:t>
      </w:r>
      <w:r>
        <w:rPr>
          <w:highlight w:val="yellow"/>
        </w:rPr>
        <w:fldChar w:fldCharType="end"/>
      </w:r>
      <w:r>
        <w:t xml:space="preserve"> </w:t>
      </w:r>
      <w:r w:rsidR="00685E14">
        <w:t xml:space="preserve">or clause </w:t>
      </w:r>
      <w:r w:rsidR="00685E14">
        <w:fldChar w:fldCharType="begin"/>
      </w:r>
      <w:r w:rsidR="00685E14">
        <w:instrText xml:space="preserve"> REF _Ref103668707 \r \h </w:instrText>
      </w:r>
      <w:r w:rsidR="00685E14">
        <w:fldChar w:fldCharType="separate"/>
      </w:r>
      <w:r w:rsidR="002E5C6A">
        <w:t>28</w:t>
      </w:r>
      <w:r w:rsidR="00685E14">
        <w:fldChar w:fldCharType="end"/>
      </w:r>
      <w:bookmarkStart w:id="5046" w:name="_Ref101432269"/>
      <w:r w:rsidR="00685E14">
        <w:t xml:space="preserve"> (“</w:t>
      </w:r>
      <w:r w:rsidR="00685E14">
        <w:fldChar w:fldCharType="begin"/>
      </w:r>
      <w:r w:rsidR="00685E14">
        <w:instrText xml:space="preserve"> REF _Ref103668707 \h </w:instrText>
      </w:r>
      <w:r w:rsidR="00685E14">
        <w:fldChar w:fldCharType="separate"/>
      </w:r>
      <w:r w:rsidR="002E5C6A">
        <w:t>Pooled Disputes</w:t>
      </w:r>
      <w:r w:rsidR="00685E14">
        <w:fldChar w:fldCharType="end"/>
      </w:r>
      <w:r w:rsidR="00685E14">
        <w:t xml:space="preserve">”) </w:t>
      </w:r>
      <w:r>
        <w:t>prevents either party from seeking urgent injunctive or declaratory relief.</w:t>
      </w:r>
    </w:p>
    <w:p w14:paraId="6E460C9B" w14:textId="77777777" w:rsidR="00214F92" w:rsidRDefault="2BC382E4" w:rsidP="0058045D">
      <w:pPr>
        <w:pStyle w:val="Heading1"/>
      </w:pPr>
      <w:bookmarkStart w:id="5047" w:name="_Toc103248551"/>
      <w:bookmarkStart w:id="5048" w:name="_Toc103258208"/>
      <w:bookmarkStart w:id="5049" w:name="_Toc103258508"/>
      <w:bookmarkStart w:id="5050" w:name="_Toc103258992"/>
      <w:bookmarkStart w:id="5051" w:name="_Toc103260030"/>
      <w:bookmarkStart w:id="5052" w:name="_Toc103271345"/>
      <w:bookmarkStart w:id="5053" w:name="_Ref103668707"/>
      <w:bookmarkStart w:id="5054" w:name="_Toc207309713"/>
      <w:bookmarkEnd w:id="5046"/>
      <w:bookmarkEnd w:id="5047"/>
      <w:bookmarkEnd w:id="5048"/>
      <w:bookmarkEnd w:id="5049"/>
      <w:bookmarkEnd w:id="5050"/>
      <w:bookmarkEnd w:id="5051"/>
      <w:bookmarkEnd w:id="5052"/>
      <w:r>
        <w:t>Pooled Disputes</w:t>
      </w:r>
      <w:bookmarkEnd w:id="5053"/>
      <w:bookmarkEnd w:id="5054"/>
    </w:p>
    <w:p w14:paraId="105E9B03" w14:textId="77777777" w:rsidR="00213F9F" w:rsidRPr="00213F9F" w:rsidRDefault="2BC382E4" w:rsidP="008F660B">
      <w:pPr>
        <w:pStyle w:val="Heading2"/>
        <w:numPr>
          <w:ilvl w:val="1"/>
          <w:numId w:val="82"/>
        </w:numPr>
      </w:pPr>
      <w:bookmarkStart w:id="5055" w:name="_Ref117153221"/>
      <w:bookmarkStart w:id="5056" w:name="_Ref117153226"/>
      <w:bookmarkStart w:id="5057" w:name="_Ref167304035"/>
      <w:bookmarkStart w:id="5058" w:name="_Ref167305914"/>
      <w:bookmarkStart w:id="5059" w:name="_Toc207309714"/>
      <w:r>
        <w:t>Referral of Pooled Disputes</w:t>
      </w:r>
      <w:bookmarkEnd w:id="5055"/>
      <w:bookmarkEnd w:id="5056"/>
      <w:bookmarkEnd w:id="5057"/>
      <w:bookmarkEnd w:id="5058"/>
      <w:bookmarkEnd w:id="5059"/>
    </w:p>
    <w:p w14:paraId="186D6994" w14:textId="77777777" w:rsidR="00282F33" w:rsidRDefault="2C388DF0" w:rsidP="0058045D">
      <w:pPr>
        <w:pStyle w:val="Heading3"/>
      </w:pPr>
      <w:r>
        <w:t>If, in the Commonwealth’s opinion (acting reasonably):</w:t>
      </w:r>
    </w:p>
    <w:p w14:paraId="3878220A" w14:textId="479748E3" w:rsidR="00214F92" w:rsidRDefault="2C388DF0" w:rsidP="0058045D">
      <w:pPr>
        <w:pStyle w:val="Heading4"/>
      </w:pPr>
      <w:r>
        <w:t xml:space="preserve">a Dispute in relation to clause </w:t>
      </w:r>
      <w:r w:rsidR="00F066DC">
        <w:fldChar w:fldCharType="begin"/>
      </w:r>
      <w:r w:rsidR="00F066DC">
        <w:instrText xml:space="preserve"> REF _Ref467049976 \w \h </w:instrText>
      </w:r>
      <w:r w:rsidR="00F066DC">
        <w:fldChar w:fldCharType="separate"/>
      </w:r>
      <w:r w:rsidR="002E5C6A">
        <w:t>21</w:t>
      </w:r>
      <w:r w:rsidR="00F066DC">
        <w:fldChar w:fldCharType="end"/>
      </w:r>
      <w:r>
        <w:t xml:space="preserve"> (“</w:t>
      </w:r>
      <w:r w:rsidR="00F066DC">
        <w:fldChar w:fldCharType="begin"/>
      </w:r>
      <w:r w:rsidR="00F066DC">
        <w:instrText xml:space="preserve">  REF _Ref467049976 \h </w:instrText>
      </w:r>
      <w:r w:rsidR="00F066DC">
        <w:fldChar w:fldCharType="separate"/>
      </w:r>
      <w:r w:rsidR="002E5C6A">
        <w:t>Change in Law</w:t>
      </w:r>
      <w:r w:rsidR="00F066DC">
        <w:fldChar w:fldCharType="end"/>
      </w:r>
      <w:r>
        <w:t>”) is identical or similar to an Other Dispute; or</w:t>
      </w:r>
    </w:p>
    <w:p w14:paraId="73BEBA36" w14:textId="77777777" w:rsidR="00F066DC" w:rsidRDefault="2C388DF0" w:rsidP="0058045D">
      <w:pPr>
        <w:pStyle w:val="Heading4"/>
      </w:pPr>
      <w:r>
        <w:t>the outcome of a Dispute or an Other Dispute could affect the entitlements and/or obligations of a party under this agreement or an Other CISA (as relevant),</w:t>
      </w:r>
    </w:p>
    <w:p w14:paraId="76FAAEFD" w14:textId="77777777" w:rsidR="00214F92" w:rsidRDefault="00F066DC" w:rsidP="0058045D">
      <w:pPr>
        <w:pStyle w:val="Heading4"/>
        <w:numPr>
          <w:ilvl w:val="0"/>
          <w:numId w:val="0"/>
        </w:numPr>
        <w:ind w:left="1474"/>
      </w:pPr>
      <w:r>
        <w:t xml:space="preserve">then that Dispute </w:t>
      </w:r>
      <w:r w:rsidR="004A49E7">
        <w:t xml:space="preserve">and/or Other Dispute (as applicable) </w:t>
      </w:r>
      <w:r>
        <w:t>is a “</w:t>
      </w:r>
      <w:r w:rsidRPr="00F066DC">
        <w:rPr>
          <w:b/>
          <w:bCs/>
        </w:rPr>
        <w:t>Pooled Dispute</w:t>
      </w:r>
      <w:r w:rsidRPr="00F066DC">
        <w:t>”</w:t>
      </w:r>
      <w:r w:rsidR="00214F92">
        <w:t>.</w:t>
      </w:r>
    </w:p>
    <w:p w14:paraId="0A18060B" w14:textId="77777777" w:rsidR="004A49E7" w:rsidRDefault="2C388DF0" w:rsidP="0058045D">
      <w:pPr>
        <w:pStyle w:val="Heading3"/>
      </w:pPr>
      <w:bookmarkStart w:id="5060" w:name="_Ref205751348"/>
      <w:r>
        <w:t>If the Commonwealth gives a Dispute Notice to or receives a Dispute N</w:t>
      </w:r>
      <w:bookmarkStart w:id="5061" w:name="_Ref100223105"/>
      <w:r>
        <w:t>otice from:</w:t>
      </w:r>
      <w:bookmarkEnd w:id="5060"/>
      <w:r>
        <w:t xml:space="preserve"> </w:t>
      </w:r>
    </w:p>
    <w:p w14:paraId="56AC7749" w14:textId="77777777" w:rsidR="004A49E7" w:rsidRDefault="2C388DF0" w:rsidP="0058045D">
      <w:pPr>
        <w:pStyle w:val="Heading4"/>
      </w:pPr>
      <w:r>
        <w:t xml:space="preserve">Project Operator; or </w:t>
      </w:r>
    </w:p>
    <w:p w14:paraId="31691A91" w14:textId="77777777" w:rsidR="004A49E7" w:rsidRDefault="2C388DF0" w:rsidP="0058045D">
      <w:pPr>
        <w:pStyle w:val="Heading4"/>
      </w:pPr>
      <w:r>
        <w:t xml:space="preserve">an Other CISA Counterparty, </w:t>
      </w:r>
    </w:p>
    <w:p w14:paraId="282CE77F" w14:textId="3BD3929E" w:rsidR="00EC5842" w:rsidRDefault="00214F92" w:rsidP="0058045D">
      <w:pPr>
        <w:pStyle w:val="Heading3"/>
        <w:numPr>
          <w:ilvl w:val="0"/>
          <w:numId w:val="0"/>
        </w:numPr>
        <w:ind w:left="1474"/>
      </w:pPr>
      <w:r>
        <w:t xml:space="preserve">relating to a Pooled Dispute, then </w:t>
      </w:r>
      <w:r w:rsidR="00BE77D6" w:rsidRPr="005D76CA">
        <w:t>the Commonwealth</w:t>
      </w:r>
      <w:r w:rsidR="000A5CD2">
        <w:t xml:space="preserve"> may</w:t>
      </w:r>
      <w:r>
        <w:t xml:space="preserve"> </w:t>
      </w:r>
      <w:r w:rsidR="00EC5842">
        <w:t xml:space="preserve">refer the Pooled Dispute to a </w:t>
      </w:r>
      <w:r w:rsidR="0046638F">
        <w:t xml:space="preserve">Pooled Dispute </w:t>
      </w:r>
      <w:r w:rsidR="00EC5842">
        <w:t>Panel for resolution</w:t>
      </w:r>
      <w:r w:rsidR="00B9460B">
        <w:t xml:space="preserve"> in accordance with clause </w:t>
      </w:r>
      <w:r w:rsidR="00B9460B">
        <w:fldChar w:fldCharType="begin"/>
      </w:r>
      <w:r w:rsidR="00B9460B">
        <w:instrText xml:space="preserve"> REF _Ref106220491 \w \h </w:instrText>
      </w:r>
      <w:r w:rsidR="00B9460B">
        <w:fldChar w:fldCharType="separate"/>
      </w:r>
      <w:r w:rsidR="002E5C6A">
        <w:t>28.2</w:t>
      </w:r>
      <w:r w:rsidR="00B9460B">
        <w:fldChar w:fldCharType="end"/>
      </w:r>
      <w:r w:rsidR="00B9460B">
        <w:t xml:space="preserve"> (“</w:t>
      </w:r>
      <w:r w:rsidR="008254F7">
        <w:fldChar w:fldCharType="begin"/>
      </w:r>
      <w:r w:rsidR="008254F7">
        <w:instrText xml:space="preserve"> REF _Ref106290715 \h </w:instrText>
      </w:r>
      <w:r w:rsidR="008254F7">
        <w:fldChar w:fldCharType="separate"/>
      </w:r>
      <w:r w:rsidR="002E5C6A">
        <w:t>Resolution by Pooled Dispute Panel</w:t>
      </w:r>
      <w:r w:rsidR="008254F7">
        <w:fldChar w:fldCharType="end"/>
      </w:r>
      <w:r w:rsidR="00B9460B">
        <w:t>”)</w:t>
      </w:r>
      <w:r w:rsidR="003F16A8">
        <w:t xml:space="preserve"> (“</w:t>
      </w:r>
      <w:r w:rsidR="003F16A8" w:rsidRPr="003C63E7">
        <w:rPr>
          <w:b/>
          <w:bCs/>
        </w:rPr>
        <w:t>Pooled Dispute Referral</w:t>
      </w:r>
      <w:r w:rsidR="003F16A8">
        <w:t>”)</w:t>
      </w:r>
      <w:r w:rsidR="00EC5842">
        <w:t>.</w:t>
      </w:r>
    </w:p>
    <w:p w14:paraId="5DB9BD2A" w14:textId="77777777" w:rsidR="00213F9F" w:rsidRDefault="2BC382E4" w:rsidP="0058045D">
      <w:pPr>
        <w:pStyle w:val="Heading2"/>
      </w:pPr>
      <w:bookmarkStart w:id="5062" w:name="_Ref106220491"/>
      <w:bookmarkStart w:id="5063" w:name="_Ref106290715"/>
      <w:bookmarkStart w:id="5064" w:name="_Toc207309715"/>
      <w:r>
        <w:t>Resolution</w:t>
      </w:r>
      <w:bookmarkEnd w:id="5062"/>
      <w:r>
        <w:t xml:space="preserve"> by Pooled Dispute Panel</w:t>
      </w:r>
      <w:bookmarkEnd w:id="5063"/>
      <w:bookmarkEnd w:id="5064"/>
    </w:p>
    <w:p w14:paraId="399ADFC8" w14:textId="77777777" w:rsidR="00847C7B" w:rsidRDefault="00B9460B" w:rsidP="0058045D">
      <w:pPr>
        <w:pStyle w:val="Heading3"/>
      </w:pPr>
      <w:bookmarkStart w:id="5065" w:name="_Ref205751320"/>
      <w:r w:rsidRPr="007E5840">
        <w:t xml:space="preserve">If </w:t>
      </w:r>
      <w:r w:rsidR="00BE77D6" w:rsidRPr="005D76CA">
        <w:t>the Commonwealth</w:t>
      </w:r>
      <w:r w:rsidR="00C77FF3">
        <w:t xml:space="preserve"> gives a Pooled Dispute Referral in respect of a Pooled Dispute</w:t>
      </w:r>
      <w:r w:rsidRPr="007E5840">
        <w:t xml:space="preserve">, </w:t>
      </w:r>
      <w:r>
        <w:t>then</w:t>
      </w:r>
      <w:r w:rsidR="00847C7B">
        <w:t>:</w:t>
      </w:r>
      <w:bookmarkEnd w:id="5065"/>
      <w:r>
        <w:t xml:space="preserve"> </w:t>
      </w:r>
    </w:p>
    <w:p w14:paraId="0587C83D" w14:textId="77777777" w:rsidR="00847C7B" w:rsidRDefault="003A7E4D" w:rsidP="0058045D">
      <w:pPr>
        <w:pStyle w:val="Heading4"/>
      </w:pPr>
      <w:r>
        <w:t>each Pooled Dispute Participant</w:t>
      </w:r>
      <w:r w:rsidR="00847C7B">
        <w:t xml:space="preserve"> </w:t>
      </w:r>
      <w:r w:rsidR="00A55FA1">
        <w:t>may</w:t>
      </w:r>
      <w:r w:rsidR="00B9460B">
        <w:t xml:space="preserve"> </w:t>
      </w:r>
      <w:r w:rsidR="00B9460B" w:rsidRPr="007E5840">
        <w:t xml:space="preserve">appoint a </w:t>
      </w:r>
      <w:r w:rsidR="009E060E">
        <w:t xml:space="preserve">person to represent it on the </w:t>
      </w:r>
      <w:r w:rsidR="0046638F">
        <w:t>Pooled Dispute Panel</w:t>
      </w:r>
      <w:r w:rsidR="00847C7B">
        <w:t>; and</w:t>
      </w:r>
    </w:p>
    <w:p w14:paraId="451971B3" w14:textId="35A44170" w:rsidR="00B9460B" w:rsidRPr="007E5840" w:rsidRDefault="00847C7B" w:rsidP="0058045D">
      <w:pPr>
        <w:pStyle w:val="Heading4"/>
      </w:pPr>
      <w:r>
        <w:t xml:space="preserve">the </w:t>
      </w:r>
      <w:r w:rsidR="0046638F">
        <w:t xml:space="preserve">Pooled Dispute Panel </w:t>
      </w:r>
      <w:r>
        <w:t xml:space="preserve">will meet within </w:t>
      </w:r>
      <w:r w:rsidR="00A15084">
        <w:t>one (</w:t>
      </w:r>
      <w:r w:rsidRPr="00D725F1">
        <w:t>1</w:t>
      </w:r>
      <w:r w:rsidR="00A15084">
        <w:t>)</w:t>
      </w:r>
      <w:r w:rsidRPr="00D725F1">
        <w:t xml:space="preserve"> month</w:t>
      </w:r>
      <w:r w:rsidR="00CC422C">
        <w:t xml:space="preserve"> (or such other period as </w:t>
      </w:r>
      <w:r w:rsidR="00A15084">
        <w:t xml:space="preserve">is </w:t>
      </w:r>
      <w:r w:rsidR="00CC422C">
        <w:t xml:space="preserve">reasonably determined by </w:t>
      </w:r>
      <w:r w:rsidR="00BE77D6" w:rsidRPr="005D76CA">
        <w:t>the Commonwealth</w:t>
      </w:r>
      <w:r w:rsidR="00CC422C" w:rsidRPr="005D76CA">
        <w:t>)</w:t>
      </w:r>
      <w:r w:rsidRPr="005D76CA">
        <w:t xml:space="preserve"> </w:t>
      </w:r>
      <w:r w:rsidR="00812D53" w:rsidRPr="005D76CA">
        <w:t>from</w:t>
      </w:r>
      <w:r w:rsidRPr="005D76CA">
        <w:t xml:space="preserve"> the </w:t>
      </w:r>
      <w:r w:rsidR="003C63E7" w:rsidRPr="005D76CA">
        <w:t xml:space="preserve">Pooled Dispute Referral </w:t>
      </w:r>
      <w:r w:rsidRPr="005D76CA">
        <w:t>to resolve</w:t>
      </w:r>
      <w:r>
        <w:t xml:space="preserve"> the Pooled Dispute</w:t>
      </w:r>
      <w:r w:rsidR="00B9460B">
        <w:t>.</w:t>
      </w:r>
    </w:p>
    <w:p w14:paraId="7C2BB9F0" w14:textId="7C6999B0" w:rsidR="00B9460B" w:rsidRDefault="2C388DF0" w:rsidP="0058045D">
      <w:pPr>
        <w:pStyle w:val="Heading3"/>
      </w:pPr>
      <w:r>
        <w:t xml:space="preserve">The Pooled Dispute Panel will determine its own procedures for meeting </w:t>
      </w:r>
      <w:bookmarkStart w:id="5066" w:name="_Hlk174441273"/>
      <w:r w:rsidR="007B65C7">
        <w:t>(including all processes and procedures required to preserve confidentiality and legal privilege and to comply with the requirements of all Laws, including those relating to competition or restrictive trade practices)</w:t>
      </w:r>
      <w:bookmarkEnd w:id="5066"/>
      <w:r w:rsidR="008F4CFC">
        <w:t xml:space="preserve"> and,</w:t>
      </w:r>
      <w:r>
        <w:t xml:space="preserve"> unless the Pooled Dispute Panel otherwise determines, all meetings of the Pooled Dispute Panel will be held in Sydney with an option provided for participation via technology.</w:t>
      </w:r>
    </w:p>
    <w:p w14:paraId="34892B31" w14:textId="77777777" w:rsidR="00F86909" w:rsidRDefault="2C388DF0" w:rsidP="0058045D">
      <w:pPr>
        <w:pStyle w:val="Heading3"/>
      </w:pPr>
      <w:r>
        <w:t>If a party provides information or documents relevant to a Pooled Dispute to the other party, then it must use its best endeavours to promptly provide the information and documents to each representative on the Pooled Dispute Panel.</w:t>
      </w:r>
    </w:p>
    <w:p w14:paraId="0D4ACC26" w14:textId="51502654" w:rsidR="00CA26FA" w:rsidRDefault="2C388DF0" w:rsidP="0058045D">
      <w:pPr>
        <w:pStyle w:val="Heading3"/>
      </w:pPr>
      <w:r>
        <w:t xml:space="preserve">Subject to clause </w:t>
      </w:r>
      <w:r w:rsidR="00CA26FA">
        <w:fldChar w:fldCharType="begin"/>
      </w:r>
      <w:r w:rsidR="00CA26FA">
        <w:instrText xml:space="preserve"> REF _Ref106271469 \r \h </w:instrText>
      </w:r>
      <w:r w:rsidR="00CA26FA">
        <w:fldChar w:fldCharType="separate"/>
      </w:r>
      <w:r w:rsidR="002E5C6A">
        <w:t>28.3</w:t>
      </w:r>
      <w:r w:rsidR="00CA26FA">
        <w:fldChar w:fldCharType="end"/>
      </w:r>
      <w:r>
        <w:t xml:space="preserve"> (“</w:t>
      </w:r>
      <w:r w:rsidR="00CA26FA">
        <w:fldChar w:fldCharType="begin"/>
      </w:r>
      <w:r w:rsidR="00CA26FA">
        <w:instrText xml:space="preserve"> REF _Ref106271469 \h </w:instrText>
      </w:r>
      <w:r w:rsidR="00CA26FA">
        <w:fldChar w:fldCharType="separate"/>
      </w:r>
      <w:r w:rsidR="002E5C6A">
        <w:t>Bilateral resolution</w:t>
      </w:r>
      <w:r w:rsidR="00CA26FA">
        <w:fldChar w:fldCharType="end"/>
      </w:r>
      <w:r>
        <w:t>”), if the Pooled Dispute Panel unanimously resolves the Pooled Dispute, then that resolution will be binding on the parties to this agreement regardless of whether they participated in the Pooled Dispute Panel or not.</w:t>
      </w:r>
    </w:p>
    <w:p w14:paraId="09867D03" w14:textId="26CB10E9" w:rsidR="0047450F" w:rsidRDefault="2C388DF0" w:rsidP="00365259">
      <w:pPr>
        <w:pStyle w:val="Heading3"/>
        <w:keepNext/>
      </w:pPr>
      <w:bookmarkStart w:id="5067" w:name="_Ref106265824"/>
      <w:r>
        <w:t>If the Pooled Dispute Panel does not unanimously resolve the Pooled Dispute within</w:t>
      </w:r>
      <w:r w:rsidR="00A15084">
        <w:t xml:space="preserve"> three</w:t>
      </w:r>
      <w:r>
        <w:t xml:space="preserve"> </w:t>
      </w:r>
      <w:r w:rsidR="00A15084">
        <w:t>(</w:t>
      </w:r>
      <w:r>
        <w:t>3</w:t>
      </w:r>
      <w:r w:rsidR="00A15084">
        <w:t>)</w:t>
      </w:r>
      <w:r>
        <w:t xml:space="preserve"> months from the Pooled Dispute Referral, then the Commonwealth may refer the Pooled Dispute for resolution in accordance with clause </w:t>
      </w:r>
      <w:r w:rsidR="003C63E7">
        <w:fldChar w:fldCharType="begin"/>
      </w:r>
      <w:r w:rsidR="003C63E7">
        <w:instrText xml:space="preserve"> REF _Ref515106310 \r \h </w:instrText>
      </w:r>
      <w:r w:rsidR="003C63E7">
        <w:fldChar w:fldCharType="separate"/>
      </w:r>
      <w:r w:rsidR="002E5C6A">
        <w:t>27.6</w:t>
      </w:r>
      <w:r w:rsidR="003C63E7">
        <w:fldChar w:fldCharType="end"/>
      </w:r>
      <w:r>
        <w:t xml:space="preserve"> (“</w:t>
      </w:r>
      <w:r w:rsidR="003C63E7">
        <w:fldChar w:fldCharType="begin"/>
      </w:r>
      <w:r w:rsidR="003C63E7">
        <w:instrText xml:space="preserve"> REF _Ref515106310 \h </w:instrText>
      </w:r>
      <w:r w:rsidR="003C63E7">
        <w:fldChar w:fldCharType="separate"/>
      </w:r>
      <w:r w:rsidR="002E5C6A">
        <w:t>Independent Expert</w:t>
      </w:r>
      <w:r w:rsidR="003C63E7">
        <w:fldChar w:fldCharType="end"/>
      </w:r>
      <w:r>
        <w:t>”), provided that:</w:t>
      </w:r>
    </w:p>
    <w:p w14:paraId="0776A034" w14:textId="77777777" w:rsidR="0040000E" w:rsidRDefault="2C388DF0" w:rsidP="0058045D">
      <w:pPr>
        <w:pStyle w:val="Heading4"/>
      </w:pPr>
      <w:r>
        <w:t>the Independent Expert will be appointed by the CEO of the Resolution Institute (or their independent nominee);</w:t>
      </w:r>
    </w:p>
    <w:p w14:paraId="6CECA2A3" w14:textId="77777777" w:rsidR="00317226" w:rsidRDefault="2C388DF0" w:rsidP="0058045D">
      <w:pPr>
        <w:pStyle w:val="Heading4"/>
      </w:pPr>
      <w:r>
        <w:t xml:space="preserve">each Pooled Dispute Participant will be afforded equal treatment and equal opportunity to present its views and to reply to the comments and submissions presented by any other Pooled Dispute Participant; </w:t>
      </w:r>
    </w:p>
    <w:p w14:paraId="4D282673" w14:textId="77777777" w:rsidR="000A5CD2" w:rsidRDefault="2C388DF0" w:rsidP="0058045D">
      <w:pPr>
        <w:pStyle w:val="Heading4"/>
      </w:pPr>
      <w:r>
        <w:t>in the absence of fraud or manifest error, the parties agree that any decision or award made by an Independent Expert will be final and binding on all Pooled Dispute Participants; and</w:t>
      </w:r>
    </w:p>
    <w:p w14:paraId="1857DE86" w14:textId="77777777" w:rsidR="00B94923" w:rsidRDefault="2C388DF0" w:rsidP="0058045D">
      <w:pPr>
        <w:pStyle w:val="Heading4"/>
      </w:pPr>
      <w:r>
        <w:t>the costs of the Independent Expert will be borne equally between the Pooled Dispute Participants.</w:t>
      </w:r>
      <w:bookmarkEnd w:id="5067"/>
    </w:p>
    <w:p w14:paraId="7E007EDC" w14:textId="77777777" w:rsidR="00CA26FA" w:rsidRDefault="2BC382E4" w:rsidP="0058045D">
      <w:pPr>
        <w:pStyle w:val="Heading2"/>
      </w:pPr>
      <w:bookmarkStart w:id="5068" w:name="_Ref106271469"/>
      <w:bookmarkStart w:id="5069" w:name="_Toc207309716"/>
      <w:r>
        <w:t>Bilateral resolution</w:t>
      </w:r>
      <w:bookmarkEnd w:id="5068"/>
      <w:bookmarkEnd w:id="5069"/>
    </w:p>
    <w:p w14:paraId="740FC95C" w14:textId="461D10CA" w:rsidR="00C33A68" w:rsidRDefault="2C388DF0" w:rsidP="0058045D">
      <w:pPr>
        <w:pStyle w:val="Heading3"/>
      </w:pPr>
      <w:r>
        <w:t xml:space="preserve">If Project Operator and the Commonwealth bilaterally resolve a Pooled Dispute as it applies to this agreement, then clause </w:t>
      </w:r>
      <w:r w:rsidR="00FD01A3">
        <w:fldChar w:fldCharType="begin"/>
      </w:r>
      <w:r w:rsidR="00FD01A3">
        <w:instrText xml:space="preserve"> REF _Ref106220491 \r \h </w:instrText>
      </w:r>
      <w:r w:rsidR="00FD01A3">
        <w:fldChar w:fldCharType="separate"/>
      </w:r>
      <w:r w:rsidR="002E5C6A">
        <w:t>28.2</w:t>
      </w:r>
      <w:r w:rsidR="00FD01A3">
        <w:fldChar w:fldCharType="end"/>
      </w:r>
      <w:r>
        <w:t xml:space="preserve"> (“</w:t>
      </w:r>
      <w:r w:rsidR="00FD01A3">
        <w:fldChar w:fldCharType="begin"/>
      </w:r>
      <w:r w:rsidR="00FD01A3">
        <w:instrText xml:space="preserve"> REF _Ref106290715 \h </w:instrText>
      </w:r>
      <w:r w:rsidR="00FD01A3">
        <w:fldChar w:fldCharType="separate"/>
      </w:r>
      <w:r w:rsidR="002E5C6A">
        <w:t>Resolution by Pooled Dispute Panel</w:t>
      </w:r>
      <w:r w:rsidR="00FD01A3">
        <w:fldChar w:fldCharType="end"/>
      </w:r>
      <w:r>
        <w:t>”) will cease to apply and Project Operator will:</w:t>
      </w:r>
    </w:p>
    <w:p w14:paraId="1CACCFFA" w14:textId="77777777" w:rsidR="00C33A68" w:rsidRDefault="2C388DF0" w:rsidP="0058045D">
      <w:pPr>
        <w:pStyle w:val="Heading4"/>
      </w:pPr>
      <w:r>
        <w:t>cease to be a Pooled Dispute Participant in respect of that Pooled Dispute; and</w:t>
      </w:r>
    </w:p>
    <w:p w14:paraId="2CB35F8C" w14:textId="77777777" w:rsidR="00FD01A3" w:rsidRDefault="2C388DF0" w:rsidP="0058045D">
      <w:pPr>
        <w:pStyle w:val="Heading4"/>
      </w:pPr>
      <w:r>
        <w:t>not be required to participate in, and will not be bound by any resolution by, the Pooled Dispute Panel in respect of that Pooled Dispute.</w:t>
      </w:r>
    </w:p>
    <w:p w14:paraId="78653A66" w14:textId="77777777" w:rsidR="00C33A68" w:rsidRDefault="2C388DF0" w:rsidP="0058045D">
      <w:pPr>
        <w:pStyle w:val="Heading3"/>
      </w:pPr>
      <w:r>
        <w:t>If the Commonwealth notifies Project Operator that an Other CISA Counterparty has bilaterally resolved the Pooled Dispute with the Commonwealth, then that Other CISA Counterparty will cease to be a Pooled Dispute Participant.</w:t>
      </w:r>
    </w:p>
    <w:p w14:paraId="5E7E5244" w14:textId="77777777" w:rsidR="007347AB" w:rsidRDefault="2BC382E4" w:rsidP="0058045D">
      <w:pPr>
        <w:pStyle w:val="Heading1"/>
      </w:pPr>
      <w:bookmarkStart w:id="5070" w:name="_Toc522282869"/>
      <w:bookmarkStart w:id="5071" w:name="_Toc498077836"/>
      <w:bookmarkStart w:id="5072" w:name="_9kR3WTr343799BDUM4wpxrjzI0sijFE58OW"/>
      <w:bookmarkStart w:id="5073" w:name="_Ref489013720"/>
      <w:bookmarkStart w:id="5074" w:name="_Toc105074591"/>
      <w:bookmarkStart w:id="5075" w:name="_Toc107915724"/>
      <w:bookmarkStart w:id="5076" w:name="_Toc108000934"/>
      <w:bookmarkStart w:id="5077" w:name="_Ref151252097"/>
      <w:bookmarkStart w:id="5078" w:name="_Ref151298348"/>
      <w:bookmarkStart w:id="5079" w:name="_Ref153824219"/>
      <w:bookmarkStart w:id="5080" w:name="_Toc153945219"/>
      <w:bookmarkStart w:id="5081" w:name="_Ref159503769"/>
      <w:bookmarkStart w:id="5082" w:name="_Toc207309717"/>
      <w:r>
        <w:t>Intellectual Property</w:t>
      </w:r>
      <w:bookmarkEnd w:id="5070"/>
      <w:bookmarkEnd w:id="5071"/>
      <w:bookmarkEnd w:id="5072"/>
      <w:bookmarkEnd w:id="5073"/>
      <w:bookmarkEnd w:id="5074"/>
      <w:bookmarkEnd w:id="5075"/>
      <w:bookmarkEnd w:id="5076"/>
      <w:bookmarkEnd w:id="5077"/>
      <w:bookmarkEnd w:id="5078"/>
      <w:bookmarkEnd w:id="5079"/>
      <w:bookmarkEnd w:id="5080"/>
      <w:bookmarkEnd w:id="5081"/>
      <w:bookmarkEnd w:id="5082"/>
      <w:r>
        <w:t xml:space="preserve"> </w:t>
      </w:r>
    </w:p>
    <w:p w14:paraId="2F26D43E" w14:textId="77777777" w:rsidR="007347AB" w:rsidRDefault="2C388DF0" w:rsidP="0058045D">
      <w:pPr>
        <w:pStyle w:val="Heading2"/>
      </w:pPr>
      <w:bookmarkStart w:id="5083" w:name="_Toc522282870"/>
      <w:bookmarkStart w:id="5084" w:name="_Toc498077837"/>
      <w:bookmarkStart w:id="5085" w:name="_Toc434859572"/>
      <w:bookmarkStart w:id="5086" w:name="_Toc105074592"/>
      <w:bookmarkStart w:id="5087" w:name="_Toc107915725"/>
      <w:bookmarkStart w:id="5088" w:name="_Toc108000935"/>
      <w:bookmarkStart w:id="5089" w:name="_Toc153945220"/>
      <w:bookmarkStart w:id="5090" w:name="_Toc207309718"/>
      <w:r>
        <w:t>Project Intellectual Property</w:t>
      </w:r>
      <w:bookmarkEnd w:id="5083"/>
      <w:bookmarkEnd w:id="5084"/>
      <w:bookmarkEnd w:id="5085"/>
      <w:bookmarkEnd w:id="5086"/>
      <w:bookmarkEnd w:id="5087"/>
      <w:bookmarkEnd w:id="5088"/>
      <w:bookmarkEnd w:id="5089"/>
      <w:bookmarkEnd w:id="5090"/>
    </w:p>
    <w:p w14:paraId="7FA92AAF" w14:textId="3F24FA6F" w:rsidR="007347AB" w:rsidRDefault="007347AB" w:rsidP="00710085">
      <w:pPr>
        <w:pStyle w:val="Indent2"/>
      </w:pPr>
      <w:r>
        <w:t xml:space="preserve">As between </w:t>
      </w:r>
      <w:r w:rsidR="00710085">
        <w:t>Project Operator</w:t>
      </w:r>
      <w:r>
        <w:t xml:space="preserve"> and the Commonwealth, all Project Intellectual Property </w:t>
      </w:r>
      <w:r w:rsidRPr="00847C21">
        <w:t>vests in</w:t>
      </w:r>
      <w:r w:rsidR="000722B0" w:rsidRPr="00847C21">
        <w:t xml:space="preserve"> </w:t>
      </w:r>
      <w:r w:rsidR="000722B0" w:rsidRPr="008F660B">
        <w:t>and is automatically owned by</w:t>
      </w:r>
      <w:r w:rsidRPr="00847C21">
        <w:t xml:space="preserve"> </w:t>
      </w:r>
      <w:r w:rsidR="00710085" w:rsidRPr="00847C21">
        <w:t>Project</w:t>
      </w:r>
      <w:r w:rsidR="00710085">
        <w:t xml:space="preserve"> Operator</w:t>
      </w:r>
      <w:r>
        <w:t xml:space="preserve"> upon </w:t>
      </w:r>
      <w:r w:rsidR="000722B0">
        <w:t xml:space="preserve">its </w:t>
      </w:r>
      <w:r>
        <w:t xml:space="preserve">creation. </w:t>
      </w:r>
    </w:p>
    <w:p w14:paraId="17D76573" w14:textId="77777777" w:rsidR="007347AB" w:rsidRDefault="2C388DF0" w:rsidP="0058045D">
      <w:pPr>
        <w:pStyle w:val="Heading2"/>
      </w:pPr>
      <w:bookmarkStart w:id="5091" w:name="_Toc522282871"/>
      <w:bookmarkStart w:id="5092" w:name="_Toc498077838"/>
      <w:bookmarkStart w:id="5093" w:name="_9kR3WTr3437B99DEXLjgsrjwydi1puyzzveWAFE"/>
      <w:bookmarkStart w:id="5094" w:name="_Ref489017330"/>
      <w:bookmarkStart w:id="5095" w:name="_Ref489017328"/>
      <w:bookmarkStart w:id="5096" w:name="_Toc434859573"/>
      <w:bookmarkStart w:id="5097" w:name="_Toc105074593"/>
      <w:bookmarkStart w:id="5098" w:name="_Toc107915726"/>
      <w:bookmarkStart w:id="5099" w:name="_Toc108000936"/>
      <w:bookmarkStart w:id="5100" w:name="_Toc153945221"/>
      <w:bookmarkStart w:id="5101" w:name="_Ref159422086"/>
      <w:bookmarkStart w:id="5102" w:name="_Ref172200123"/>
      <w:bookmarkStart w:id="5103" w:name="_Ref179273514"/>
      <w:bookmarkStart w:id="5104" w:name="_Ref179273525"/>
      <w:bookmarkStart w:id="5105" w:name="_Toc207309719"/>
      <w:r>
        <w:t>Licence of Specified Material</w:t>
      </w:r>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p>
    <w:p w14:paraId="3D5BB994" w14:textId="639343E8" w:rsidR="007347AB" w:rsidRDefault="2C388DF0" w:rsidP="0058045D">
      <w:pPr>
        <w:pStyle w:val="Heading3"/>
      </w:pPr>
      <w:bookmarkStart w:id="5106" w:name="_Ref164691385"/>
      <w:r>
        <w:t xml:space="preserve">Subject to paragraph </w:t>
      </w:r>
      <w:r w:rsidR="009F696C">
        <w:fldChar w:fldCharType="begin"/>
      </w:r>
      <w:r w:rsidR="009F696C">
        <w:instrText xml:space="preserve"> REF _Ref164691299 \n \h </w:instrText>
      </w:r>
      <w:r w:rsidR="009F696C">
        <w:fldChar w:fldCharType="separate"/>
      </w:r>
      <w:r w:rsidR="002E5C6A">
        <w:t>(b)</w:t>
      </w:r>
      <w:r w:rsidR="009F696C">
        <w:fldChar w:fldCharType="end"/>
      </w:r>
      <w:r>
        <w:t xml:space="preserve"> and clause </w:t>
      </w:r>
      <w:r w:rsidR="009F696C">
        <w:fldChar w:fldCharType="begin"/>
      </w:r>
      <w:r w:rsidR="009F696C">
        <w:instrText xml:space="preserve"> REF _Ref492506863 \w \h </w:instrText>
      </w:r>
      <w:r w:rsidR="009F696C">
        <w:fldChar w:fldCharType="separate"/>
      </w:r>
      <w:r w:rsidR="002E5C6A">
        <w:t>31</w:t>
      </w:r>
      <w:r w:rsidR="009F696C">
        <w:fldChar w:fldCharType="end"/>
      </w:r>
      <w:r>
        <w:t xml:space="preserve"> (“</w:t>
      </w:r>
      <w:r w:rsidR="009F696C">
        <w:fldChar w:fldCharType="begin"/>
      </w:r>
      <w:r w:rsidR="009F696C">
        <w:instrText xml:space="preserve">  REF _Ref492506863 \h </w:instrText>
      </w:r>
      <w:r w:rsidR="009F696C">
        <w:fldChar w:fldCharType="separate"/>
      </w:r>
      <w:r w:rsidR="002E5C6A">
        <w:t>Confidentiality</w:t>
      </w:r>
      <w:r w:rsidR="009F696C">
        <w:fldChar w:fldCharType="end"/>
      </w:r>
      <w:r>
        <w:t>”), Project Operator grants to the Commonwealth a permanent, irrevocable, royalty</w:t>
      </w:r>
      <w:r w:rsidR="005924EA">
        <w:t xml:space="preserve"> </w:t>
      </w:r>
      <w:r>
        <w:t>free, worldwide, nonexclusive, transferrable licence (including a right to sublicense) to use, copy and otherwise do any acts in relation to Specified Material for non</w:t>
      </w:r>
      <w:r w:rsidR="005924EA">
        <w:t>-</w:t>
      </w:r>
      <w:r>
        <w:t>commercial purposes and for purposes only connected to this agreement and the Commonwealth’s Capacity Investment Scheme including the future design of that scheme</w:t>
      </w:r>
      <w:r w:rsidR="0028493B">
        <w:t xml:space="preserve"> and purposes for which the release of </w:t>
      </w:r>
      <w:r w:rsidR="005B60E4">
        <w:t>c</w:t>
      </w:r>
      <w:r w:rsidR="0028493B">
        <w:t xml:space="preserve">onfidential </w:t>
      </w:r>
      <w:r w:rsidR="005B60E4">
        <w:t>i</w:t>
      </w:r>
      <w:r w:rsidR="0028493B">
        <w:t xml:space="preserve">nformation is permitted by clause </w:t>
      </w:r>
      <w:r w:rsidR="0028493B">
        <w:fldChar w:fldCharType="begin"/>
      </w:r>
      <w:r w:rsidR="0028493B">
        <w:instrText xml:space="preserve"> REF _Ref492506863 \w \h </w:instrText>
      </w:r>
      <w:r w:rsidR="0028493B">
        <w:fldChar w:fldCharType="separate"/>
      </w:r>
      <w:r w:rsidR="002E5C6A">
        <w:t>31</w:t>
      </w:r>
      <w:r w:rsidR="0028493B">
        <w:fldChar w:fldCharType="end"/>
      </w:r>
      <w:r w:rsidR="0028493B">
        <w:t xml:space="preserve"> (“</w:t>
      </w:r>
      <w:r w:rsidR="0028493B">
        <w:fldChar w:fldCharType="begin"/>
      </w:r>
      <w:r w:rsidR="0028493B">
        <w:instrText xml:space="preserve">  REF _Ref492506863 \h </w:instrText>
      </w:r>
      <w:r w:rsidR="0028493B">
        <w:fldChar w:fldCharType="separate"/>
      </w:r>
      <w:r w:rsidR="002E5C6A">
        <w:t>Confidentiality</w:t>
      </w:r>
      <w:r w:rsidR="0028493B">
        <w:fldChar w:fldCharType="end"/>
      </w:r>
      <w:r w:rsidR="0028493B">
        <w:t>”)</w:t>
      </w:r>
      <w:r>
        <w:t>.</w:t>
      </w:r>
      <w:bookmarkEnd w:id="5106"/>
    </w:p>
    <w:p w14:paraId="02EB4394" w14:textId="75C7FFCE" w:rsidR="009F696C" w:rsidRDefault="2C388DF0" w:rsidP="0058045D">
      <w:pPr>
        <w:pStyle w:val="Heading3"/>
      </w:pPr>
      <w:bookmarkStart w:id="5107" w:name="_Ref164691299"/>
      <w:r>
        <w:t xml:space="preserve">Project Operator must obtain a licence of any material contained in the Specified Material in respect of which the </w:t>
      </w:r>
      <w:r w:rsidR="008F4CFC">
        <w:t>In</w:t>
      </w:r>
      <w:r>
        <w:t xml:space="preserve">tellectual </w:t>
      </w:r>
      <w:r w:rsidR="008F4CFC">
        <w:t>P</w:t>
      </w:r>
      <w:r>
        <w:t>roperty rights are owned by a person other than the Commonwealth, Project Operator or any Related Body Corporate of Project</w:t>
      </w:r>
      <w:r w:rsidR="000722B0">
        <w:t xml:space="preserve"> Operator</w:t>
      </w:r>
      <w:r>
        <w:t xml:space="preserve"> that enables Project Operator to grant to the Commonwealth the licence required by paragraph </w:t>
      </w:r>
      <w:r w:rsidR="009F696C">
        <w:fldChar w:fldCharType="begin"/>
      </w:r>
      <w:r w:rsidR="009F696C">
        <w:instrText xml:space="preserve"> REF _Ref164691385 \n \h </w:instrText>
      </w:r>
      <w:r w:rsidR="009F696C">
        <w:fldChar w:fldCharType="separate"/>
      </w:r>
      <w:r w:rsidR="002E5C6A">
        <w:t>(a)</w:t>
      </w:r>
      <w:r w:rsidR="009F696C">
        <w:fldChar w:fldCharType="end"/>
      </w:r>
      <w:r>
        <w:t xml:space="preserve">. </w:t>
      </w:r>
    </w:p>
    <w:p w14:paraId="168C2BF5" w14:textId="77777777" w:rsidR="007347AB" w:rsidRDefault="2C388DF0" w:rsidP="0058045D">
      <w:pPr>
        <w:pStyle w:val="Heading2"/>
      </w:pPr>
      <w:bookmarkStart w:id="5108" w:name="_Toc522282872"/>
      <w:bookmarkStart w:id="5109" w:name="_Toc498077839"/>
      <w:bookmarkStart w:id="5110" w:name="_9kMHG5YVt4667FGWR3qldVrr5H"/>
      <w:bookmarkStart w:id="5111" w:name="_Toc434859574"/>
      <w:bookmarkStart w:id="5112" w:name="_Toc74675824"/>
      <w:bookmarkStart w:id="5113" w:name="_Toc105074594"/>
      <w:bookmarkStart w:id="5114" w:name="_Toc107915727"/>
      <w:bookmarkStart w:id="5115" w:name="_Toc108000937"/>
      <w:bookmarkStart w:id="5116" w:name="_Toc153945222"/>
      <w:bookmarkStart w:id="5117" w:name="_Ref165041654"/>
      <w:bookmarkStart w:id="5118" w:name="_Toc207309720"/>
      <w:bookmarkEnd w:id="5107"/>
      <w:r>
        <w:t>Moral rights</w:t>
      </w:r>
      <w:bookmarkEnd w:id="5108"/>
      <w:bookmarkEnd w:id="5109"/>
      <w:bookmarkEnd w:id="5110"/>
      <w:bookmarkEnd w:id="5111"/>
      <w:bookmarkEnd w:id="5112"/>
      <w:bookmarkEnd w:id="5113"/>
      <w:bookmarkEnd w:id="5114"/>
      <w:bookmarkEnd w:id="5115"/>
      <w:bookmarkEnd w:id="5116"/>
      <w:bookmarkEnd w:id="5117"/>
      <w:bookmarkEnd w:id="5118"/>
      <w:r>
        <w:t xml:space="preserve"> </w:t>
      </w:r>
    </w:p>
    <w:p w14:paraId="1A7F0969" w14:textId="3F7CD9F2" w:rsidR="007347AB" w:rsidRDefault="007347AB" w:rsidP="00A21C6D">
      <w:pPr>
        <w:pStyle w:val="Indent2"/>
      </w:pPr>
      <w:r>
        <w:t>If any Specified Material that is a copyright work contains information over which a</w:t>
      </w:r>
      <w:r w:rsidR="000722B0">
        <w:t xml:space="preserve"> person </w:t>
      </w:r>
      <w:r>
        <w:t xml:space="preserve">(including </w:t>
      </w:r>
      <w:r w:rsidR="000722B0">
        <w:t xml:space="preserve">an officer or employee of </w:t>
      </w:r>
      <w:r w:rsidR="00A21C6D">
        <w:t>Project Operator</w:t>
      </w:r>
      <w:r w:rsidR="000722B0">
        <w:t xml:space="preserve"> or its</w:t>
      </w:r>
      <w:r w:rsidR="00A21C6D" w:rsidRPr="00F75565">
        <w:t xml:space="preserve"> </w:t>
      </w:r>
      <w:r w:rsidR="009C7B3B">
        <w:t>S</w:t>
      </w:r>
      <w:r w:rsidR="00A21C6D" w:rsidRPr="00F75565">
        <w:t>ubcontractors or agents</w:t>
      </w:r>
      <w:r>
        <w:t xml:space="preserve">) has </w:t>
      </w:r>
      <w:bookmarkStart w:id="5119" w:name="_9kR3WTr2445DEUP1ojbTpp3F"/>
      <w:bookmarkStart w:id="5120" w:name="_9kR3WTr1AB566TP1ojbTpp3F"/>
      <w:r>
        <w:t>Moral Rights</w:t>
      </w:r>
      <w:bookmarkEnd w:id="5119"/>
      <w:bookmarkEnd w:id="5120"/>
      <w:r>
        <w:t xml:space="preserve">, </w:t>
      </w:r>
      <w:r w:rsidR="00A21C6D">
        <w:t xml:space="preserve">then </w:t>
      </w:r>
      <w:r w:rsidR="00710085">
        <w:t>Project Operator</w:t>
      </w:r>
      <w:r>
        <w:t xml:space="preserve"> must ensure that it has in place all necessary consents sufficient to allow the Commonwealth to deal with the Specified Material in accordance with </w:t>
      </w:r>
      <w:r w:rsidR="0028493B">
        <w:t xml:space="preserve">the licence granted in clause </w:t>
      </w:r>
      <w:r w:rsidR="0028493B">
        <w:fldChar w:fldCharType="begin"/>
      </w:r>
      <w:r w:rsidR="0028493B">
        <w:instrText xml:space="preserve"> REF _Ref172200123 \r \h </w:instrText>
      </w:r>
      <w:r w:rsidR="0028493B">
        <w:fldChar w:fldCharType="separate"/>
      </w:r>
      <w:r w:rsidR="002E5C6A">
        <w:t>29.2</w:t>
      </w:r>
      <w:r w:rsidR="0028493B">
        <w:fldChar w:fldCharType="end"/>
      </w:r>
      <w:r w:rsidR="0028493B">
        <w:t xml:space="preserve"> (“</w:t>
      </w:r>
      <w:r w:rsidR="0028493B">
        <w:fldChar w:fldCharType="begin"/>
      </w:r>
      <w:r w:rsidR="0028493B">
        <w:instrText xml:space="preserve">  REF _Ref159422086 \h </w:instrText>
      </w:r>
      <w:r w:rsidR="0028493B">
        <w:fldChar w:fldCharType="separate"/>
      </w:r>
      <w:r w:rsidR="002E5C6A">
        <w:t>Licence of Specified Material</w:t>
      </w:r>
      <w:r w:rsidR="0028493B">
        <w:fldChar w:fldCharType="end"/>
      </w:r>
      <w:r w:rsidR="0028493B">
        <w:t xml:space="preserve">”) and </w:t>
      </w:r>
      <w:r>
        <w:t>any Project Document.</w:t>
      </w:r>
    </w:p>
    <w:p w14:paraId="1698BC7E" w14:textId="77777777" w:rsidR="007347AB" w:rsidRDefault="2C388DF0" w:rsidP="0058045D">
      <w:pPr>
        <w:pStyle w:val="Heading2"/>
      </w:pPr>
      <w:bookmarkStart w:id="5121" w:name="_Toc522282873"/>
      <w:bookmarkStart w:id="5122" w:name="_Toc498077840"/>
      <w:bookmarkStart w:id="5123" w:name="_9kR3WTr3437BAADGkOq8sp95r2"/>
      <w:bookmarkStart w:id="5124" w:name="_Ref489017329"/>
      <w:bookmarkStart w:id="5125" w:name="_Toc434859575"/>
      <w:bookmarkStart w:id="5126" w:name="_Toc74675825"/>
      <w:bookmarkStart w:id="5127" w:name="_Toc105074595"/>
      <w:bookmarkStart w:id="5128" w:name="_Toc107915728"/>
      <w:bookmarkStart w:id="5129" w:name="_Toc108000938"/>
      <w:bookmarkStart w:id="5130" w:name="_Ref136538839"/>
      <w:bookmarkStart w:id="5131" w:name="_Ref153824518"/>
      <w:bookmarkStart w:id="5132" w:name="_Toc153945223"/>
      <w:bookmarkStart w:id="5133" w:name="_Ref159422191"/>
      <w:bookmarkStart w:id="5134" w:name="_Toc207309721"/>
      <w:r>
        <w:t>Warranties</w:t>
      </w:r>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p>
    <w:p w14:paraId="7C83DBDA" w14:textId="77777777" w:rsidR="007347AB" w:rsidRDefault="00710085" w:rsidP="00A21C6D">
      <w:pPr>
        <w:pStyle w:val="Indent2"/>
      </w:pPr>
      <w:r>
        <w:t>Project Operator</w:t>
      </w:r>
      <w:r w:rsidR="007347AB">
        <w:t xml:space="preserve"> warrants that:</w:t>
      </w:r>
    </w:p>
    <w:p w14:paraId="69962F3B" w14:textId="5551AAA3" w:rsidR="007347AB" w:rsidRDefault="00C16348" w:rsidP="0058045D">
      <w:pPr>
        <w:pStyle w:val="Heading3"/>
      </w:pPr>
      <w:bookmarkStart w:id="5135" w:name="_Ref205751706"/>
      <w:bookmarkStart w:id="5136" w:name="_Ref497476026"/>
      <w:r>
        <w:t>i</w:t>
      </w:r>
      <w:r w:rsidR="2C388DF0">
        <w:t xml:space="preserve">t is entitled to use for the </w:t>
      </w:r>
      <w:r w:rsidR="00D069CD">
        <w:t>Project [</w:t>
      </w:r>
      <w:r w:rsidR="00C35226">
        <w:t xml:space="preserve">and the </w:t>
      </w:r>
      <w:r>
        <w:t>[</w:t>
      </w:r>
      <w:r w:rsidR="00C35226">
        <w:t>Associated</w:t>
      </w:r>
      <w:r>
        <w:t>/Existing]</w:t>
      </w:r>
      <w:r w:rsidR="00C35226">
        <w:t xml:space="preserve"> Project]</w:t>
      </w:r>
      <w:r w:rsidR="0028493B">
        <w:t>,</w:t>
      </w:r>
      <w:r w:rsidR="2C388DF0">
        <w:t xml:space="preserve"> and for the purposes of meeting its obligations under any Project Document:</w:t>
      </w:r>
      <w:r w:rsidR="00C35226">
        <w:t xml:space="preserve"> [</w:t>
      </w:r>
      <w:r w:rsidR="00C35226" w:rsidRPr="004D3942">
        <w:rPr>
          <w:b/>
          <w:bCs/>
          <w:i/>
          <w:iCs/>
          <w:highlight w:val="lightGray"/>
        </w:rPr>
        <w:t xml:space="preserve">Note: </w:t>
      </w:r>
      <w:r w:rsidR="000722B0">
        <w:rPr>
          <w:b/>
          <w:bCs/>
          <w:i/>
          <w:iCs/>
          <w:highlight w:val="lightGray"/>
        </w:rPr>
        <w:t xml:space="preserve">the </w:t>
      </w:r>
      <w:r w:rsidR="00C35226">
        <w:rPr>
          <w:b/>
          <w:bCs/>
          <w:i/>
          <w:iCs/>
          <w:highlight w:val="lightGray"/>
        </w:rPr>
        <w:t xml:space="preserve">words in square brackets </w:t>
      </w:r>
      <w:r w:rsidR="000722B0">
        <w:rPr>
          <w:b/>
          <w:bCs/>
          <w:i/>
          <w:iCs/>
          <w:highlight w:val="lightGray"/>
        </w:rPr>
        <w:t xml:space="preserve">are </w:t>
      </w:r>
      <w:r w:rsidR="00C35226">
        <w:rPr>
          <w:b/>
          <w:bCs/>
          <w:i/>
          <w:iCs/>
          <w:highlight w:val="lightGray"/>
        </w:rPr>
        <w:t xml:space="preserve">to be included </w:t>
      </w:r>
      <w:r w:rsidR="00C35226" w:rsidRPr="004D3942">
        <w:rPr>
          <w:b/>
          <w:bCs/>
          <w:i/>
          <w:iCs/>
          <w:highlight w:val="lightGray"/>
        </w:rPr>
        <w:t>for all Hybrid Projects</w:t>
      </w:r>
      <w:r>
        <w:rPr>
          <w:b/>
          <w:bCs/>
          <w:i/>
          <w:iCs/>
          <w:highlight w:val="lightGray"/>
        </w:rPr>
        <w:t xml:space="preserve"> and Staged Projects (as applicable)</w:t>
      </w:r>
      <w:r w:rsidR="00C35226" w:rsidRPr="004D3942">
        <w:rPr>
          <w:b/>
          <w:bCs/>
          <w:i/>
          <w:iCs/>
          <w:highlight w:val="lightGray"/>
        </w:rPr>
        <w:t>.</w:t>
      </w:r>
      <w:r w:rsidR="00C35226">
        <w:t>]</w:t>
      </w:r>
      <w:bookmarkEnd w:id="5135"/>
      <w:r w:rsidR="2C388DF0">
        <w:t xml:space="preserve"> </w:t>
      </w:r>
    </w:p>
    <w:p w14:paraId="419EE025" w14:textId="77777777" w:rsidR="007347AB" w:rsidRPr="00633D9B" w:rsidRDefault="2C388DF0" w:rsidP="0058045D">
      <w:pPr>
        <w:pStyle w:val="Heading4"/>
      </w:pPr>
      <w:r>
        <w:t>all Background Intellectual Property and Project Intellectual Property; and</w:t>
      </w:r>
    </w:p>
    <w:p w14:paraId="0709D2FF" w14:textId="77777777" w:rsidR="007347AB" w:rsidRPr="00633D9B" w:rsidRDefault="2C388DF0" w:rsidP="0058045D">
      <w:pPr>
        <w:pStyle w:val="Heading4"/>
      </w:pPr>
      <w:r>
        <w:t xml:space="preserve">all Specified Material, </w:t>
      </w:r>
    </w:p>
    <w:p w14:paraId="1EF0352A" w14:textId="77777777" w:rsidR="007347AB" w:rsidRDefault="007347AB" w:rsidP="0058045D">
      <w:pPr>
        <w:pStyle w:val="Heading3"/>
        <w:numPr>
          <w:ilvl w:val="0"/>
          <w:numId w:val="0"/>
        </w:numPr>
        <w:ind w:left="1474"/>
      </w:pPr>
      <w:r w:rsidRPr="00633D9B">
        <w:t xml:space="preserve">(together, </w:t>
      </w:r>
      <w:r w:rsidR="00A21C6D" w:rsidRPr="00A21C6D">
        <w:t>“</w:t>
      </w:r>
      <w:r w:rsidRPr="00633D9B">
        <w:rPr>
          <w:b/>
        </w:rPr>
        <w:t>Warranted Materials</w:t>
      </w:r>
      <w:r w:rsidR="00A21C6D" w:rsidRPr="00A21C6D">
        <w:rPr>
          <w:bCs/>
        </w:rPr>
        <w:t>”</w:t>
      </w:r>
      <w:r w:rsidRPr="00633D9B">
        <w:t>); and</w:t>
      </w:r>
      <w:bookmarkEnd w:id="5136"/>
    </w:p>
    <w:p w14:paraId="00344C67" w14:textId="0AD02B03" w:rsidR="00910C26" w:rsidRDefault="2C388DF0" w:rsidP="0058045D">
      <w:pPr>
        <w:pStyle w:val="Heading3"/>
      </w:pPr>
      <w:r>
        <w:t>it has the right to grant the licence in clause </w:t>
      </w:r>
      <w:r w:rsidR="007347AB">
        <w:fldChar w:fldCharType="begin"/>
      </w:r>
      <w:r w:rsidR="007347AB">
        <w:instrText xml:space="preserve"> REF _Ref159422086 \w \h </w:instrText>
      </w:r>
      <w:r w:rsidR="007347AB">
        <w:fldChar w:fldCharType="separate"/>
      </w:r>
      <w:r w:rsidR="002E5C6A">
        <w:t>29.2</w:t>
      </w:r>
      <w:r w:rsidR="007347AB">
        <w:fldChar w:fldCharType="end"/>
      </w:r>
      <w:r>
        <w:t xml:space="preserve"> (“</w:t>
      </w:r>
      <w:r w:rsidR="007347AB">
        <w:fldChar w:fldCharType="begin"/>
      </w:r>
      <w:r w:rsidR="007347AB">
        <w:instrText xml:space="preserve">  REF _Ref159422086 \h </w:instrText>
      </w:r>
      <w:r w:rsidR="007347AB">
        <w:fldChar w:fldCharType="separate"/>
      </w:r>
      <w:r w:rsidR="002E5C6A">
        <w:t>Licence of Specified Material</w:t>
      </w:r>
      <w:r w:rsidR="007347AB">
        <w:fldChar w:fldCharType="end"/>
      </w:r>
      <w:r>
        <w:t xml:space="preserve">”); and </w:t>
      </w:r>
    </w:p>
    <w:p w14:paraId="7163AB1C" w14:textId="6FEBE9EA" w:rsidR="007347AB" w:rsidRDefault="2C388DF0" w:rsidP="0058045D">
      <w:pPr>
        <w:pStyle w:val="Heading3"/>
      </w:pPr>
      <w:r>
        <w:t xml:space="preserve">it will obtain the consents referred to in clause </w:t>
      </w:r>
      <w:r w:rsidR="00910C26">
        <w:fldChar w:fldCharType="begin"/>
      </w:r>
      <w:r w:rsidR="00910C26">
        <w:instrText xml:space="preserve"> REF _Ref165041654 \w \h </w:instrText>
      </w:r>
      <w:r w:rsidR="00910C26">
        <w:fldChar w:fldCharType="separate"/>
      </w:r>
      <w:r w:rsidR="002E5C6A">
        <w:t>29.3</w:t>
      </w:r>
      <w:r w:rsidR="00910C26">
        <w:fldChar w:fldCharType="end"/>
      </w:r>
      <w:r>
        <w:t xml:space="preserve"> (“</w:t>
      </w:r>
      <w:r w:rsidR="00910C26">
        <w:fldChar w:fldCharType="begin"/>
      </w:r>
      <w:r w:rsidR="00910C26">
        <w:instrText xml:space="preserve">  REF _Ref165041654 \h </w:instrText>
      </w:r>
      <w:r w:rsidR="00910C26">
        <w:fldChar w:fldCharType="separate"/>
      </w:r>
      <w:r w:rsidR="002E5C6A">
        <w:t>Moral rights</w:t>
      </w:r>
      <w:r w:rsidR="00910C26">
        <w:fldChar w:fldCharType="end"/>
      </w:r>
      <w:r>
        <w:t>”).</w:t>
      </w:r>
    </w:p>
    <w:p w14:paraId="17A84B02" w14:textId="77777777" w:rsidR="007347AB" w:rsidRDefault="2C388DF0" w:rsidP="0058045D">
      <w:pPr>
        <w:pStyle w:val="Heading2"/>
      </w:pPr>
      <w:bookmarkStart w:id="5137" w:name="_Ref153824297"/>
      <w:bookmarkStart w:id="5138" w:name="_Toc153945224"/>
      <w:bookmarkStart w:id="5139" w:name="_Toc207309722"/>
      <w:bookmarkStart w:id="5140" w:name="_Toc522282874"/>
      <w:bookmarkStart w:id="5141" w:name="_Toc498077841"/>
      <w:bookmarkStart w:id="5142" w:name="_Toc434859576"/>
      <w:bookmarkStart w:id="5143" w:name="_Toc74675826"/>
      <w:bookmarkStart w:id="5144" w:name="_Toc105074596"/>
      <w:bookmarkStart w:id="5145" w:name="_Toc107915729"/>
      <w:bookmarkStart w:id="5146" w:name="_Toc108000939"/>
      <w:r>
        <w:t>Intellectual Property indemnity</w:t>
      </w:r>
      <w:bookmarkEnd w:id="5137"/>
      <w:bookmarkEnd w:id="5138"/>
      <w:bookmarkEnd w:id="5139"/>
      <w:r>
        <w:t xml:space="preserve"> </w:t>
      </w:r>
    </w:p>
    <w:p w14:paraId="2E525AED" w14:textId="1FD2E036" w:rsidR="007347AB" w:rsidRDefault="2C388DF0" w:rsidP="0058045D">
      <w:pPr>
        <w:pStyle w:val="Heading3"/>
      </w:pPr>
      <w:bookmarkStart w:id="5147" w:name="_Ref205750703"/>
      <w:r>
        <w:t xml:space="preserve">Project Operator indemnifies (and must keep indemnified) the Commonwealth, its officers, employees, subcontractors </w:t>
      </w:r>
      <w:r w:rsidR="0029324A">
        <w:t xml:space="preserve">and </w:t>
      </w:r>
      <w:r>
        <w:t xml:space="preserve">agents (and </w:t>
      </w:r>
      <w:r w:rsidR="0029324A">
        <w:t xml:space="preserve">the Commonwealth’s </w:t>
      </w:r>
      <w:r>
        <w:t>licensees or sub-licensees of any Intellectual Property</w:t>
      </w:r>
      <w:r w:rsidR="0029324A">
        <w:t xml:space="preserve"> assigned or licensed by Project Operator pursuant to this agreement</w:t>
      </w:r>
      <w:r>
        <w:t>) (</w:t>
      </w:r>
      <w:r w:rsidR="0029324A">
        <w:t xml:space="preserve">each an </w:t>
      </w:r>
      <w:r>
        <w:t>“</w:t>
      </w:r>
      <w:r w:rsidRPr="2C388DF0">
        <w:rPr>
          <w:b/>
          <w:bCs/>
        </w:rPr>
        <w:t>Indemnified Party</w:t>
      </w:r>
      <w:r>
        <w:t xml:space="preserve">”) against any </w:t>
      </w:r>
      <w:r w:rsidR="0029324A">
        <w:t>Loss sustained, or</w:t>
      </w:r>
      <w:r>
        <w:t xml:space="preserve">, licence fee or royalty </w:t>
      </w:r>
      <w:r w:rsidR="0029324A">
        <w:t xml:space="preserve">payable, </w:t>
      </w:r>
      <w:r>
        <w:t xml:space="preserve">by an Indemnified Party </w:t>
      </w:r>
      <w:r w:rsidR="0029324A">
        <w:t>due to</w:t>
      </w:r>
      <w:r>
        <w:t>:</w:t>
      </w:r>
      <w:bookmarkEnd w:id="5147"/>
    </w:p>
    <w:p w14:paraId="28770FB7" w14:textId="7B98BDAD" w:rsidR="007347AB" w:rsidRDefault="2C388DF0" w:rsidP="0058045D">
      <w:pPr>
        <w:pStyle w:val="Heading4"/>
      </w:pPr>
      <w:r>
        <w:t>any Claim brought by any third party in respect of any infringement or alleged infringement of that third party’s Intellectual Property</w:t>
      </w:r>
      <w:r w:rsidR="0029324A">
        <w:t xml:space="preserve"> rights</w:t>
      </w:r>
      <w:r>
        <w:t xml:space="preserve">, Moral Rights or any other rights, when the infringement or alleged infringement arises out of any activity permitted under any licence or sublicence granted or referred to in this clause </w:t>
      </w:r>
      <w:r w:rsidR="007347AB">
        <w:fldChar w:fldCharType="begin"/>
      </w:r>
      <w:r w:rsidR="007347AB">
        <w:instrText xml:space="preserve"> REF _Ref153824219 \w \h </w:instrText>
      </w:r>
      <w:r w:rsidR="007347AB">
        <w:fldChar w:fldCharType="separate"/>
      </w:r>
      <w:r w:rsidR="002E5C6A">
        <w:t>29</w:t>
      </w:r>
      <w:r w:rsidR="007347AB">
        <w:fldChar w:fldCharType="end"/>
      </w:r>
      <w:r>
        <w:t xml:space="preserve"> or otherwise under this agreement; or </w:t>
      </w:r>
    </w:p>
    <w:p w14:paraId="7AA29C3E" w14:textId="7EC58506" w:rsidR="007347AB" w:rsidRDefault="2C388DF0" w:rsidP="0058045D">
      <w:pPr>
        <w:pStyle w:val="Heading4"/>
      </w:pPr>
      <w:bookmarkStart w:id="5148" w:name="_Ref179273639"/>
      <w:r>
        <w:t xml:space="preserve">any breach of clause </w:t>
      </w:r>
      <w:r w:rsidR="007347AB">
        <w:fldChar w:fldCharType="begin"/>
      </w:r>
      <w:r w:rsidR="007347AB">
        <w:instrText xml:space="preserve"> REF _Ref153824518 \w \h </w:instrText>
      </w:r>
      <w:r w:rsidR="007347AB">
        <w:fldChar w:fldCharType="separate"/>
      </w:r>
      <w:r w:rsidR="002E5C6A">
        <w:t>29.4</w:t>
      </w:r>
      <w:r w:rsidR="007347AB">
        <w:fldChar w:fldCharType="end"/>
      </w:r>
      <w:r>
        <w:t xml:space="preserve"> (“</w:t>
      </w:r>
      <w:r w:rsidR="007347AB">
        <w:fldChar w:fldCharType="begin"/>
      </w:r>
      <w:r w:rsidR="007347AB">
        <w:instrText xml:space="preserve">  REF _Ref159422191 \h </w:instrText>
      </w:r>
      <w:r w:rsidR="007347AB">
        <w:fldChar w:fldCharType="separate"/>
      </w:r>
      <w:r w:rsidR="002E5C6A">
        <w:t>Warranties</w:t>
      </w:r>
      <w:r w:rsidR="007347AB">
        <w:fldChar w:fldCharType="end"/>
      </w:r>
      <w:r>
        <w:t>”).</w:t>
      </w:r>
      <w:bookmarkEnd w:id="5148"/>
      <w:r>
        <w:t xml:space="preserve"> </w:t>
      </w:r>
    </w:p>
    <w:p w14:paraId="4B5102A4" w14:textId="15EBC3DA" w:rsidR="007347AB" w:rsidRPr="007A45C9" w:rsidRDefault="2C388DF0" w:rsidP="0058045D">
      <w:pPr>
        <w:pStyle w:val="Heading3"/>
      </w:pPr>
      <w:bookmarkStart w:id="5149" w:name="_Ref179273646"/>
      <w:r>
        <w:t xml:space="preserve">For the purposes of this clause </w:t>
      </w:r>
      <w:r w:rsidR="007347AB">
        <w:fldChar w:fldCharType="begin"/>
      </w:r>
      <w:r w:rsidR="007347AB">
        <w:instrText xml:space="preserve"> REF _Ref153824297 \w \h </w:instrText>
      </w:r>
      <w:r w:rsidR="007347AB">
        <w:fldChar w:fldCharType="separate"/>
      </w:r>
      <w:r w:rsidR="002E5C6A">
        <w:t>29.5</w:t>
      </w:r>
      <w:r w:rsidR="007347AB">
        <w:fldChar w:fldCharType="end"/>
      </w:r>
      <w:r>
        <w:t>, “</w:t>
      </w:r>
      <w:r w:rsidRPr="2C388DF0">
        <w:rPr>
          <w:b/>
          <w:bCs/>
        </w:rPr>
        <w:t>infringement</w:t>
      </w:r>
      <w:r>
        <w:t xml:space="preserve">” includes unauthorised acts </w:t>
      </w:r>
      <w:r w:rsidR="00700902">
        <w:t xml:space="preserve">that </w:t>
      </w:r>
      <w:r>
        <w:t xml:space="preserve">would, but for the operation of section 163 of the </w:t>
      </w:r>
      <w:r w:rsidRPr="2C388DF0">
        <w:rPr>
          <w:i/>
          <w:iCs/>
        </w:rPr>
        <w:t>Patents Act 1990</w:t>
      </w:r>
      <w:r>
        <w:t xml:space="preserve"> (Cth), section 100 of the </w:t>
      </w:r>
      <w:r w:rsidRPr="2C388DF0">
        <w:rPr>
          <w:i/>
          <w:iCs/>
        </w:rPr>
        <w:t xml:space="preserve">Designs Act 2003 </w:t>
      </w:r>
      <w:r>
        <w:t xml:space="preserve">(Cth), section 183 of the </w:t>
      </w:r>
      <w:r w:rsidRPr="2C388DF0">
        <w:rPr>
          <w:i/>
          <w:iCs/>
        </w:rPr>
        <w:t xml:space="preserve">Copyright Act 1968 </w:t>
      </w:r>
      <w:r>
        <w:t>(Cth)</w:t>
      </w:r>
      <w:r w:rsidR="00700902">
        <w:t xml:space="preserve"> or</w:t>
      </w:r>
      <w:r>
        <w:t xml:space="preserve"> section 25 of the </w:t>
      </w:r>
      <w:r w:rsidRPr="2C388DF0">
        <w:rPr>
          <w:i/>
          <w:iCs/>
        </w:rPr>
        <w:t xml:space="preserve">Circuit Layouts Act 1989 </w:t>
      </w:r>
      <w:r>
        <w:t>(Cth), constitute an infringement.</w:t>
      </w:r>
      <w:bookmarkEnd w:id="5149"/>
    </w:p>
    <w:p w14:paraId="7DDF1AD3" w14:textId="77777777" w:rsidR="007347AB" w:rsidRDefault="2C388DF0" w:rsidP="0058045D">
      <w:pPr>
        <w:pStyle w:val="Heading2"/>
      </w:pPr>
      <w:bookmarkStart w:id="5150" w:name="_Toc153945225"/>
      <w:bookmarkStart w:id="5151" w:name="_Toc207309723"/>
      <w:r>
        <w:t>Remedy for breach of warranty</w:t>
      </w:r>
      <w:bookmarkEnd w:id="5140"/>
      <w:bookmarkEnd w:id="5141"/>
      <w:bookmarkEnd w:id="5142"/>
      <w:bookmarkEnd w:id="5143"/>
      <w:bookmarkEnd w:id="5144"/>
      <w:bookmarkEnd w:id="5145"/>
      <w:bookmarkEnd w:id="5146"/>
      <w:bookmarkEnd w:id="5150"/>
      <w:bookmarkEnd w:id="5151"/>
    </w:p>
    <w:p w14:paraId="73151B44" w14:textId="7AF8FE83" w:rsidR="007347AB" w:rsidRDefault="007347AB" w:rsidP="00F205EC">
      <w:pPr>
        <w:pStyle w:val="Indent2"/>
        <w:keepNext/>
      </w:pPr>
      <w:r>
        <w:t xml:space="preserve">If </w:t>
      </w:r>
      <w:r w:rsidR="00710085">
        <w:t>Project Operator</w:t>
      </w:r>
      <w:r>
        <w:t xml:space="preserve"> breaches this clause </w:t>
      </w:r>
      <w:r>
        <w:fldChar w:fldCharType="begin"/>
      </w:r>
      <w:r>
        <w:instrText xml:space="preserve"> REF _Ref151252097 \w \h </w:instrText>
      </w:r>
      <w:r>
        <w:fldChar w:fldCharType="separate"/>
      </w:r>
      <w:r w:rsidR="002E5C6A">
        <w:t>29</w:t>
      </w:r>
      <w:r>
        <w:fldChar w:fldCharType="end"/>
      </w:r>
      <w:r>
        <w:t xml:space="preserve"> and</w:t>
      </w:r>
      <w:r w:rsidR="009E4C8E">
        <w:t>,</w:t>
      </w:r>
      <w:r>
        <w:t xml:space="preserve"> as a result of that breach, a third party </w:t>
      </w:r>
      <w:bookmarkStart w:id="5152" w:name="_9kMKJ5YVt4667HJNEjhu"/>
      <w:r>
        <w:t>claims</w:t>
      </w:r>
      <w:bookmarkEnd w:id="5152"/>
      <w:r>
        <w:t xml:space="preserve"> </w:t>
      </w:r>
      <w:r w:rsidR="009E4C8E">
        <w:t xml:space="preserve">that </w:t>
      </w:r>
      <w:r>
        <w:t xml:space="preserve">the use of all or part of the </w:t>
      </w:r>
      <w:bookmarkStart w:id="5153" w:name="_9kMHG5YVt488789gNp7ro80lUM0549txG"/>
      <w:r>
        <w:t>Warranted Materials</w:t>
      </w:r>
      <w:bookmarkEnd w:id="5153"/>
      <w:r>
        <w:t xml:space="preserve"> </w:t>
      </w:r>
      <w:r w:rsidR="009E4C8E">
        <w:t xml:space="preserve">by an Indemnified Party </w:t>
      </w:r>
      <w:r>
        <w:t>infringes its Intellectual Property</w:t>
      </w:r>
      <w:r w:rsidR="0029324A">
        <w:t xml:space="preserve"> rights</w:t>
      </w:r>
      <w:r w:rsidR="00700902">
        <w:t xml:space="preserve"> or Moral Rights</w:t>
      </w:r>
      <w:r>
        <w:t xml:space="preserve">, </w:t>
      </w:r>
      <w:r w:rsidR="00710085">
        <w:t>Project Operator</w:t>
      </w:r>
      <w:r>
        <w:t xml:space="preserve"> must, in addition to any other rights that the Commonwealth </w:t>
      </w:r>
      <w:r w:rsidR="009E4C8E">
        <w:t xml:space="preserve">or any Indemnified Party </w:t>
      </w:r>
      <w:r>
        <w:t xml:space="preserve">may have against </w:t>
      </w:r>
      <w:r w:rsidR="006B6D6C">
        <w:t>Project Operator</w:t>
      </w:r>
      <w:r>
        <w:t xml:space="preserve">, promptly, at </w:t>
      </w:r>
      <w:bookmarkStart w:id="5154" w:name="_9kMJ28P7aXv6AAAJJef952wq0"/>
      <w:bookmarkStart w:id="5155" w:name="_9kMJ28P7aXv6AAAJIdf952wq0"/>
      <w:bookmarkStart w:id="5156" w:name="_9kMJ27O7aXv6AAAILhf952wq0"/>
      <w:r w:rsidR="00710085">
        <w:t>Project Operator</w:t>
      </w:r>
      <w:r w:rsidR="005032FF">
        <w:t>’</w:t>
      </w:r>
      <w:r>
        <w:t>s</w:t>
      </w:r>
      <w:bookmarkEnd w:id="5154"/>
      <w:bookmarkEnd w:id="5155"/>
      <w:bookmarkEnd w:id="5156"/>
      <w:r>
        <w:t xml:space="preserve"> expense:</w:t>
      </w:r>
    </w:p>
    <w:p w14:paraId="0BC40168" w14:textId="64EBA60B" w:rsidR="007347AB" w:rsidRDefault="2C388DF0" w:rsidP="0058045D">
      <w:pPr>
        <w:pStyle w:val="Heading3"/>
      </w:pPr>
      <w:r>
        <w:t xml:space="preserve">use its best efforts to secure the rights for the Commonwealth or </w:t>
      </w:r>
      <w:r w:rsidR="0029324A">
        <w:t xml:space="preserve">other </w:t>
      </w:r>
      <w:r>
        <w:t xml:space="preserve">Indemnified Party to continue to use the affected </w:t>
      </w:r>
      <w:bookmarkStart w:id="5157" w:name="_9kMIH5YVt488789gNp7ro80lUM0549txG"/>
      <w:r>
        <w:t>Warranted Materials</w:t>
      </w:r>
      <w:bookmarkEnd w:id="5157"/>
      <w:r>
        <w:t xml:space="preserve"> as permitted under clause </w:t>
      </w:r>
      <w:r w:rsidR="007347AB">
        <w:fldChar w:fldCharType="begin"/>
      </w:r>
      <w:r w:rsidR="007347AB">
        <w:instrText xml:space="preserve"> REF _Ref489017330 \r \h </w:instrText>
      </w:r>
      <w:r w:rsidR="007347AB">
        <w:fldChar w:fldCharType="separate"/>
      </w:r>
      <w:bookmarkStart w:id="5158" w:name="_9kMIH5YVt5659DBBFGZNliutly0fk3rw011xgYC"/>
      <w:r w:rsidR="002E5C6A">
        <w:t>29.2</w:t>
      </w:r>
      <w:bookmarkEnd w:id="5158"/>
      <w:r w:rsidR="007347AB">
        <w:fldChar w:fldCharType="end"/>
      </w:r>
      <w:r>
        <w:t xml:space="preserve"> (“</w:t>
      </w:r>
      <w:r w:rsidR="007347AB">
        <w:fldChar w:fldCharType="begin"/>
      </w:r>
      <w:r w:rsidR="007347AB">
        <w:instrText xml:space="preserve">  REF _Ref159422086 \h </w:instrText>
      </w:r>
      <w:r w:rsidR="007347AB">
        <w:fldChar w:fldCharType="separate"/>
      </w:r>
      <w:r w:rsidR="002E5C6A">
        <w:t>Licence of Specified Material</w:t>
      </w:r>
      <w:r w:rsidR="007347AB">
        <w:fldChar w:fldCharType="end"/>
      </w:r>
      <w:r>
        <w:t xml:space="preserve">”) free of </w:t>
      </w:r>
      <w:r w:rsidR="00BF4E7B">
        <w:t xml:space="preserve">the risk of </w:t>
      </w:r>
      <w:r>
        <w:t xml:space="preserve">any </w:t>
      </w:r>
      <w:bookmarkStart w:id="5159" w:name="_9kMLK5YVt4667HJNEjhu"/>
      <w:r>
        <w:t>Claim</w:t>
      </w:r>
      <w:bookmarkEnd w:id="5159"/>
      <w:r>
        <w:t xml:space="preserve"> or liability for infringement; or</w:t>
      </w:r>
    </w:p>
    <w:p w14:paraId="7976B670" w14:textId="279EF3C0" w:rsidR="007347AB" w:rsidRPr="006E6BEA" w:rsidRDefault="2C388DF0" w:rsidP="0058045D">
      <w:pPr>
        <w:pStyle w:val="Heading3"/>
      </w:pPr>
      <w:r>
        <w:t xml:space="preserve">replace or modify the affected </w:t>
      </w:r>
      <w:bookmarkStart w:id="5160" w:name="_9kMJI5YVt488789gNp7ro80lUM0549txG"/>
      <w:r>
        <w:t>Warranted Materials</w:t>
      </w:r>
      <w:bookmarkEnd w:id="5160"/>
      <w:r>
        <w:t xml:space="preserve"> so that the use of them as permitted under this clause </w:t>
      </w:r>
      <w:r w:rsidR="007347AB">
        <w:fldChar w:fldCharType="begin"/>
      </w:r>
      <w:r w:rsidR="007347AB">
        <w:instrText xml:space="preserve"> REF _Ref489013720 \r \h </w:instrText>
      </w:r>
      <w:r w:rsidR="007347AB">
        <w:fldChar w:fldCharType="separate"/>
      </w:r>
      <w:bookmarkStart w:id="5161" w:name="_9kMIH5YVt5659BBDFWO6yrztl1K2uklHG7AQY"/>
      <w:r w:rsidR="002E5C6A">
        <w:t>29</w:t>
      </w:r>
      <w:bookmarkEnd w:id="5161"/>
      <w:r w:rsidR="007347AB">
        <w:fldChar w:fldCharType="end"/>
      </w:r>
      <w:r>
        <w:t xml:space="preserve"> </w:t>
      </w:r>
      <w:r w:rsidR="0029324A">
        <w:t xml:space="preserve">by the Commonwealth or other Indemnified Party </w:t>
      </w:r>
      <w:r>
        <w:t xml:space="preserve">does not infringe the Intellectual Property </w:t>
      </w:r>
      <w:r w:rsidR="00700902">
        <w:t xml:space="preserve">or Moral Rights </w:t>
      </w:r>
      <w:r>
        <w:t xml:space="preserve">of any other person without any degradation of the </w:t>
      </w:r>
      <w:r w:rsidR="0029324A">
        <w:t xml:space="preserve">utility </w:t>
      </w:r>
      <w:r>
        <w:t xml:space="preserve">or quality of the affected </w:t>
      </w:r>
      <w:bookmarkStart w:id="5162" w:name="_9kMKJ5YVt488789gNp7ro80lUM0549txG"/>
      <w:r>
        <w:t>Warranted Materials</w:t>
      </w:r>
      <w:bookmarkEnd w:id="5162"/>
      <w:r>
        <w:t>.</w:t>
      </w:r>
    </w:p>
    <w:p w14:paraId="5A41E7B6" w14:textId="77777777" w:rsidR="00A214F9" w:rsidRDefault="2BC382E4" w:rsidP="0058045D">
      <w:pPr>
        <w:pStyle w:val="Heading1"/>
      </w:pPr>
      <w:bookmarkStart w:id="5163" w:name="_Toc153945226"/>
      <w:bookmarkStart w:id="5164" w:name="_Toc207309724"/>
      <w:r>
        <w:t>Subcontracting</w:t>
      </w:r>
      <w:bookmarkEnd w:id="5163"/>
      <w:bookmarkEnd w:id="5164"/>
    </w:p>
    <w:p w14:paraId="2D63293B" w14:textId="77777777" w:rsidR="007347AB" w:rsidRDefault="00A214F9" w:rsidP="0058045D">
      <w:pPr>
        <w:pStyle w:val="Heading2"/>
      </w:pPr>
      <w:bookmarkStart w:id="5165" w:name="_Toc207309725"/>
      <w:r>
        <w:t xml:space="preserve">Project </w:t>
      </w:r>
      <w:bookmarkStart w:id="5166" w:name="_Toc165647588"/>
      <w:r>
        <w:t>Operator remains responsible</w:t>
      </w:r>
      <w:bookmarkEnd w:id="5165"/>
      <w:bookmarkEnd w:id="5166"/>
      <w:r w:rsidR="2BC382E4">
        <w:t xml:space="preserve"> </w:t>
      </w:r>
    </w:p>
    <w:p w14:paraId="5031766D" w14:textId="77777777" w:rsidR="007347AB" w:rsidRPr="009F3D0B" w:rsidRDefault="00710085" w:rsidP="0076796C">
      <w:pPr>
        <w:pStyle w:val="Heading3"/>
      </w:pPr>
      <w:r>
        <w:t>Project Operator</w:t>
      </w:r>
      <w:r w:rsidR="007347AB" w:rsidRPr="009F3D0B">
        <w:t>:</w:t>
      </w:r>
    </w:p>
    <w:p w14:paraId="4BCB26EF" w14:textId="77777777" w:rsidR="00204477" w:rsidRDefault="2C388DF0" w:rsidP="0076796C">
      <w:pPr>
        <w:pStyle w:val="Heading4"/>
      </w:pPr>
      <w:r>
        <w:t>is responsible to the Commonwealth for</w:t>
      </w:r>
      <w:r w:rsidR="00204477">
        <w:t>:</w:t>
      </w:r>
    </w:p>
    <w:p w14:paraId="54409089" w14:textId="381DA93B" w:rsidR="00204477" w:rsidRDefault="2C388DF0" w:rsidP="00204477">
      <w:pPr>
        <w:pStyle w:val="Heading5"/>
      </w:pPr>
      <w:r>
        <w:t xml:space="preserve">the management, coordination and supervision of all </w:t>
      </w:r>
      <w:r w:rsidR="009C7B3B">
        <w:t>S</w:t>
      </w:r>
      <w:r>
        <w:t>ubcontractors</w:t>
      </w:r>
      <w:r w:rsidR="00204477">
        <w:t>;</w:t>
      </w:r>
      <w:r>
        <w:t xml:space="preserve"> and</w:t>
      </w:r>
    </w:p>
    <w:p w14:paraId="1C91D54C" w14:textId="64F21AC4" w:rsidR="00204477" w:rsidRDefault="00204477" w:rsidP="00204477">
      <w:pPr>
        <w:pStyle w:val="Heading5"/>
      </w:pPr>
      <w:r>
        <w:t>for</w:t>
      </w:r>
      <w:r w:rsidR="2C388DF0">
        <w:t xml:space="preserve"> the acts, omissions, negligence and recklessness of its officers, employees, </w:t>
      </w:r>
      <w:r w:rsidR="009C7B3B">
        <w:t>S</w:t>
      </w:r>
      <w:r w:rsidR="2C388DF0">
        <w:t>ubcontractors or agents (whether employed or engaged directly or indirectly by Project Operator)</w:t>
      </w:r>
      <w:r>
        <w:t>,</w:t>
      </w:r>
    </w:p>
    <w:p w14:paraId="14992411" w14:textId="36F9C558" w:rsidR="007347AB" w:rsidRDefault="2C388DF0" w:rsidP="008F660B">
      <w:pPr>
        <w:pStyle w:val="Heading5"/>
        <w:numPr>
          <w:ilvl w:val="0"/>
          <w:numId w:val="0"/>
        </w:numPr>
        <w:ind w:left="2211"/>
      </w:pPr>
      <w:r>
        <w:t>in each case in connection with this agreement and/or the Project as if they were the acts, omissions, negligence and recklessness of Project Operator;</w:t>
      </w:r>
    </w:p>
    <w:p w14:paraId="52096C4D" w14:textId="3A13B98B" w:rsidR="007347AB" w:rsidRPr="009F3D0B" w:rsidRDefault="2C388DF0" w:rsidP="0076796C">
      <w:pPr>
        <w:pStyle w:val="Heading4"/>
      </w:pPr>
      <w:r>
        <w:t xml:space="preserve">remains fully responsible for the performance of all of its obligations under this agreement </w:t>
      </w:r>
      <w:r w:rsidR="00971BA4">
        <w:t xml:space="preserve">that </w:t>
      </w:r>
      <w:r>
        <w:t xml:space="preserve">it has subcontracted to a </w:t>
      </w:r>
      <w:r w:rsidR="009C7B3B">
        <w:t>S</w:t>
      </w:r>
      <w:r>
        <w:t>ubcontractor</w:t>
      </w:r>
      <w:r w:rsidR="00971BA4">
        <w:t>,</w:t>
      </w:r>
      <w:r>
        <w:t xml:space="preserve"> and for all costs incurred with respect to its </w:t>
      </w:r>
      <w:r w:rsidR="009C7B3B">
        <w:t>S</w:t>
      </w:r>
      <w:r>
        <w:t xml:space="preserve">ubcontractors, whether or not the Commonwealth is aware of and has approved the use of the </w:t>
      </w:r>
      <w:r w:rsidR="009C7B3B">
        <w:t>S</w:t>
      </w:r>
      <w:r>
        <w:t xml:space="preserve">ubcontractor; </w:t>
      </w:r>
    </w:p>
    <w:p w14:paraId="4E8CB4CB" w14:textId="77777777" w:rsidR="007347AB" w:rsidRDefault="2C388DF0" w:rsidP="0076796C">
      <w:pPr>
        <w:pStyle w:val="Heading4"/>
      </w:pPr>
      <w:r>
        <w:t xml:space="preserve">must ensure that its </w:t>
      </w:r>
      <w:r w:rsidR="009C7B3B">
        <w:t>S</w:t>
      </w:r>
      <w:r>
        <w:t xml:space="preserve">ubcontractors comply with Project Operator’s obligations under this agreement when carrying out any work or activities under a </w:t>
      </w:r>
      <w:r w:rsidR="009C7B3B">
        <w:t>S</w:t>
      </w:r>
      <w:r>
        <w:t>ubcontract; and</w:t>
      </w:r>
    </w:p>
    <w:p w14:paraId="07009C07" w14:textId="77777777" w:rsidR="007347AB" w:rsidRDefault="2C388DF0" w:rsidP="007B65C7">
      <w:pPr>
        <w:pStyle w:val="Heading4"/>
      </w:pPr>
      <w:r>
        <w:t xml:space="preserve">agrees that a </w:t>
      </w:r>
      <w:r w:rsidR="009C7B3B">
        <w:t>S</w:t>
      </w:r>
      <w:r>
        <w:t xml:space="preserve">ubcontractor’s failure to perform does not constitute a Force Majeure Event, except to the extent that the </w:t>
      </w:r>
      <w:r w:rsidR="009C7B3B">
        <w:t>S</w:t>
      </w:r>
      <w:r>
        <w:t>ubcontractor’s failure to perform is exclusively caused or contributed to by a Force Majeure Event (and, for clarity, not including any Concurrent Delays).</w:t>
      </w:r>
    </w:p>
    <w:p w14:paraId="449D5CA5" w14:textId="77777777" w:rsidR="007B65C7" w:rsidRDefault="007B65C7" w:rsidP="007B65C7">
      <w:pPr>
        <w:pStyle w:val="Heading3"/>
        <w:keepNext/>
      </w:pPr>
      <w:bookmarkStart w:id="5167" w:name="_Ref173171792"/>
      <w:r w:rsidRPr="00CE740B">
        <w:t xml:space="preserve">Except where otherwise specifically indicated in this agreement, any obligation under this agreement that requires Project Operator to procure a Subcontractor to take an action, or </w:t>
      </w:r>
      <w:r>
        <w:t xml:space="preserve">that </w:t>
      </w:r>
      <w:r w:rsidRPr="00CE740B">
        <w:t>requires that a Subcontract include a provision, will be read, when</w:t>
      </w:r>
      <w:r>
        <w:t xml:space="preserve"> </w:t>
      </w:r>
      <w:r w:rsidRPr="00CE740B">
        <w:t>that Subcontractor</w:t>
      </w:r>
      <w:r>
        <w:t>:</w:t>
      </w:r>
      <w:bookmarkEnd w:id="5167"/>
      <w:r w:rsidRPr="00CE740B">
        <w:t xml:space="preserve"> </w:t>
      </w:r>
    </w:p>
    <w:p w14:paraId="2061C4C2" w14:textId="77777777" w:rsidR="007B65C7" w:rsidRDefault="007B65C7" w:rsidP="008A7F3E">
      <w:pPr>
        <w:pStyle w:val="Heading4"/>
        <w:numPr>
          <w:ilvl w:val="3"/>
          <w:numId w:val="44"/>
        </w:numPr>
        <w:tabs>
          <w:tab w:val="clear" w:pos="2211"/>
          <w:tab w:val="num" w:pos="2605"/>
        </w:tabs>
        <w:ind w:left="2122" w:hanging="648"/>
      </w:pPr>
      <w:r w:rsidRPr="00CE740B">
        <w:t>is not a Key Subcontractor</w:t>
      </w:r>
      <w:r>
        <w:t>;</w:t>
      </w:r>
    </w:p>
    <w:p w14:paraId="61C6197F" w14:textId="77777777" w:rsidR="007B65C7" w:rsidRDefault="007B65C7" w:rsidP="008A7F3E">
      <w:pPr>
        <w:pStyle w:val="Heading4"/>
        <w:numPr>
          <w:ilvl w:val="3"/>
          <w:numId w:val="44"/>
        </w:numPr>
        <w:tabs>
          <w:tab w:val="clear" w:pos="2211"/>
          <w:tab w:val="num" w:pos="2605"/>
        </w:tabs>
        <w:ind w:left="2122" w:hanging="648"/>
      </w:pPr>
      <w:r w:rsidRPr="00CE740B">
        <w:t>has operations located predominantly outside Australia</w:t>
      </w:r>
      <w:r>
        <w:t>;</w:t>
      </w:r>
      <w:r w:rsidRPr="00CE740B">
        <w:t xml:space="preserve"> and </w:t>
      </w:r>
    </w:p>
    <w:p w14:paraId="07CD00DF" w14:textId="77777777" w:rsidR="007B65C7" w:rsidRDefault="007B65C7" w:rsidP="008A7F3E">
      <w:pPr>
        <w:pStyle w:val="Heading4"/>
        <w:keepNext/>
        <w:numPr>
          <w:ilvl w:val="3"/>
          <w:numId w:val="44"/>
        </w:numPr>
        <w:tabs>
          <w:tab w:val="clear" w:pos="2211"/>
          <w:tab w:val="num" w:pos="2605"/>
        </w:tabs>
        <w:ind w:left="2122" w:hanging="648"/>
      </w:pPr>
      <w:r w:rsidRPr="00CE740B">
        <w:t xml:space="preserve">will be performing the Subcontract predominantly outside Australia, </w:t>
      </w:r>
    </w:p>
    <w:p w14:paraId="07D40254" w14:textId="67DC6E5D" w:rsidR="007B65C7" w:rsidRDefault="007B65C7" w:rsidP="0076796C">
      <w:pPr>
        <w:pStyle w:val="Heading4"/>
        <w:numPr>
          <w:ilvl w:val="0"/>
          <w:numId w:val="0"/>
        </w:numPr>
        <w:ind w:left="1474"/>
      </w:pPr>
      <w:r w:rsidRPr="00CE740B">
        <w:t>as a requirement that Project Operator use reasonable endeavours to procure that the Subcontractor take the</w:t>
      </w:r>
      <w:r>
        <w:t xml:space="preserve"> </w:t>
      </w:r>
      <w:r w:rsidRPr="00CE740B">
        <w:t>action or that the Subcontract include the</w:t>
      </w:r>
      <w:r>
        <w:t xml:space="preserve"> </w:t>
      </w:r>
      <w:r w:rsidRPr="00CE740B">
        <w:t>provision</w:t>
      </w:r>
      <w:r>
        <w:t>,</w:t>
      </w:r>
      <w:r w:rsidRPr="00CE740B">
        <w:t xml:space="preserve"> provided that nothing in this clause </w:t>
      </w:r>
      <w:r>
        <w:fldChar w:fldCharType="begin"/>
      </w:r>
      <w:r>
        <w:instrText xml:space="preserve"> REF _Ref173171792 \w \h </w:instrText>
      </w:r>
      <w:r>
        <w:fldChar w:fldCharType="separate"/>
      </w:r>
      <w:r w:rsidR="002E5C6A">
        <w:t>30.1(b)</w:t>
      </w:r>
      <w:r>
        <w:fldChar w:fldCharType="end"/>
      </w:r>
      <w:r w:rsidRPr="00CE740B">
        <w:t xml:space="preserve"> affects or limits Project Operator’s liability for (including indemnity obligations to the Commonwealth in respect of) the acts or omissions of its Subcontractors.</w:t>
      </w:r>
    </w:p>
    <w:p w14:paraId="3D6E6893" w14:textId="77777777" w:rsidR="00A214F9" w:rsidRDefault="00A214F9" w:rsidP="0058045D">
      <w:pPr>
        <w:pStyle w:val="Heading2"/>
      </w:pPr>
      <w:bookmarkStart w:id="5168" w:name="_Ref153429684"/>
      <w:bookmarkStart w:id="5169" w:name="_Ref153632861"/>
      <w:bookmarkStart w:id="5170" w:name="_Toc165647589"/>
      <w:bookmarkStart w:id="5171" w:name="_Toc207309726"/>
      <w:r>
        <w:t>Key Subcontractors</w:t>
      </w:r>
      <w:bookmarkEnd w:id="5168"/>
      <w:bookmarkEnd w:id="5169"/>
      <w:bookmarkEnd w:id="5170"/>
      <w:bookmarkEnd w:id="5171"/>
    </w:p>
    <w:p w14:paraId="4FAE9370" w14:textId="12AF2F3B" w:rsidR="00A214F9" w:rsidRDefault="00A214F9" w:rsidP="0058045D">
      <w:pPr>
        <w:pStyle w:val="Heading3"/>
      </w:pPr>
      <w:r>
        <w:t xml:space="preserve">Subject to clauses </w:t>
      </w:r>
      <w:r>
        <w:fldChar w:fldCharType="begin"/>
      </w:r>
      <w:r>
        <w:instrText xml:space="preserve"> REF _Ref151252857 \w \h </w:instrText>
      </w:r>
      <w:r>
        <w:fldChar w:fldCharType="separate"/>
      </w:r>
      <w:r w:rsidR="002E5C6A">
        <w:t>30.2(b)</w:t>
      </w:r>
      <w:r>
        <w:fldChar w:fldCharType="end"/>
      </w:r>
      <w:r>
        <w:t xml:space="preserve"> and </w:t>
      </w:r>
      <w:r>
        <w:fldChar w:fldCharType="begin"/>
      </w:r>
      <w:r>
        <w:instrText xml:space="preserve"> REF _Ref151252877 \w \h </w:instrText>
      </w:r>
      <w:r>
        <w:fldChar w:fldCharType="separate"/>
      </w:r>
      <w:r w:rsidR="002E5C6A">
        <w:t>30.2(c)</w:t>
      </w:r>
      <w:r>
        <w:fldChar w:fldCharType="end"/>
      </w:r>
      <w:r>
        <w:t xml:space="preserve">, Project Operator </w:t>
      </w:r>
      <w:r w:rsidRPr="006C411E">
        <w:t xml:space="preserve">must not (and must procure </w:t>
      </w:r>
      <w:r>
        <w:t xml:space="preserve">that its </w:t>
      </w:r>
      <w:r w:rsidR="009C7B3B">
        <w:t>S</w:t>
      </w:r>
      <w:r>
        <w:t xml:space="preserve">ubcontractors do not) </w:t>
      </w:r>
      <w:r w:rsidRPr="006C411E">
        <w:t xml:space="preserve">enter into a Key Subcontract without the prior written consent of the </w:t>
      </w:r>
      <w:r>
        <w:t>Commonwealth</w:t>
      </w:r>
      <w:r w:rsidRPr="006C411E">
        <w:t>.</w:t>
      </w:r>
      <w:r>
        <w:t xml:space="preserve"> </w:t>
      </w:r>
      <w:r w:rsidRPr="009C06C9">
        <w:t xml:space="preserve">The Commonwealth must </w:t>
      </w:r>
      <w:r w:rsidR="0044549E">
        <w:t xml:space="preserve">give, </w:t>
      </w:r>
      <w:r w:rsidRPr="009C06C9">
        <w:t>or refuse</w:t>
      </w:r>
      <w:r w:rsidR="0044549E">
        <w:t>,</w:t>
      </w:r>
      <w:r w:rsidRPr="009C06C9">
        <w:t xml:space="preserve"> </w:t>
      </w:r>
      <w:r>
        <w:t xml:space="preserve">that consent within 20 </w:t>
      </w:r>
      <w:r w:rsidRPr="009C06C9">
        <w:t xml:space="preserve">Business Days </w:t>
      </w:r>
      <w:r>
        <w:t xml:space="preserve">after receipt of such a </w:t>
      </w:r>
      <w:r w:rsidRPr="009C06C9">
        <w:t xml:space="preserve">request. If the Commonwealth </w:t>
      </w:r>
      <w:r>
        <w:t xml:space="preserve">fails to </w:t>
      </w:r>
      <w:r w:rsidR="0044549E">
        <w:t xml:space="preserve">give, </w:t>
      </w:r>
      <w:r>
        <w:t>or refuse</w:t>
      </w:r>
      <w:r w:rsidR="0044549E">
        <w:t>,</w:t>
      </w:r>
      <w:r>
        <w:t xml:space="preserve"> that consent within that 20</w:t>
      </w:r>
      <w:r w:rsidR="0044549E">
        <w:t> </w:t>
      </w:r>
      <w:r>
        <w:t xml:space="preserve">Business Day period, </w:t>
      </w:r>
      <w:r w:rsidR="0044549E">
        <w:t xml:space="preserve">Project </w:t>
      </w:r>
      <w:r>
        <w:t xml:space="preserve">Operator must </w:t>
      </w:r>
      <w:r w:rsidRPr="00485416">
        <w:t>issue a notice to the Commonwealth warning it that</w:t>
      </w:r>
      <w:r w:rsidR="0044549E">
        <w:t>,</w:t>
      </w:r>
      <w:r w:rsidRPr="00485416">
        <w:t xml:space="preserve"> if </w:t>
      </w:r>
      <w:r>
        <w:t xml:space="preserve">the Commonwealth </w:t>
      </w:r>
      <w:r w:rsidRPr="00485416">
        <w:t xml:space="preserve">fails to </w:t>
      </w:r>
      <w:r w:rsidR="0044549E">
        <w:t xml:space="preserve">give, </w:t>
      </w:r>
      <w:r>
        <w:t>or refuse</w:t>
      </w:r>
      <w:r w:rsidR="0044549E">
        <w:t>,</w:t>
      </w:r>
      <w:r>
        <w:t xml:space="preserve"> that consent </w:t>
      </w:r>
      <w:r w:rsidRPr="00485416">
        <w:t xml:space="preserve">within a further </w:t>
      </w:r>
      <w:r>
        <w:t xml:space="preserve">20 </w:t>
      </w:r>
      <w:r w:rsidRPr="00485416">
        <w:t>Business Days</w:t>
      </w:r>
      <w:r>
        <w:t xml:space="preserve"> after receipt of that warning</w:t>
      </w:r>
      <w:r w:rsidR="0029324A">
        <w:t xml:space="preserve"> notice</w:t>
      </w:r>
      <w:r>
        <w:t xml:space="preserve">, the Commonwealth will be </w:t>
      </w:r>
      <w:r w:rsidRPr="00485416">
        <w:t xml:space="preserve">deemed to </w:t>
      </w:r>
      <w:r>
        <w:t xml:space="preserve">have </w:t>
      </w:r>
      <w:r w:rsidR="0044549E">
        <w:t xml:space="preserve">given its </w:t>
      </w:r>
      <w:r>
        <w:t xml:space="preserve">consent to </w:t>
      </w:r>
      <w:r w:rsidR="0044549E">
        <w:t xml:space="preserve">Project </w:t>
      </w:r>
      <w:r>
        <w:t>Operator entering into that Key Subcontract</w:t>
      </w:r>
      <w:r w:rsidRPr="00485416">
        <w:t xml:space="preserve">. If the Commonwealth </w:t>
      </w:r>
      <w:r>
        <w:t xml:space="preserve">then </w:t>
      </w:r>
      <w:r w:rsidRPr="00485416">
        <w:t xml:space="preserve">fails to </w:t>
      </w:r>
      <w:r w:rsidR="0044549E">
        <w:t xml:space="preserve">give, </w:t>
      </w:r>
      <w:r>
        <w:t>or refuse</w:t>
      </w:r>
      <w:r w:rsidR="0044549E">
        <w:t>,</w:t>
      </w:r>
      <w:r>
        <w:t xml:space="preserve"> that consent </w:t>
      </w:r>
      <w:r w:rsidRPr="00485416">
        <w:t xml:space="preserve">within that further </w:t>
      </w:r>
      <w:r>
        <w:t>20</w:t>
      </w:r>
      <w:r w:rsidRPr="00485416">
        <w:t xml:space="preserve"> Business Day period, the </w:t>
      </w:r>
      <w:r>
        <w:t xml:space="preserve">Commonwealth will be </w:t>
      </w:r>
      <w:r w:rsidRPr="00485416">
        <w:t xml:space="preserve">deemed to </w:t>
      </w:r>
      <w:r>
        <w:t xml:space="preserve">have consented to </w:t>
      </w:r>
      <w:r w:rsidR="0044549E">
        <w:t xml:space="preserve">Project </w:t>
      </w:r>
      <w:r>
        <w:t>Operator entering into that Key Subcontract</w:t>
      </w:r>
      <w:r w:rsidRPr="009C06C9">
        <w:t>.</w:t>
      </w:r>
      <w:r w:rsidRPr="006C411E">
        <w:t xml:space="preserve"> </w:t>
      </w:r>
    </w:p>
    <w:p w14:paraId="775B06D3" w14:textId="37A69AD8" w:rsidR="00A214F9" w:rsidRPr="00A214F9" w:rsidRDefault="00A214F9" w:rsidP="00A214F9">
      <w:pPr>
        <w:ind w:left="1474"/>
        <w:rPr>
          <w:b/>
          <w:bCs/>
          <w:i/>
          <w:iCs/>
        </w:rPr>
      </w:pPr>
      <w:r w:rsidRPr="006D6BAB">
        <w:rPr>
          <w:b/>
          <w:bCs/>
          <w:i/>
          <w:iCs/>
        </w:rPr>
        <w:t>[</w:t>
      </w:r>
      <w:r w:rsidR="006D54FC">
        <w:rPr>
          <w:b/>
          <w:bCs/>
          <w:i/>
          <w:iCs/>
          <w:highlight w:val="lightGray"/>
        </w:rPr>
        <w:t>N</w:t>
      </w:r>
      <w:r w:rsidRPr="00A214F9">
        <w:rPr>
          <w:b/>
          <w:bCs/>
          <w:i/>
          <w:iCs/>
          <w:highlight w:val="lightGray"/>
        </w:rPr>
        <w:t xml:space="preserve">ote: the requirements regarding Key Subcontractors are intended to reflect the fact that prospective </w:t>
      </w:r>
      <w:r w:rsidR="0044549E">
        <w:rPr>
          <w:b/>
          <w:bCs/>
          <w:i/>
          <w:iCs/>
          <w:highlight w:val="lightGray"/>
        </w:rPr>
        <w:t xml:space="preserve">Project </w:t>
      </w:r>
      <w:r w:rsidRPr="00A214F9">
        <w:rPr>
          <w:b/>
          <w:bCs/>
          <w:i/>
          <w:iCs/>
          <w:highlight w:val="lightGray"/>
        </w:rPr>
        <w:t>Operators will be evaluated during the tender phase</w:t>
      </w:r>
      <w:r w:rsidR="0044549E">
        <w:rPr>
          <w:b/>
          <w:bCs/>
          <w:i/>
          <w:iCs/>
          <w:highlight w:val="lightGray"/>
        </w:rPr>
        <w:t>,</w:t>
      </w:r>
      <w:r w:rsidRPr="00A214F9">
        <w:rPr>
          <w:b/>
          <w:bCs/>
          <w:i/>
          <w:iCs/>
          <w:highlight w:val="lightGray"/>
        </w:rPr>
        <w:t xml:space="preserve"> in part</w:t>
      </w:r>
      <w:r w:rsidR="0044549E">
        <w:rPr>
          <w:b/>
          <w:bCs/>
          <w:i/>
          <w:iCs/>
          <w:highlight w:val="lightGray"/>
        </w:rPr>
        <w:t>,</w:t>
      </w:r>
      <w:r w:rsidRPr="00A214F9">
        <w:rPr>
          <w:b/>
          <w:bCs/>
          <w:i/>
          <w:iCs/>
          <w:highlight w:val="lightGray"/>
        </w:rPr>
        <w:t xml:space="preserve"> on their technical solution and proposed Key Subcontractors to the extent they are known. The Commonwealth therefore wishes to ensure that a</w:t>
      </w:r>
      <w:r w:rsidR="0044549E">
        <w:rPr>
          <w:b/>
          <w:bCs/>
          <w:i/>
          <w:iCs/>
          <w:highlight w:val="lightGray"/>
        </w:rPr>
        <w:t xml:space="preserve"> Project</w:t>
      </w:r>
      <w:r w:rsidRPr="00A214F9">
        <w:rPr>
          <w:b/>
          <w:bCs/>
          <w:i/>
          <w:iCs/>
          <w:highlight w:val="lightGray"/>
        </w:rPr>
        <w:t xml:space="preserve"> Operator utilises the relevant Key Subcontractors and technologies referred to their Bid (to the extent that Key Subcontractors are known and form part of the evaluation of the Bid of a Proponent). If changes to the proposed Key Subcontractors are warranted, </w:t>
      </w:r>
      <w:r w:rsidR="0044549E">
        <w:rPr>
          <w:b/>
          <w:bCs/>
          <w:i/>
          <w:iCs/>
          <w:highlight w:val="lightGray"/>
        </w:rPr>
        <w:t>Project</w:t>
      </w:r>
      <w:r w:rsidR="0044549E" w:rsidRPr="00A214F9">
        <w:rPr>
          <w:b/>
          <w:bCs/>
          <w:i/>
          <w:iCs/>
          <w:highlight w:val="lightGray"/>
        </w:rPr>
        <w:t xml:space="preserve"> </w:t>
      </w:r>
      <w:r w:rsidRPr="00A214F9">
        <w:rPr>
          <w:b/>
          <w:bCs/>
          <w:i/>
          <w:iCs/>
          <w:highlight w:val="lightGray"/>
        </w:rPr>
        <w:t xml:space="preserve">Operator may follow the process set out in this clause </w:t>
      </w:r>
      <w:r w:rsidRPr="00A214F9">
        <w:rPr>
          <w:b/>
          <w:bCs/>
          <w:i/>
          <w:iCs/>
          <w:highlight w:val="lightGray"/>
        </w:rPr>
        <w:fldChar w:fldCharType="begin"/>
      </w:r>
      <w:r w:rsidRPr="00A214F9">
        <w:rPr>
          <w:b/>
          <w:bCs/>
          <w:i/>
          <w:iCs/>
          <w:highlight w:val="lightGray"/>
        </w:rPr>
        <w:instrText xml:space="preserve"> REF _Ref153632861 \n \h  \* MERGEFORMAT </w:instrText>
      </w:r>
      <w:r w:rsidRPr="00A214F9">
        <w:rPr>
          <w:b/>
          <w:bCs/>
          <w:i/>
          <w:iCs/>
          <w:highlight w:val="lightGray"/>
        </w:rPr>
      </w:r>
      <w:r w:rsidRPr="00A214F9">
        <w:rPr>
          <w:b/>
          <w:bCs/>
          <w:i/>
          <w:iCs/>
          <w:highlight w:val="lightGray"/>
        </w:rPr>
        <w:fldChar w:fldCharType="separate"/>
      </w:r>
      <w:r w:rsidR="002E5C6A">
        <w:rPr>
          <w:b/>
          <w:bCs/>
          <w:i/>
          <w:iCs/>
          <w:highlight w:val="lightGray"/>
        </w:rPr>
        <w:t>30.2</w:t>
      </w:r>
      <w:r w:rsidRPr="00A214F9">
        <w:rPr>
          <w:b/>
          <w:bCs/>
          <w:i/>
          <w:iCs/>
          <w:highlight w:val="lightGray"/>
        </w:rPr>
        <w:fldChar w:fldCharType="end"/>
      </w:r>
      <w:r w:rsidRPr="00A214F9">
        <w:rPr>
          <w:b/>
          <w:bCs/>
          <w:i/>
          <w:iCs/>
          <w:highlight w:val="lightGray"/>
        </w:rPr>
        <w:t xml:space="preserve">. If the identities of any Key Subcontractors are not known as at the Signing Date, the Commonwealth is open to preapproving a limited number of potential Key Subcontractors from which </w:t>
      </w:r>
      <w:r w:rsidR="0044549E">
        <w:rPr>
          <w:b/>
          <w:bCs/>
          <w:i/>
          <w:iCs/>
          <w:highlight w:val="lightGray"/>
        </w:rPr>
        <w:t>Project</w:t>
      </w:r>
      <w:r w:rsidR="0044549E" w:rsidRPr="00A214F9">
        <w:rPr>
          <w:b/>
          <w:bCs/>
          <w:i/>
          <w:iCs/>
          <w:highlight w:val="lightGray"/>
        </w:rPr>
        <w:t xml:space="preserve"> </w:t>
      </w:r>
      <w:r w:rsidRPr="00A214F9">
        <w:rPr>
          <w:b/>
          <w:bCs/>
          <w:i/>
          <w:iCs/>
          <w:highlight w:val="lightGray"/>
        </w:rPr>
        <w:t>Operator may seek proposals to perform the relevant Key Subcontract</w:t>
      </w:r>
      <w:r w:rsidR="0044549E">
        <w:rPr>
          <w:b/>
          <w:bCs/>
          <w:i/>
          <w:iCs/>
          <w:highlight w:val="lightGray"/>
        </w:rPr>
        <w:t>(s)</w:t>
      </w:r>
      <w:r w:rsidRPr="00A214F9">
        <w:rPr>
          <w:b/>
          <w:bCs/>
          <w:i/>
          <w:iCs/>
          <w:highlight w:val="lightGray"/>
        </w:rPr>
        <w:t>.</w:t>
      </w:r>
      <w:r w:rsidRPr="006D6BAB">
        <w:rPr>
          <w:b/>
          <w:bCs/>
          <w:i/>
          <w:iCs/>
        </w:rPr>
        <w:t>]</w:t>
      </w:r>
      <w:r w:rsidRPr="00A214F9">
        <w:rPr>
          <w:b/>
          <w:bCs/>
          <w:i/>
          <w:iCs/>
        </w:rPr>
        <w:t xml:space="preserve"> </w:t>
      </w:r>
    </w:p>
    <w:p w14:paraId="7A21D65E" w14:textId="63F15BCE" w:rsidR="00A214F9" w:rsidRDefault="0044549E" w:rsidP="008C038D">
      <w:pPr>
        <w:pStyle w:val="Heading3"/>
        <w:spacing w:before="240"/>
      </w:pPr>
      <w:bookmarkStart w:id="5172" w:name="_Ref151252857"/>
      <w:r>
        <w:t xml:space="preserve">Project </w:t>
      </w:r>
      <w:r w:rsidR="00A214F9">
        <w:t xml:space="preserve">Operator </w:t>
      </w:r>
      <w:r w:rsidR="00A214F9" w:rsidRPr="006C411E">
        <w:t xml:space="preserve">is not required to seek prior written approval from the </w:t>
      </w:r>
      <w:r w:rsidR="00A214F9">
        <w:t xml:space="preserve">Commonwealth </w:t>
      </w:r>
      <w:r w:rsidR="00A214F9" w:rsidRPr="006C411E">
        <w:t xml:space="preserve">for any Key Subcontractor identified in </w:t>
      </w:r>
      <w:r w:rsidR="00A214F9">
        <w:fldChar w:fldCharType="begin"/>
      </w:r>
      <w:r w:rsidR="00A214F9">
        <w:instrText xml:space="preserve"> REF _Ref151252775 \w \h </w:instrText>
      </w:r>
      <w:r w:rsidR="00A214F9">
        <w:fldChar w:fldCharType="separate"/>
      </w:r>
      <w:r w:rsidR="002E5C6A">
        <w:t>Schedule 7</w:t>
      </w:r>
      <w:r w:rsidR="00A214F9">
        <w:fldChar w:fldCharType="end"/>
      </w:r>
      <w:r w:rsidR="00A214F9" w:rsidRPr="006C411E">
        <w:t xml:space="preserve"> provided that the applicable Key Subcontractor is to be engaged to provide or perform </w:t>
      </w:r>
      <w:r w:rsidR="00A214F9">
        <w:t xml:space="preserve">or deliver </w:t>
      </w:r>
      <w:r w:rsidR="00A214F9" w:rsidRPr="006C411E">
        <w:t>the goods</w:t>
      </w:r>
      <w:r w:rsidR="00A214F9" w:rsidRPr="0005264D">
        <w:t xml:space="preserve">, services and parts of the work comprising or in relation to the </w:t>
      </w:r>
      <w:r w:rsidRPr="0005264D">
        <w:t>Project</w:t>
      </w:r>
      <w:r w:rsidR="00A214F9" w:rsidRPr="0005264D">
        <w:t xml:space="preserve"> </w:t>
      </w:r>
      <w:r w:rsidR="00E0274F" w:rsidRPr="0005264D">
        <w:t xml:space="preserve">that </w:t>
      </w:r>
      <w:r w:rsidR="00E85DAE" w:rsidRPr="0005264D">
        <w:t>it is</w:t>
      </w:r>
      <w:r w:rsidR="00A214F9" w:rsidRPr="0005264D">
        <w:t xml:space="preserve"> approved</w:t>
      </w:r>
      <w:r w:rsidR="00A214F9" w:rsidRPr="006C411E">
        <w:t xml:space="preserve"> to provide and perform</w:t>
      </w:r>
      <w:r w:rsidR="00E0274F">
        <w:t>,</w:t>
      </w:r>
      <w:r w:rsidR="00A214F9" w:rsidRPr="006C411E">
        <w:t xml:space="preserve"> as set out in </w:t>
      </w:r>
      <w:r w:rsidR="00A214F9">
        <w:fldChar w:fldCharType="begin"/>
      </w:r>
      <w:r w:rsidR="00A214F9">
        <w:instrText xml:space="preserve"> REF _Ref151252775 \w \h </w:instrText>
      </w:r>
      <w:r w:rsidR="00A214F9">
        <w:fldChar w:fldCharType="separate"/>
      </w:r>
      <w:r w:rsidR="002E5C6A">
        <w:t>Schedule 7</w:t>
      </w:r>
      <w:r w:rsidR="00A214F9">
        <w:fldChar w:fldCharType="end"/>
      </w:r>
      <w:r w:rsidR="00A214F9" w:rsidRPr="006C411E">
        <w:t>.</w:t>
      </w:r>
      <w:bookmarkEnd w:id="5172"/>
      <w:r w:rsidR="00A214F9" w:rsidRPr="006C411E">
        <w:t xml:space="preserve"> </w:t>
      </w:r>
    </w:p>
    <w:p w14:paraId="7F29CEF4" w14:textId="3FEC1D8A" w:rsidR="00A214F9" w:rsidRDefault="00A214F9" w:rsidP="0058045D">
      <w:pPr>
        <w:pStyle w:val="Heading3"/>
      </w:pPr>
      <w:bookmarkStart w:id="5173" w:name="_Ref151252877"/>
      <w:r>
        <w:t xml:space="preserve">The Commonwealth may only refuse approval for a Key Subcontractor not identified in </w:t>
      </w:r>
      <w:r>
        <w:fldChar w:fldCharType="begin"/>
      </w:r>
      <w:r>
        <w:instrText xml:space="preserve"> REF _Ref151252775 \w \h </w:instrText>
      </w:r>
      <w:r>
        <w:fldChar w:fldCharType="separate"/>
      </w:r>
      <w:r w:rsidR="002E5C6A">
        <w:t>Schedule 7</w:t>
      </w:r>
      <w:r>
        <w:fldChar w:fldCharType="end"/>
      </w:r>
      <w:r>
        <w:t xml:space="preserve"> </w:t>
      </w:r>
      <w:r w:rsidR="0044549E">
        <w:t>if</w:t>
      </w:r>
      <w:r>
        <w:t xml:space="preserve"> that proposed Key Subcontractor:</w:t>
      </w:r>
    </w:p>
    <w:p w14:paraId="01F55BC2" w14:textId="28211F99" w:rsidR="00A214F9" w:rsidRDefault="00A214F9" w:rsidP="0058045D">
      <w:pPr>
        <w:pStyle w:val="Heading4"/>
      </w:pPr>
      <w:r>
        <w:t xml:space="preserve">does not have the legal, commercial, technical, managerial </w:t>
      </w:r>
      <w:r w:rsidR="00E0274F">
        <w:t xml:space="preserve">or </w:t>
      </w:r>
      <w:r>
        <w:t xml:space="preserve">financial capability to enable it to perform or deliver the relevant goods, services or parts of the works </w:t>
      </w:r>
      <w:bookmarkEnd w:id="5173"/>
      <w:r w:rsidR="00E0274F">
        <w:t xml:space="preserve">that </w:t>
      </w:r>
      <w:r>
        <w:t>it is being engaged to provide; or</w:t>
      </w:r>
    </w:p>
    <w:p w14:paraId="6239EEF4" w14:textId="7A6121FC" w:rsidR="007B65C7" w:rsidRDefault="00A214F9" w:rsidP="0058045D">
      <w:pPr>
        <w:pStyle w:val="Heading4"/>
      </w:pPr>
      <w:r>
        <w:t>is insolvent</w:t>
      </w:r>
      <w:r w:rsidR="008F4CFC">
        <w:t xml:space="preserve"> or</w:t>
      </w:r>
      <w:r>
        <w:t xml:space="preserve"> not reputable or has an interest </w:t>
      </w:r>
      <w:r w:rsidR="000A172F">
        <w:t xml:space="preserve">which </w:t>
      </w:r>
      <w:r>
        <w:t>conflicts in a material way with the interests of the Commonwealth</w:t>
      </w:r>
      <w:r w:rsidR="007B65C7">
        <w:t>; or</w:t>
      </w:r>
    </w:p>
    <w:p w14:paraId="0DC1B540" w14:textId="2C5E7F97" w:rsidR="00213C2A" w:rsidRDefault="00213C2A" w:rsidP="0058045D">
      <w:pPr>
        <w:pStyle w:val="Heading4"/>
      </w:pPr>
      <w:r>
        <w:t>there is a prohibition or restriction imposed by Law which would prevent or have an adverse effect on its ability to perform or deliver the relevant goods, services, or parts of the works that it is being engaged to provide.</w:t>
      </w:r>
    </w:p>
    <w:p w14:paraId="3EE56C86" w14:textId="7B61AA31" w:rsidR="00A214F9" w:rsidRDefault="0044549E" w:rsidP="0058045D">
      <w:pPr>
        <w:pStyle w:val="Heading3"/>
      </w:pPr>
      <w:r>
        <w:t xml:space="preserve">Project </w:t>
      </w:r>
      <w:r w:rsidR="00A214F9">
        <w:t xml:space="preserve">Operator is not discharged from any obligation or </w:t>
      </w:r>
      <w:r w:rsidR="000A172F">
        <w:t>l</w:t>
      </w:r>
      <w:r w:rsidR="00A214F9">
        <w:t xml:space="preserve">iability under this </w:t>
      </w:r>
      <w:r>
        <w:t>a</w:t>
      </w:r>
      <w:r w:rsidR="00A214F9">
        <w:t>greement by entering into any Subcontract.</w:t>
      </w:r>
    </w:p>
    <w:p w14:paraId="028120B5" w14:textId="77777777" w:rsidR="001A27BC" w:rsidRDefault="2BC382E4" w:rsidP="0058045D">
      <w:pPr>
        <w:pStyle w:val="Heading1"/>
      </w:pPr>
      <w:bookmarkStart w:id="5174" w:name="_Toc106290502"/>
      <w:bookmarkStart w:id="5175" w:name="_Toc106290503"/>
      <w:bookmarkStart w:id="5176" w:name="_Toc106290504"/>
      <w:bookmarkStart w:id="5177" w:name="_Toc106290505"/>
      <w:bookmarkStart w:id="5178" w:name="_Toc106290506"/>
      <w:bookmarkStart w:id="5179" w:name="_Toc106290507"/>
      <w:bookmarkStart w:id="5180" w:name="_Toc106290508"/>
      <w:bookmarkStart w:id="5181" w:name="_Toc106290509"/>
      <w:bookmarkStart w:id="5182" w:name="_Toc106290510"/>
      <w:bookmarkStart w:id="5183" w:name="_Ref492506863"/>
      <w:bookmarkStart w:id="5184" w:name="_Ref492560813"/>
      <w:bookmarkStart w:id="5185" w:name="_Toc492504817"/>
      <w:bookmarkStart w:id="5186" w:name="_Toc515359017"/>
      <w:bookmarkStart w:id="5187" w:name="_Toc515470258"/>
      <w:bookmarkStart w:id="5188" w:name="_Ref467048592"/>
      <w:bookmarkStart w:id="5189" w:name="_Ref467050013"/>
      <w:bookmarkStart w:id="5190" w:name="_Toc207309727"/>
      <w:bookmarkEnd w:id="5061"/>
      <w:bookmarkEnd w:id="5174"/>
      <w:bookmarkEnd w:id="5175"/>
      <w:bookmarkEnd w:id="5176"/>
      <w:bookmarkEnd w:id="5177"/>
      <w:bookmarkEnd w:id="5178"/>
      <w:bookmarkEnd w:id="5179"/>
      <w:bookmarkEnd w:id="5180"/>
      <w:bookmarkEnd w:id="5181"/>
      <w:bookmarkEnd w:id="5182"/>
      <w:r>
        <w:t>Confidentiality</w:t>
      </w:r>
      <w:bookmarkEnd w:id="5183"/>
      <w:bookmarkEnd w:id="5184"/>
      <w:bookmarkEnd w:id="5185"/>
      <w:bookmarkEnd w:id="5186"/>
      <w:bookmarkEnd w:id="5187"/>
      <w:bookmarkEnd w:id="5188"/>
      <w:bookmarkEnd w:id="5189"/>
      <w:bookmarkEnd w:id="5190"/>
    </w:p>
    <w:p w14:paraId="2ED072EE" w14:textId="77777777" w:rsidR="00A264F8" w:rsidRPr="00A264F8" w:rsidRDefault="001A27BC" w:rsidP="0058045D">
      <w:pPr>
        <w:pStyle w:val="Heading2"/>
      </w:pPr>
      <w:bookmarkStart w:id="5191" w:name="_Toc104305727"/>
      <w:bookmarkStart w:id="5192" w:name="_Ref165295075"/>
      <w:bookmarkStart w:id="5193" w:name="_Toc207309728"/>
      <w:bookmarkStart w:id="5194" w:name="_Toc492504819"/>
      <w:bookmarkStart w:id="5195" w:name="_Toc515359026"/>
      <w:bookmarkStart w:id="5196" w:name="_Toc515470260"/>
      <w:bookmarkStart w:id="5197" w:name="_Ref57884909"/>
      <w:bookmarkStart w:id="5198" w:name="_Toc104238846"/>
      <w:bookmarkStart w:id="5199" w:name="_Ref57821380"/>
      <w:r>
        <w:t xml:space="preserve">Disclosure of </w:t>
      </w:r>
      <w:bookmarkEnd w:id="5191"/>
      <w:r>
        <w:t>information</w:t>
      </w:r>
      <w:bookmarkEnd w:id="5192"/>
      <w:bookmarkEnd w:id="5193"/>
    </w:p>
    <w:p w14:paraId="0DD5F0A1" w14:textId="377B228D" w:rsidR="001A27BC" w:rsidRDefault="001A27BC" w:rsidP="00E40026">
      <w:pPr>
        <w:pStyle w:val="Indent2"/>
        <w:keepNext/>
      </w:pPr>
      <w:r w:rsidRPr="00354E1C">
        <w:t>Each party agrees not to disclose</w:t>
      </w:r>
      <w:r>
        <w:t xml:space="preserve"> information</w:t>
      </w:r>
      <w:r w:rsidRPr="00354E1C">
        <w:t xml:space="preserve"> provided by </w:t>
      </w:r>
      <w:r>
        <w:t>the</w:t>
      </w:r>
      <w:r w:rsidRPr="00354E1C">
        <w:t xml:space="preserve"> </w:t>
      </w:r>
      <w:r>
        <w:t xml:space="preserve">other </w:t>
      </w:r>
      <w:r w:rsidRPr="00354E1C">
        <w:t xml:space="preserve">party (including </w:t>
      </w:r>
      <w:r>
        <w:t xml:space="preserve">the </w:t>
      </w:r>
      <w:r w:rsidRPr="00354E1C">
        <w:t>contents of</w:t>
      </w:r>
      <w:r>
        <w:t xml:space="preserve"> this agreement) </w:t>
      </w:r>
      <w:r w:rsidR="0029324A">
        <w:t>other than</w:t>
      </w:r>
      <w:r>
        <w:t>:</w:t>
      </w:r>
    </w:p>
    <w:p w14:paraId="637D04A3" w14:textId="443DB993" w:rsidR="001A27BC" w:rsidRPr="00354E1C" w:rsidRDefault="001A27BC" w:rsidP="0058045D">
      <w:pPr>
        <w:pStyle w:val="Heading3"/>
      </w:pPr>
      <w:r>
        <w:t xml:space="preserve">information that is publicly available (other than through a breach of this clause </w:t>
      </w:r>
      <w:r>
        <w:fldChar w:fldCharType="begin"/>
      </w:r>
      <w:r>
        <w:instrText xml:space="preserve"> REF _Ref492506863 \r \h </w:instrText>
      </w:r>
      <w:r>
        <w:fldChar w:fldCharType="separate"/>
      </w:r>
      <w:r w:rsidR="002E5C6A">
        <w:t>31</w:t>
      </w:r>
      <w:r>
        <w:fldChar w:fldCharType="end"/>
      </w:r>
      <w:r w:rsidR="00A05BCD">
        <w:t xml:space="preserve"> or </w:t>
      </w:r>
      <w:r w:rsidR="008C3D8B">
        <w:t>another</w:t>
      </w:r>
      <w:r w:rsidR="00A05BCD">
        <w:t xml:space="preserve"> obligation of confidentiality</w:t>
      </w:r>
      <w:r>
        <w:t>);</w:t>
      </w:r>
    </w:p>
    <w:p w14:paraId="4E27CB3D" w14:textId="77777777" w:rsidR="001A27BC" w:rsidRPr="00354E1C" w:rsidRDefault="001A27BC" w:rsidP="0058045D">
      <w:pPr>
        <w:pStyle w:val="Heading3"/>
      </w:pPr>
      <w:r w:rsidRPr="00354E1C">
        <w:t xml:space="preserve">to any person </w:t>
      </w:r>
      <w:r w:rsidR="00A05BCD">
        <w:t>t</w:t>
      </w:r>
      <w:r w:rsidR="008C3D8B">
        <w:t>o</w:t>
      </w:r>
      <w:r w:rsidR="00A05BCD">
        <w:t xml:space="preserve"> the limited extent necessary </w:t>
      </w:r>
      <w:r w:rsidRPr="00354E1C">
        <w:t xml:space="preserve">in connection with an exercise of rights or a dealing, or proposed dealing, with rights or obligations in </w:t>
      </w:r>
      <w:r>
        <w:t>connection with this agreement</w:t>
      </w:r>
      <w:r w:rsidR="00A05BCD">
        <w:t xml:space="preserve"> (and provided the recipient is bound by an equivalent obligation of confidentiality)</w:t>
      </w:r>
      <w:r>
        <w:t>;</w:t>
      </w:r>
    </w:p>
    <w:p w14:paraId="67ACBDD2" w14:textId="77777777" w:rsidR="001A27BC" w:rsidRDefault="001A27BC" w:rsidP="0058045D">
      <w:pPr>
        <w:pStyle w:val="Heading3"/>
      </w:pPr>
      <w:r w:rsidRPr="00354E1C">
        <w:t>to officers, employees, agents, contractors, legal and other advisers</w:t>
      </w:r>
      <w:r w:rsidR="00785A96">
        <w:t>, insurers</w:t>
      </w:r>
      <w:r w:rsidRPr="00354E1C">
        <w:t xml:space="preserve"> and auditors of the </w:t>
      </w:r>
      <w:r>
        <w:t>party</w:t>
      </w:r>
      <w:r w:rsidR="00785A96">
        <w:t xml:space="preserve"> (or to insurers and auditors of the party’s Related Bodies Corporate)</w:t>
      </w:r>
      <w:r w:rsidR="000D0FBF">
        <w:t>,</w:t>
      </w:r>
      <w:r w:rsidR="00785A96">
        <w:t xml:space="preserve"> </w:t>
      </w:r>
      <w:r w:rsidR="000D0FBF">
        <w:t>in each case</w:t>
      </w:r>
      <w:r w:rsidR="00785A96">
        <w:t xml:space="preserve"> </w:t>
      </w:r>
      <w:r w:rsidR="000D0FBF">
        <w:t>to the extent that such a person has a need to know</w:t>
      </w:r>
      <w:r w:rsidR="00A05BCD">
        <w:t xml:space="preserve"> (</w:t>
      </w:r>
      <w:r w:rsidR="000D0FBF">
        <w:t xml:space="preserve">and </w:t>
      </w:r>
      <w:r w:rsidR="00A05BCD">
        <w:t>provided the recipient is bound by an equivalent obligation of confidentiality</w:t>
      </w:r>
      <w:r w:rsidR="00A44E61">
        <w:t>, except any Commonwealth officers, employees and servants who are already subject to confidentiality obligations</w:t>
      </w:r>
      <w:r w:rsidR="00A05BCD">
        <w:t>)</w:t>
      </w:r>
      <w:r w:rsidRPr="00354E1C">
        <w:t>;</w:t>
      </w:r>
    </w:p>
    <w:p w14:paraId="68FB193F" w14:textId="77777777" w:rsidR="00D14EC8" w:rsidRDefault="001A27BC" w:rsidP="0058045D">
      <w:pPr>
        <w:pStyle w:val="Heading3"/>
      </w:pPr>
      <w:r>
        <w:t>to</w:t>
      </w:r>
      <w:r w:rsidR="00D14EC8">
        <w:t>:</w:t>
      </w:r>
      <w:r>
        <w:t xml:space="preserve"> </w:t>
      </w:r>
    </w:p>
    <w:p w14:paraId="04047EAD" w14:textId="77777777" w:rsidR="001A27BC" w:rsidRDefault="001A27BC" w:rsidP="0058045D">
      <w:pPr>
        <w:pStyle w:val="Heading4"/>
      </w:pPr>
      <w:r>
        <w:t>a bank or other financial institution (and its professional advisers) in connection with any existing or proposed loan or other financial accommodation of, or sought to be arranged by, the recipient of the information;</w:t>
      </w:r>
    </w:p>
    <w:p w14:paraId="3B7C5ED5" w14:textId="264F6E40" w:rsidR="00D14EC8" w:rsidRPr="00354E1C" w:rsidRDefault="73E595EF" w:rsidP="0058045D">
      <w:pPr>
        <w:pStyle w:val="Heading4"/>
      </w:pPr>
      <w:bookmarkStart w:id="5200" w:name="_Hlk113978051"/>
      <w:r>
        <w:t xml:space="preserve">any person who is proposing to acquire a direct or indirect interest in the party </w:t>
      </w:r>
      <w:r w:rsidRPr="73E595EF">
        <w:rPr>
          <w:rFonts w:eastAsia="Arial"/>
        </w:rPr>
        <w:t>(and that person’s professional advisers)</w:t>
      </w:r>
      <w:r>
        <w:t>; or</w:t>
      </w:r>
    </w:p>
    <w:bookmarkEnd w:id="5200"/>
    <w:p w14:paraId="2D4EDCC2" w14:textId="6FD217A8" w:rsidR="00D14EC8" w:rsidRDefault="00D14EC8" w:rsidP="0058045D">
      <w:pPr>
        <w:pStyle w:val="Heading4"/>
      </w:pPr>
      <w:r>
        <w:t xml:space="preserve">any </w:t>
      </w:r>
      <w:r w:rsidR="001A27BC">
        <w:t>Related Bod</w:t>
      </w:r>
      <w:r w:rsidR="004E4891">
        <w:t>y</w:t>
      </w:r>
      <w:r w:rsidR="001A27BC">
        <w:t xml:space="preserve"> Corporate</w:t>
      </w:r>
      <w:bookmarkStart w:id="5201" w:name="_Hlk113978073"/>
      <w:r>
        <w:t xml:space="preserve"> of a party to this agreement</w:t>
      </w:r>
      <w:bookmarkEnd w:id="5201"/>
      <w:r w:rsidR="001A27BC" w:rsidRPr="00354E1C">
        <w:t>,</w:t>
      </w:r>
    </w:p>
    <w:p w14:paraId="4577CDFA" w14:textId="374B85C4" w:rsidR="001A27BC" w:rsidRPr="00354E1C" w:rsidRDefault="000D0FBF" w:rsidP="0058045D">
      <w:pPr>
        <w:pStyle w:val="Heading4"/>
        <w:numPr>
          <w:ilvl w:val="0"/>
          <w:numId w:val="0"/>
        </w:numPr>
        <w:ind w:left="1474"/>
      </w:pPr>
      <w:r>
        <w:t xml:space="preserve">and in each case </w:t>
      </w:r>
      <w:r w:rsidR="00E0274F" w:rsidRPr="00543512">
        <w:t xml:space="preserve">only to the extent that </w:t>
      </w:r>
      <w:r w:rsidR="00E0274F">
        <w:t xml:space="preserve">the recipient </w:t>
      </w:r>
      <w:r w:rsidR="00E0274F" w:rsidRPr="00543512">
        <w:t>has a need to know</w:t>
      </w:r>
      <w:r w:rsidR="00E0274F" w:rsidRPr="00354E1C">
        <w:t xml:space="preserve"> </w:t>
      </w:r>
      <w:r w:rsidR="00E0274F">
        <w:t xml:space="preserve">and </w:t>
      </w:r>
      <w:r w:rsidR="001A27BC" w:rsidRPr="00354E1C">
        <w:t xml:space="preserve">provided the recipient </w:t>
      </w:r>
      <w:r w:rsidR="00A05BCD">
        <w:t>is bound by an equivalent obligation of confidentiality</w:t>
      </w:r>
      <w:r w:rsidR="001A27BC" w:rsidRPr="00354E1C">
        <w:t>;</w:t>
      </w:r>
    </w:p>
    <w:p w14:paraId="2025BEF2" w14:textId="7CE44C2B" w:rsidR="001A27BC" w:rsidRDefault="001A27BC" w:rsidP="0058045D">
      <w:pPr>
        <w:pStyle w:val="Heading3"/>
      </w:pPr>
      <w:bookmarkStart w:id="5202" w:name="_Ref165295078"/>
      <w:r w:rsidRPr="00354E1C">
        <w:t xml:space="preserve">with the consent of the party </w:t>
      </w:r>
      <w:r w:rsidR="00E0274F">
        <w:t>that</w:t>
      </w:r>
      <w:r w:rsidR="00E0274F" w:rsidRPr="00354E1C">
        <w:t xml:space="preserve"> </w:t>
      </w:r>
      <w:r w:rsidRPr="00354E1C">
        <w:t>provided the information (such consent not to be unreasonably withheld);</w:t>
      </w:r>
      <w:bookmarkEnd w:id="5202"/>
    </w:p>
    <w:p w14:paraId="631B1C8F" w14:textId="6DE379F3" w:rsidR="0097438F" w:rsidRPr="00354E1C" w:rsidRDefault="0097438F" w:rsidP="0058045D">
      <w:pPr>
        <w:pStyle w:val="Heading3"/>
      </w:pPr>
      <w:r>
        <w:t xml:space="preserve">in the case of disclosure by </w:t>
      </w:r>
      <w:r w:rsidR="00BE77D6" w:rsidRPr="005D76CA">
        <w:t>the Commonwealth</w:t>
      </w:r>
      <w:r w:rsidRPr="005D76CA">
        <w:t>, Knowledge</w:t>
      </w:r>
      <w:r>
        <w:t xml:space="preserve"> Sharing Deliverables that have been categorised by </w:t>
      </w:r>
      <w:r w:rsidR="00411B14">
        <w:t>Project Operator</w:t>
      </w:r>
      <w:r>
        <w:t xml:space="preserve"> as ‘public information’ pursuant to clause</w:t>
      </w:r>
      <w:r w:rsidR="006D6BAB">
        <w:t xml:space="preserve"> </w:t>
      </w:r>
      <w:r w:rsidR="006D6BAB">
        <w:fldChar w:fldCharType="begin"/>
      </w:r>
      <w:r w:rsidR="006D6BAB">
        <w:instrText xml:space="preserve"> REF _Ref107925607 \w \h </w:instrText>
      </w:r>
      <w:r w:rsidR="006D6BAB">
        <w:fldChar w:fldCharType="separate"/>
      </w:r>
      <w:r w:rsidR="002E5C6A">
        <w:t>13(c)</w:t>
      </w:r>
      <w:r w:rsidR="006D6BAB">
        <w:fldChar w:fldCharType="end"/>
      </w:r>
      <w:r>
        <w:t xml:space="preserve"> (“</w:t>
      </w:r>
      <w:r>
        <w:fldChar w:fldCharType="begin"/>
      </w:r>
      <w:r>
        <w:instrText xml:space="preserve"> REF _Ref107925619 \h </w:instrText>
      </w:r>
      <w:r>
        <w:fldChar w:fldCharType="separate"/>
      </w:r>
      <w:r w:rsidR="002E5C6A">
        <w:t>Knowledge sharing</w:t>
      </w:r>
      <w:r>
        <w:fldChar w:fldCharType="end"/>
      </w:r>
      <w:r>
        <w:t>”);</w:t>
      </w:r>
    </w:p>
    <w:p w14:paraId="22238134" w14:textId="77777777" w:rsidR="001A27BC" w:rsidRDefault="00A05BCD" w:rsidP="0058045D">
      <w:pPr>
        <w:pStyle w:val="Heading3"/>
      </w:pPr>
      <w:r>
        <w:t>when</w:t>
      </w:r>
      <w:r w:rsidR="001A27BC">
        <w:t xml:space="preserve"> the disclosure is required by an order of a court of competent jurisdiction for the purposes of any litigation or arbitration arising from this agreement</w:t>
      </w:r>
      <w:r>
        <w:t>, and then only in accordance with the terms of that order</w:t>
      </w:r>
      <w:r w:rsidR="001A27BC">
        <w:t>;</w:t>
      </w:r>
    </w:p>
    <w:p w14:paraId="472066E8" w14:textId="77777777" w:rsidR="001A27BC" w:rsidRDefault="001A27BC" w:rsidP="0058045D">
      <w:pPr>
        <w:pStyle w:val="Heading3"/>
      </w:pPr>
      <w:r w:rsidRPr="00354E1C">
        <w:t>any disclosure</w:t>
      </w:r>
      <w:r>
        <w:t xml:space="preserve"> that</w:t>
      </w:r>
      <w:r w:rsidRPr="00354E1C">
        <w:t xml:space="preserve"> the </w:t>
      </w:r>
      <w:r>
        <w:t>recipient</w:t>
      </w:r>
      <w:r w:rsidRPr="00354E1C">
        <w:t xml:space="preserve"> reasonably believes is required by any </w:t>
      </w:r>
      <w:r w:rsidR="008529B2">
        <w:t>L</w:t>
      </w:r>
      <w:r w:rsidRPr="00354E1C">
        <w:t>aw</w:t>
      </w:r>
      <w:r>
        <w:t xml:space="preserve"> or</w:t>
      </w:r>
      <w:r w:rsidRPr="00354E1C">
        <w:t xml:space="preserve"> securities exchange</w:t>
      </w:r>
      <w:r w:rsidR="00A05BCD">
        <w:t>, and then only to the extent reasonably required</w:t>
      </w:r>
      <w:r>
        <w:t>;</w:t>
      </w:r>
    </w:p>
    <w:p w14:paraId="4118A2E8" w14:textId="77777777" w:rsidR="001A27BC" w:rsidRDefault="001A27BC" w:rsidP="0058045D">
      <w:pPr>
        <w:pStyle w:val="Heading3"/>
      </w:pPr>
      <w:r>
        <w:t xml:space="preserve">to a </w:t>
      </w:r>
      <w:r w:rsidRPr="00354E1C">
        <w:t>rating agency</w:t>
      </w:r>
      <w:r w:rsidR="00A05BCD">
        <w:t xml:space="preserve"> (provided the recipient is bound by an equivalent obligation of confidentiality)</w:t>
      </w:r>
      <w:r>
        <w:t>; or</w:t>
      </w:r>
    </w:p>
    <w:p w14:paraId="692E62D7" w14:textId="77777777" w:rsidR="001A27BC" w:rsidRDefault="001A27BC" w:rsidP="0058045D">
      <w:pPr>
        <w:pStyle w:val="Heading3"/>
      </w:pPr>
      <w:bookmarkStart w:id="5203" w:name="_Hlk106217499"/>
      <w:r>
        <w:t xml:space="preserve">in the case of </w:t>
      </w:r>
      <w:r w:rsidR="009F7B4A">
        <w:t xml:space="preserve">disclosure by </w:t>
      </w:r>
      <w:r w:rsidR="00BE77D6" w:rsidRPr="005D76CA">
        <w:t>the Commonwealth</w:t>
      </w:r>
      <w:r>
        <w:t xml:space="preserve">, to: </w:t>
      </w:r>
    </w:p>
    <w:p w14:paraId="3392B3AA" w14:textId="6E2B4745" w:rsidR="009D718F" w:rsidRDefault="009D718F" w:rsidP="0058045D">
      <w:pPr>
        <w:pStyle w:val="Heading4"/>
      </w:pPr>
      <w:bookmarkStart w:id="5204" w:name="_Ref108183323"/>
      <w:r>
        <w:t xml:space="preserve">a Minister or Parliament in accordance with statutory or portfolio duties or functions or for public accountability reasons including following a request by a Minister, </w:t>
      </w:r>
      <w:r w:rsidR="00790884">
        <w:t xml:space="preserve">a </w:t>
      </w:r>
      <w:r>
        <w:t>Parliament or a House or a Committee of the Parliament of the Commonwealth</w:t>
      </w:r>
      <w:r w:rsidR="00A05BCD">
        <w:t xml:space="preserve"> or their respective staff</w:t>
      </w:r>
      <w:r>
        <w:t xml:space="preserve">; </w:t>
      </w:r>
    </w:p>
    <w:p w14:paraId="1E034745" w14:textId="77777777" w:rsidR="009D718F" w:rsidRDefault="009D718F" w:rsidP="0058045D">
      <w:pPr>
        <w:pStyle w:val="Heading4"/>
      </w:pPr>
      <w:r>
        <w:t xml:space="preserve">any </w:t>
      </w:r>
      <w:r w:rsidR="00A05BCD">
        <w:t xml:space="preserve">Commonwealth Entity or </w:t>
      </w:r>
      <w:r>
        <w:t xml:space="preserve">Government </w:t>
      </w:r>
      <w:r w:rsidR="005032FF">
        <w:t>Authority</w:t>
      </w:r>
      <w:r w:rsidR="00A05BCD">
        <w:t>, when</w:t>
      </w:r>
      <w:r>
        <w:t xml:space="preserve"> this serves the Commonwealth</w:t>
      </w:r>
      <w:r w:rsidR="0006425A">
        <w:t>’</w:t>
      </w:r>
      <w:r>
        <w:t>s legitimate interests</w:t>
      </w:r>
      <w:r w:rsidR="00A05BCD">
        <w:t>,</w:t>
      </w:r>
      <w:r>
        <w:t xml:space="preserve"> including to the Australian National Audit Office;</w:t>
      </w:r>
    </w:p>
    <w:p w14:paraId="7ED1D29E" w14:textId="77777777" w:rsidR="009D718F" w:rsidRDefault="009D718F" w:rsidP="0058045D">
      <w:pPr>
        <w:pStyle w:val="Heading4"/>
      </w:pPr>
      <w:r>
        <w:t>AEMO or its Related Bodies Corporate;</w:t>
      </w:r>
    </w:p>
    <w:p w14:paraId="5289EC36" w14:textId="5D4B1829" w:rsidR="009D718F" w:rsidRDefault="009D718F" w:rsidP="0058045D">
      <w:pPr>
        <w:pStyle w:val="Heading4"/>
      </w:pPr>
      <w:bookmarkStart w:id="5205" w:name="_Ref159429321"/>
      <w:r>
        <w:t xml:space="preserve">any person entitled to a licence or sublicence </w:t>
      </w:r>
      <w:r w:rsidR="00A05BCD">
        <w:t xml:space="preserve">of </w:t>
      </w:r>
      <w:r w:rsidR="00790884">
        <w:t xml:space="preserve">rights in </w:t>
      </w:r>
      <w:r>
        <w:t xml:space="preserve">Specified Materials pursuant to this </w:t>
      </w:r>
      <w:r w:rsidR="00A264F8">
        <w:t>a</w:t>
      </w:r>
      <w:r>
        <w:t xml:space="preserve">greement; </w:t>
      </w:r>
      <w:bookmarkEnd w:id="5205"/>
      <w:r w:rsidR="00A264F8">
        <w:t>and</w:t>
      </w:r>
    </w:p>
    <w:bookmarkEnd w:id="5204"/>
    <w:p w14:paraId="1CDA6C69" w14:textId="7C3D80BE" w:rsidR="003E0C8A" w:rsidRDefault="00790884" w:rsidP="0058045D">
      <w:pPr>
        <w:pStyle w:val="Heading4"/>
      </w:pPr>
      <w:r>
        <w:t xml:space="preserve">the </w:t>
      </w:r>
      <w:r w:rsidR="00C612C0" w:rsidRPr="00354E1C">
        <w:t>officers, employees, agents, contractors, legal and other advisers and auditors</w:t>
      </w:r>
      <w:r w:rsidR="00861155">
        <w:t xml:space="preserve"> (as applicable) of the entities set out in </w:t>
      </w:r>
      <w:bookmarkStart w:id="5206" w:name="_Hlk108183340"/>
      <w:r w:rsidR="003C0556">
        <w:rPr>
          <w:rFonts w:eastAsia="STKaiti"/>
        </w:rPr>
        <w:t xml:space="preserve">subparagraphs </w:t>
      </w:r>
      <w:r w:rsidR="003C0556">
        <w:rPr>
          <w:rFonts w:eastAsia="STKaiti"/>
        </w:rPr>
        <w:fldChar w:fldCharType="begin"/>
      </w:r>
      <w:r w:rsidR="003C0556">
        <w:rPr>
          <w:rFonts w:eastAsia="STKaiti"/>
        </w:rPr>
        <w:instrText xml:space="preserve"> REF _Ref108183323 \n \h </w:instrText>
      </w:r>
      <w:r w:rsidR="003C0556">
        <w:rPr>
          <w:rFonts w:eastAsia="STKaiti"/>
        </w:rPr>
      </w:r>
      <w:r w:rsidR="003C0556">
        <w:rPr>
          <w:rFonts w:eastAsia="STKaiti"/>
        </w:rPr>
        <w:fldChar w:fldCharType="separate"/>
      </w:r>
      <w:r w:rsidR="002E5C6A">
        <w:rPr>
          <w:rFonts w:eastAsia="STKaiti"/>
        </w:rPr>
        <w:t>(i)</w:t>
      </w:r>
      <w:r w:rsidR="003C0556">
        <w:rPr>
          <w:rFonts w:eastAsia="STKaiti"/>
        </w:rPr>
        <w:fldChar w:fldCharType="end"/>
      </w:r>
      <w:r w:rsidR="003C0556">
        <w:rPr>
          <w:rFonts w:eastAsia="STKaiti"/>
        </w:rPr>
        <w:t xml:space="preserve"> to </w:t>
      </w:r>
      <w:r w:rsidR="00A264F8">
        <w:rPr>
          <w:rFonts w:eastAsia="STKaiti"/>
        </w:rPr>
        <w:fldChar w:fldCharType="begin"/>
      </w:r>
      <w:r w:rsidR="00A264F8">
        <w:rPr>
          <w:rFonts w:eastAsia="STKaiti"/>
        </w:rPr>
        <w:instrText xml:space="preserve"> REF _Ref159429321 \n \h </w:instrText>
      </w:r>
      <w:r w:rsidR="00A264F8">
        <w:rPr>
          <w:rFonts w:eastAsia="STKaiti"/>
        </w:rPr>
      </w:r>
      <w:r w:rsidR="00A264F8">
        <w:rPr>
          <w:rFonts w:eastAsia="STKaiti"/>
        </w:rPr>
        <w:fldChar w:fldCharType="separate"/>
      </w:r>
      <w:r w:rsidR="002E5C6A">
        <w:rPr>
          <w:rFonts w:eastAsia="STKaiti"/>
        </w:rPr>
        <w:t>(iv)</w:t>
      </w:r>
      <w:r w:rsidR="00A264F8">
        <w:rPr>
          <w:rFonts w:eastAsia="STKaiti"/>
        </w:rPr>
        <w:fldChar w:fldCharType="end"/>
      </w:r>
      <w:bookmarkEnd w:id="5206"/>
      <w:r w:rsidR="00C221E7">
        <w:t xml:space="preserve">, </w:t>
      </w:r>
    </w:p>
    <w:p w14:paraId="1037B45A" w14:textId="69E27486" w:rsidR="003E0C8A" w:rsidRDefault="73E595EF" w:rsidP="0076796C">
      <w:pPr>
        <w:spacing w:after="240"/>
        <w:ind w:left="1474"/>
        <w:rPr>
          <w:rFonts w:eastAsia="Arial"/>
        </w:rPr>
      </w:pPr>
      <w:r w:rsidRPr="73E595EF">
        <w:rPr>
          <w:rFonts w:eastAsia="Arial"/>
        </w:rPr>
        <w:t>provided that the information is marked as ‘confidential information’ before being provided to the recipient.</w:t>
      </w:r>
    </w:p>
    <w:p w14:paraId="440EA747" w14:textId="77777777" w:rsidR="001A27BC" w:rsidRDefault="001A27BC" w:rsidP="0058045D">
      <w:pPr>
        <w:pStyle w:val="Heading2"/>
      </w:pPr>
      <w:bookmarkStart w:id="5207" w:name="_Toc168055114"/>
      <w:bookmarkStart w:id="5208" w:name="_Toc168055329"/>
      <w:bookmarkStart w:id="5209" w:name="_Toc168055544"/>
      <w:bookmarkStart w:id="5210" w:name="_Toc104305728"/>
      <w:bookmarkStart w:id="5211" w:name="_Ref159345996"/>
      <w:bookmarkStart w:id="5212" w:name="_Toc207309729"/>
      <w:bookmarkEnd w:id="5203"/>
      <w:bookmarkEnd w:id="5207"/>
      <w:bookmarkEnd w:id="5208"/>
      <w:bookmarkEnd w:id="5209"/>
      <w:r>
        <w:t>Publicity</w:t>
      </w:r>
      <w:bookmarkEnd w:id="5194"/>
      <w:bookmarkEnd w:id="5195"/>
      <w:bookmarkEnd w:id="5196"/>
      <w:bookmarkEnd w:id="5197"/>
      <w:bookmarkEnd w:id="5198"/>
      <w:bookmarkEnd w:id="5210"/>
      <w:bookmarkEnd w:id="5211"/>
      <w:bookmarkEnd w:id="5212"/>
    </w:p>
    <w:p w14:paraId="01342CAF" w14:textId="77777777" w:rsidR="001A27BC" w:rsidRPr="005D76CA" w:rsidRDefault="001A27BC" w:rsidP="0058045D">
      <w:pPr>
        <w:pStyle w:val="Heading3"/>
      </w:pPr>
      <w:r>
        <w:t>U</w:t>
      </w:r>
      <w:r w:rsidRPr="00415047">
        <w:t xml:space="preserve">nless required by </w:t>
      </w:r>
      <w:r>
        <w:t>L</w:t>
      </w:r>
      <w:r w:rsidRPr="00BE299B">
        <w:t xml:space="preserve">aw, </w:t>
      </w:r>
      <w:r w:rsidR="00411B14">
        <w:t>Project Operator</w:t>
      </w:r>
      <w:r w:rsidRPr="00BE299B">
        <w:t xml:space="preserve"> must not make any public announcements relating to the subject matter of this agreement without </w:t>
      </w:r>
      <w:r w:rsidR="00BE77D6" w:rsidRPr="005D76CA">
        <w:t>the Commonwealth</w:t>
      </w:r>
      <w:r w:rsidRPr="005D76CA">
        <w:t>’s prior written consent.</w:t>
      </w:r>
    </w:p>
    <w:p w14:paraId="49A2D98A" w14:textId="3724AB12" w:rsidR="001A27BC" w:rsidRPr="006D6BAB" w:rsidRDefault="007E79F5" w:rsidP="0058045D">
      <w:pPr>
        <w:pStyle w:val="Heading3"/>
      </w:pPr>
      <w:r w:rsidRPr="006D6BAB">
        <w:t>T</w:t>
      </w:r>
      <w:r w:rsidR="00BE77D6" w:rsidRPr="006D6BAB">
        <w:t>he Commonwealth</w:t>
      </w:r>
      <w:r w:rsidR="001A27BC" w:rsidRPr="006D6BAB">
        <w:t xml:space="preserve"> may make public announcements relating to the subject matter of this agreement</w:t>
      </w:r>
      <w:bookmarkStart w:id="5213" w:name="_Hlk108176107"/>
      <w:r w:rsidR="00563A5E" w:rsidRPr="006D6BAB">
        <w:t xml:space="preserve"> </w:t>
      </w:r>
      <w:r w:rsidR="002D5513" w:rsidRPr="006D6BAB">
        <w:t>(</w:t>
      </w:r>
      <w:r w:rsidR="00563A5E" w:rsidRPr="006D6BAB">
        <w:t xml:space="preserve">including in respect of the Project’s expected </w:t>
      </w:r>
      <w:r w:rsidR="004A0277" w:rsidRPr="006D6BAB">
        <w:t>Export</w:t>
      </w:r>
      <w:r w:rsidR="00632B60" w:rsidRPr="006D6BAB">
        <w:t xml:space="preserve"> Capacity, Import Capacity and Storage Capacity</w:t>
      </w:r>
      <w:r w:rsidR="00632B60" w:rsidRPr="006D6BAB" w:rsidDel="00632B60">
        <w:t xml:space="preserve"> </w:t>
      </w:r>
      <w:r w:rsidR="00563A5E" w:rsidRPr="006D6BAB">
        <w:t xml:space="preserve">and </w:t>
      </w:r>
      <w:r w:rsidR="00411B14" w:rsidRPr="006D6BAB">
        <w:t>Project Operator</w:t>
      </w:r>
      <w:r w:rsidR="00563A5E" w:rsidRPr="006D6BAB">
        <w:t>’s Social Licence Commitments</w:t>
      </w:r>
      <w:bookmarkEnd w:id="5213"/>
      <w:r w:rsidR="002D5513" w:rsidRPr="006D6BAB">
        <w:t>)</w:t>
      </w:r>
      <w:r w:rsidR="001A27BC" w:rsidRPr="006D6BAB">
        <w:t xml:space="preserve"> without </w:t>
      </w:r>
      <w:r w:rsidR="00411B14" w:rsidRPr="006D6BAB">
        <w:t>Project Operator</w:t>
      </w:r>
      <w:r w:rsidR="001A27BC" w:rsidRPr="006D6BAB">
        <w:t xml:space="preserve">’s prior written consent, provided that </w:t>
      </w:r>
      <w:r w:rsidR="00BE77D6" w:rsidRPr="006D6BAB">
        <w:t>the Commonwealth</w:t>
      </w:r>
      <w:r w:rsidR="001A27BC" w:rsidRPr="006D6BAB">
        <w:t xml:space="preserve"> must:</w:t>
      </w:r>
      <w:r w:rsidR="00C621D1" w:rsidRPr="006D6BAB">
        <w:t xml:space="preserve"> [</w:t>
      </w:r>
      <w:r w:rsidR="00C621D1" w:rsidRPr="006D6BAB">
        <w:rPr>
          <w:b/>
          <w:bCs/>
          <w:i/>
          <w:iCs/>
          <w:highlight w:val="lightGray"/>
        </w:rPr>
        <w:t xml:space="preserve">Note: </w:t>
      </w:r>
      <w:r w:rsidR="00876FBF" w:rsidRPr="006D6BAB">
        <w:rPr>
          <w:b/>
          <w:bCs/>
          <w:i/>
          <w:iCs/>
          <w:highlight w:val="lightGray"/>
        </w:rPr>
        <w:t>see agreement cover note regarding Non-Storage Projects</w:t>
      </w:r>
      <w:r w:rsidR="00C621D1" w:rsidRPr="006D6BAB">
        <w:rPr>
          <w:b/>
          <w:bCs/>
          <w:i/>
          <w:iCs/>
          <w:highlight w:val="lightGray"/>
        </w:rPr>
        <w:t>.</w:t>
      </w:r>
      <w:r w:rsidR="00C621D1" w:rsidRPr="006D6BAB">
        <w:t>]</w:t>
      </w:r>
    </w:p>
    <w:p w14:paraId="0780642B" w14:textId="09E95E35" w:rsidR="001A27BC" w:rsidRDefault="001A27BC" w:rsidP="0058045D">
      <w:pPr>
        <w:pStyle w:val="Heading4"/>
      </w:pPr>
      <w:r>
        <w:t xml:space="preserve">consult with </w:t>
      </w:r>
      <w:r w:rsidR="00411B14">
        <w:t>Project Operator</w:t>
      </w:r>
      <w:r>
        <w:t xml:space="preserve"> before making a public announcement that contains commercially sensitive information set out in this agreement</w:t>
      </w:r>
      <w:r w:rsidR="00BF7E63">
        <w:t xml:space="preserve"> </w:t>
      </w:r>
      <w:r w:rsidR="00E7668E">
        <w:t xml:space="preserve">or in Specified Material </w:t>
      </w:r>
      <w:r w:rsidR="00BF7E63" w:rsidRPr="00BF7E63">
        <w:t>(and</w:t>
      </w:r>
      <w:r w:rsidR="008E10DA">
        <w:t>,</w:t>
      </w:r>
      <w:r w:rsidR="00BF7E63" w:rsidRPr="00BF7E63">
        <w:t xml:space="preserve"> for the avoidance of doubt, </w:t>
      </w:r>
      <w:r w:rsidR="008E10DA">
        <w:t xml:space="preserve">the </w:t>
      </w:r>
      <w:r w:rsidR="00BF7E63" w:rsidRPr="00BF7E63">
        <w:t xml:space="preserve">amount of support </w:t>
      </w:r>
      <w:r w:rsidR="008E10DA">
        <w:t>that</w:t>
      </w:r>
      <w:r w:rsidR="008E10DA" w:rsidRPr="00BF7E63">
        <w:t xml:space="preserve"> </w:t>
      </w:r>
      <w:r w:rsidR="00BF7E63" w:rsidRPr="00BF7E63">
        <w:t xml:space="preserve">the Commonwealth is providing </w:t>
      </w:r>
      <w:r w:rsidR="008E10DA">
        <w:t xml:space="preserve">to </w:t>
      </w:r>
      <w:r w:rsidR="00BF7E63">
        <w:t xml:space="preserve">Project </w:t>
      </w:r>
      <w:r w:rsidR="00BF7E63" w:rsidRPr="00BF7E63">
        <w:t xml:space="preserve">Operator under this </w:t>
      </w:r>
      <w:r w:rsidR="00BF7E63">
        <w:t>a</w:t>
      </w:r>
      <w:r w:rsidR="00BF7E63" w:rsidRPr="00BF7E63">
        <w:t>greement</w:t>
      </w:r>
      <w:r w:rsidR="00B71B0C">
        <w:t xml:space="preserve">, </w:t>
      </w:r>
      <w:r w:rsidR="00BF7E63" w:rsidRPr="00BF7E63">
        <w:t xml:space="preserve">the </w:t>
      </w:r>
      <w:r w:rsidR="00B71B0C">
        <w:t xml:space="preserve">Project details [and </w:t>
      </w:r>
      <w:r w:rsidR="00204477">
        <w:t xml:space="preserve">the </w:t>
      </w:r>
      <w:r w:rsidR="000A172F">
        <w:t>[</w:t>
      </w:r>
      <w:r w:rsidR="00B71B0C">
        <w:t>Associated</w:t>
      </w:r>
      <w:r w:rsidR="000A172F">
        <w:t xml:space="preserve">/Existing] </w:t>
      </w:r>
      <w:r w:rsidR="00B71B0C">
        <w:t>Project details]</w:t>
      </w:r>
      <w:r w:rsidR="00BF7E63" w:rsidRPr="00BF7E63">
        <w:t xml:space="preserve"> </w:t>
      </w:r>
      <w:r w:rsidR="00B71B0C">
        <w:t xml:space="preserve">set out in the Reference Details </w:t>
      </w:r>
      <w:r w:rsidR="00BF7E63" w:rsidRPr="00BF7E63">
        <w:t xml:space="preserve">and </w:t>
      </w:r>
      <w:r w:rsidR="00BF7E63">
        <w:t xml:space="preserve">Project </w:t>
      </w:r>
      <w:r w:rsidR="00BF7E63" w:rsidRPr="00BF7E63">
        <w:t>Operator</w:t>
      </w:r>
      <w:r w:rsidR="00222D69">
        <w:t>’</w:t>
      </w:r>
      <w:r w:rsidR="00BF7E63" w:rsidRPr="00BF7E63">
        <w:t>s Social Licence Commitments are not commercially sensitive information)</w:t>
      </w:r>
      <w:r>
        <w:t>; and</w:t>
      </w:r>
      <w:r w:rsidR="00B71B0C">
        <w:t xml:space="preserve"> [</w:t>
      </w:r>
      <w:r w:rsidR="00B71B0C" w:rsidRPr="002D6D4F">
        <w:rPr>
          <w:b/>
          <w:bCs/>
          <w:i/>
          <w:iCs/>
          <w:highlight w:val="lightGray"/>
        </w:rPr>
        <w:t xml:space="preserve">Note: </w:t>
      </w:r>
      <w:r w:rsidR="0029324A">
        <w:rPr>
          <w:b/>
          <w:bCs/>
          <w:i/>
          <w:iCs/>
          <w:highlight w:val="lightGray"/>
        </w:rPr>
        <w:t xml:space="preserve">the </w:t>
      </w:r>
      <w:r w:rsidR="00B71B0C" w:rsidRPr="002D6D4F">
        <w:rPr>
          <w:b/>
          <w:bCs/>
          <w:i/>
          <w:iCs/>
          <w:highlight w:val="lightGray"/>
        </w:rPr>
        <w:t>bracketed wording is to be included for all Hybrid Projects</w:t>
      </w:r>
      <w:r w:rsidR="000A172F">
        <w:rPr>
          <w:b/>
          <w:bCs/>
          <w:i/>
          <w:iCs/>
          <w:highlight w:val="lightGray"/>
        </w:rPr>
        <w:t xml:space="preserve"> and Staged Projects (as applicable)</w:t>
      </w:r>
      <w:r w:rsidR="00B71B0C" w:rsidRPr="002D6D4F">
        <w:rPr>
          <w:b/>
          <w:bCs/>
          <w:i/>
          <w:iCs/>
          <w:highlight w:val="lightGray"/>
        </w:rPr>
        <w:t>.</w:t>
      </w:r>
      <w:r w:rsidR="00B71B0C">
        <w:t>]</w:t>
      </w:r>
    </w:p>
    <w:p w14:paraId="638F8D2D" w14:textId="77777777" w:rsidR="001A27BC" w:rsidRDefault="001A27BC" w:rsidP="0058045D">
      <w:pPr>
        <w:pStyle w:val="Heading4"/>
      </w:pPr>
      <w:r>
        <w:t xml:space="preserve">reasonably consider any request from </w:t>
      </w:r>
      <w:r w:rsidR="00411B14">
        <w:t>Project Operator</w:t>
      </w:r>
      <w:r>
        <w:t xml:space="preserve"> to not include that commercially sensitive information</w:t>
      </w:r>
      <w:bookmarkStart w:id="5214" w:name="_Hlk108176117"/>
      <w:r w:rsidR="00017158">
        <w:t xml:space="preserve">, or </w:t>
      </w:r>
      <w:r w:rsidR="00563A5E">
        <w:t xml:space="preserve">to </w:t>
      </w:r>
      <w:r w:rsidR="00017158">
        <w:t xml:space="preserve">only include </w:t>
      </w:r>
      <w:r w:rsidR="00DB0601">
        <w:t xml:space="preserve">that </w:t>
      </w:r>
      <w:r w:rsidR="00017158">
        <w:t xml:space="preserve">commercially sensitive information on an </w:t>
      </w:r>
      <w:r w:rsidR="00C1079B">
        <w:t xml:space="preserve">anonymised and </w:t>
      </w:r>
      <w:r w:rsidR="00017158">
        <w:t>aggregated basis,</w:t>
      </w:r>
      <w:bookmarkEnd w:id="5214"/>
      <w:r>
        <w:t xml:space="preserve"> in the relevant public announcement.</w:t>
      </w:r>
    </w:p>
    <w:p w14:paraId="1527E319" w14:textId="77777777" w:rsidR="007347AB" w:rsidRDefault="007347AB" w:rsidP="0058045D">
      <w:pPr>
        <w:pStyle w:val="Heading2"/>
      </w:pPr>
      <w:bookmarkStart w:id="5215" w:name="_Ref151257858"/>
      <w:bookmarkStart w:id="5216" w:name="_Toc153945232"/>
      <w:bookmarkStart w:id="5217" w:name="_Toc207309730"/>
      <w:r>
        <w:t>Freedom of information</w:t>
      </w:r>
      <w:bookmarkEnd w:id="5215"/>
      <w:bookmarkEnd w:id="5216"/>
      <w:bookmarkEnd w:id="5217"/>
    </w:p>
    <w:p w14:paraId="363FF134" w14:textId="77777777" w:rsidR="007347AB" w:rsidRDefault="00ED19D2" w:rsidP="0058045D">
      <w:pPr>
        <w:pStyle w:val="Heading3"/>
      </w:pPr>
      <w:r>
        <w:t>If</w:t>
      </w:r>
      <w:r w:rsidR="007347AB">
        <w:t xml:space="preserve"> the Commonwealth has received a request for access to a document created by, or in the possession of, </w:t>
      </w:r>
      <w:r w:rsidR="00710085">
        <w:t>Project Operator</w:t>
      </w:r>
      <w:r w:rsidR="007347AB">
        <w:t xml:space="preserve"> or any </w:t>
      </w:r>
      <w:r w:rsidR="009C7B3B">
        <w:t>S</w:t>
      </w:r>
      <w:r w:rsidR="007347AB">
        <w:t xml:space="preserve">ubcontractor that relates to the performance of this </w:t>
      </w:r>
      <w:r w:rsidR="00710085">
        <w:t>agreement</w:t>
      </w:r>
      <w:r w:rsidR="007347AB">
        <w:t xml:space="preserve"> (and not to the entry into this </w:t>
      </w:r>
      <w:r w:rsidR="00710085">
        <w:t>agreement</w:t>
      </w:r>
      <w:r w:rsidR="007347AB">
        <w:t xml:space="preserve">), </w:t>
      </w:r>
      <w:r>
        <w:t xml:space="preserve">then </w:t>
      </w:r>
      <w:r w:rsidR="007347AB">
        <w:t xml:space="preserve">the Commonwealth may at any time by written notice require </w:t>
      </w:r>
      <w:r w:rsidR="00710085">
        <w:t>Project Operator</w:t>
      </w:r>
      <w:r w:rsidR="007347AB">
        <w:t xml:space="preserve"> to provide the document to the Commonwealth and </w:t>
      </w:r>
      <w:r w:rsidR="00710085">
        <w:t>Project Operator</w:t>
      </w:r>
      <w:r w:rsidR="007347AB">
        <w:t xml:space="preserve"> </w:t>
      </w:r>
      <w:r w:rsidR="007E79F5">
        <w:t>must</w:t>
      </w:r>
      <w:r w:rsidR="007347AB">
        <w:t xml:space="preserve">, at no additional cost to the Commonwealth, promptly comply with the notice. </w:t>
      </w:r>
    </w:p>
    <w:p w14:paraId="4E15176E" w14:textId="1641C819" w:rsidR="007347AB" w:rsidRDefault="007347AB" w:rsidP="0058045D">
      <w:pPr>
        <w:pStyle w:val="Heading3"/>
      </w:pPr>
      <w:r>
        <w:t xml:space="preserve">In this clause </w:t>
      </w:r>
      <w:r>
        <w:fldChar w:fldCharType="begin"/>
      </w:r>
      <w:r>
        <w:instrText xml:space="preserve"> REF _Ref151257858 \w \h </w:instrText>
      </w:r>
      <w:r>
        <w:fldChar w:fldCharType="separate"/>
      </w:r>
      <w:r w:rsidR="002E5C6A">
        <w:t>31.3</w:t>
      </w:r>
      <w:r>
        <w:fldChar w:fldCharType="end"/>
      </w:r>
      <w:r>
        <w:t xml:space="preserve">, </w:t>
      </w:r>
      <w:r w:rsidR="004505F9">
        <w:t>“</w:t>
      </w:r>
      <w:r w:rsidRPr="00E7668E">
        <w:rPr>
          <w:b/>
          <w:bCs/>
        </w:rPr>
        <w:t>document</w:t>
      </w:r>
      <w:r w:rsidR="004505F9">
        <w:t>”</w:t>
      </w:r>
      <w:r>
        <w:t xml:space="preserve"> has the same meaning as in the </w:t>
      </w:r>
      <w:r w:rsidRPr="00B1053F">
        <w:rPr>
          <w:i/>
          <w:iCs/>
        </w:rPr>
        <w:t>Freedom of Information Act 1982</w:t>
      </w:r>
      <w:r>
        <w:t xml:space="preserve"> (Cth).</w:t>
      </w:r>
    </w:p>
    <w:p w14:paraId="1A30B200" w14:textId="23475245" w:rsidR="007347AB" w:rsidRDefault="007347AB" w:rsidP="0058045D">
      <w:pPr>
        <w:pStyle w:val="Heading3"/>
      </w:pPr>
      <w:r w:rsidRPr="00961EC0">
        <w:t xml:space="preserve">Nothing in this clause </w:t>
      </w:r>
      <w:r w:rsidR="004505F9">
        <w:fldChar w:fldCharType="begin"/>
      </w:r>
      <w:r w:rsidR="004505F9">
        <w:instrText xml:space="preserve"> REF _Ref492506863 \w \h </w:instrText>
      </w:r>
      <w:r w:rsidR="004505F9">
        <w:fldChar w:fldCharType="separate"/>
      </w:r>
      <w:r w:rsidR="002E5C6A">
        <w:t>31</w:t>
      </w:r>
      <w:r w:rsidR="004505F9">
        <w:fldChar w:fldCharType="end"/>
      </w:r>
      <w:r w:rsidRPr="00961EC0">
        <w:t xml:space="preserve"> derogates from </w:t>
      </w:r>
      <w:r>
        <w:t xml:space="preserve">or restricts </w:t>
      </w:r>
      <w:r w:rsidRPr="00961EC0">
        <w:t>the Commonwealth</w:t>
      </w:r>
      <w:r w:rsidR="0006425A">
        <w:t>’</w:t>
      </w:r>
      <w:r>
        <w:t>s</w:t>
      </w:r>
      <w:r w:rsidRPr="00961EC0">
        <w:t xml:space="preserve"> </w:t>
      </w:r>
      <w:r>
        <w:t>ability</w:t>
      </w:r>
      <w:r w:rsidR="00247B30">
        <w:t xml:space="preserve"> </w:t>
      </w:r>
      <w:r>
        <w:t>to comply with</w:t>
      </w:r>
      <w:r w:rsidR="00204477">
        <w:t xml:space="preserve"> its obligations under</w:t>
      </w:r>
      <w:r>
        <w:t xml:space="preserve"> </w:t>
      </w:r>
      <w:r w:rsidRPr="00961EC0">
        <w:t xml:space="preserve">the </w:t>
      </w:r>
      <w:r w:rsidRPr="005C19C9">
        <w:rPr>
          <w:i/>
          <w:iCs/>
        </w:rPr>
        <w:t>Freedom of Information Act 1982</w:t>
      </w:r>
      <w:r w:rsidRPr="00961EC0">
        <w:t xml:space="preserve"> (Cth)</w:t>
      </w:r>
      <w:r>
        <w:t>.</w:t>
      </w:r>
    </w:p>
    <w:p w14:paraId="35E7BE43" w14:textId="3A43C6EC" w:rsidR="00E7668E" w:rsidRDefault="00E7668E" w:rsidP="00E7668E">
      <w:pPr>
        <w:pStyle w:val="Heading3"/>
      </w:pPr>
      <w:bookmarkStart w:id="5218" w:name="_Hlk174442244"/>
      <w:r w:rsidRPr="00961EC0">
        <w:t xml:space="preserve">Nothing in this clause </w:t>
      </w:r>
      <w:r>
        <w:fldChar w:fldCharType="begin"/>
      </w:r>
      <w:r>
        <w:instrText xml:space="preserve"> REF _Ref492506863 \w \h </w:instrText>
      </w:r>
      <w:r>
        <w:fldChar w:fldCharType="separate"/>
      </w:r>
      <w:r w:rsidR="002E5C6A">
        <w:t>31</w:t>
      </w:r>
      <w:r>
        <w:fldChar w:fldCharType="end"/>
      </w:r>
      <w:r w:rsidRPr="00961EC0">
        <w:t xml:space="preserve"> </w:t>
      </w:r>
      <w:r>
        <w:t xml:space="preserve">reduces the availability </w:t>
      </w:r>
      <w:r w:rsidR="00146C8C">
        <w:t>to the Commonwealth</w:t>
      </w:r>
      <w:r w:rsidR="00BC2BE9">
        <w:t xml:space="preserve"> </w:t>
      </w:r>
      <w:r>
        <w:t xml:space="preserve">of any exemptions from production of documents that exist </w:t>
      </w:r>
      <w:r w:rsidRPr="00961EC0">
        <w:t xml:space="preserve">under the </w:t>
      </w:r>
      <w:r w:rsidRPr="005C19C9">
        <w:rPr>
          <w:i/>
          <w:iCs/>
        </w:rPr>
        <w:t>Freedom of Information Act 1982</w:t>
      </w:r>
      <w:r w:rsidRPr="00961EC0">
        <w:t xml:space="preserve"> (Cth)</w:t>
      </w:r>
      <w:r>
        <w:t>.</w:t>
      </w:r>
      <w:bookmarkEnd w:id="5218"/>
    </w:p>
    <w:p w14:paraId="59297813" w14:textId="77777777" w:rsidR="007347AB" w:rsidRDefault="2BC382E4" w:rsidP="0058045D">
      <w:pPr>
        <w:pStyle w:val="Heading1"/>
      </w:pPr>
      <w:bookmarkStart w:id="5219" w:name="_Ref149848591"/>
      <w:bookmarkStart w:id="5220" w:name="_Ref151264050"/>
      <w:bookmarkStart w:id="5221" w:name="_Toc153945233"/>
      <w:bookmarkStart w:id="5222" w:name="_Toc207309731"/>
      <w:r>
        <w:t>Access, records</w:t>
      </w:r>
      <w:bookmarkEnd w:id="5219"/>
      <w:r>
        <w:t xml:space="preserve"> and reporting</w:t>
      </w:r>
      <w:bookmarkEnd w:id="5220"/>
      <w:bookmarkEnd w:id="5221"/>
      <w:bookmarkEnd w:id="5222"/>
    </w:p>
    <w:p w14:paraId="26F05515" w14:textId="77777777" w:rsidR="007347AB" w:rsidRDefault="008C3BF2" w:rsidP="0058045D">
      <w:pPr>
        <w:pStyle w:val="Heading2"/>
      </w:pPr>
      <w:bookmarkStart w:id="5223" w:name="_Ref151258425"/>
      <w:bookmarkStart w:id="5224" w:name="_Toc153945234"/>
      <w:bookmarkStart w:id="5225" w:name="_Toc207309732"/>
      <w:r>
        <w:t xml:space="preserve">Project </w:t>
      </w:r>
      <w:r w:rsidR="007347AB">
        <w:t>Operator to retain records</w:t>
      </w:r>
      <w:bookmarkEnd w:id="5223"/>
      <w:bookmarkEnd w:id="5224"/>
      <w:bookmarkEnd w:id="5225"/>
    </w:p>
    <w:p w14:paraId="6CFCDAD9" w14:textId="401944E1" w:rsidR="007347AB" w:rsidRDefault="00710085" w:rsidP="0005264D">
      <w:pPr>
        <w:pStyle w:val="Heading3"/>
        <w:keepNext/>
      </w:pPr>
      <w:bookmarkStart w:id="5226" w:name="_Ref151258500"/>
      <w:bookmarkStart w:id="5227" w:name="_Ref205749244"/>
      <w:r>
        <w:t>Project Operator</w:t>
      </w:r>
      <w:r w:rsidR="007347AB">
        <w:t xml:space="preserve"> must, throughout the Term and for a period of </w:t>
      </w:r>
      <w:r w:rsidR="0029324A">
        <w:t>seven (</w:t>
      </w:r>
      <w:r w:rsidR="008C3BF2">
        <w:t>7</w:t>
      </w:r>
      <w:r w:rsidR="0029324A">
        <w:t>)</w:t>
      </w:r>
      <w:r w:rsidR="008C3BF2">
        <w:t xml:space="preserve"> </w:t>
      </w:r>
      <w:r w:rsidR="007347AB">
        <w:t xml:space="preserve">years after the </w:t>
      </w:r>
      <w:r w:rsidR="00005348">
        <w:t xml:space="preserve">termination or </w:t>
      </w:r>
      <w:r w:rsidR="007347AB">
        <w:t>expiry of th</w:t>
      </w:r>
      <w:r w:rsidR="00005348">
        <w:t>is</w:t>
      </w:r>
      <w:r w:rsidR="007347AB">
        <w:t xml:space="preserve"> </w:t>
      </w:r>
      <w:r w:rsidR="00005348">
        <w:t>agreement</w:t>
      </w:r>
      <w:r w:rsidR="00F729B8">
        <w:t xml:space="preserve"> (or such longer period as may be required by Law)</w:t>
      </w:r>
      <w:r w:rsidR="007347AB">
        <w:t>, keep true and accurate books of account, records and other documents (however stored) in relation to the Project</w:t>
      </w:r>
      <w:r w:rsidR="00C35226">
        <w:t xml:space="preserve">[, the </w:t>
      </w:r>
      <w:r w:rsidR="00146C8C">
        <w:t>[</w:t>
      </w:r>
      <w:r w:rsidR="00C35226">
        <w:t>Associated</w:t>
      </w:r>
      <w:r w:rsidR="00146C8C">
        <w:t>/Existing]</w:t>
      </w:r>
      <w:r w:rsidR="00C35226">
        <w:t xml:space="preserve"> Project]</w:t>
      </w:r>
      <w:r w:rsidR="00102850">
        <w:t xml:space="preserve"> and this agreement</w:t>
      </w:r>
      <w:r w:rsidR="007347AB">
        <w:t xml:space="preserve"> including:</w:t>
      </w:r>
      <w:bookmarkEnd w:id="5226"/>
      <w:r w:rsidR="00C35226">
        <w:t xml:space="preserve"> [</w:t>
      </w:r>
      <w:r w:rsidR="00C35226" w:rsidRPr="004D3942">
        <w:rPr>
          <w:b/>
          <w:bCs/>
          <w:i/>
          <w:iCs/>
          <w:highlight w:val="lightGray"/>
        </w:rPr>
        <w:t>Note:</w:t>
      </w:r>
      <w:r w:rsidR="0029324A">
        <w:rPr>
          <w:b/>
          <w:bCs/>
          <w:i/>
          <w:iCs/>
          <w:highlight w:val="lightGray"/>
        </w:rPr>
        <w:t xml:space="preserve"> the</w:t>
      </w:r>
      <w:r w:rsidR="00C35226" w:rsidRPr="004D3942">
        <w:rPr>
          <w:b/>
          <w:bCs/>
          <w:i/>
          <w:iCs/>
          <w:highlight w:val="lightGray"/>
        </w:rPr>
        <w:t xml:space="preserve"> </w:t>
      </w:r>
      <w:r w:rsidR="00C35226">
        <w:rPr>
          <w:b/>
          <w:bCs/>
          <w:i/>
          <w:iCs/>
          <w:highlight w:val="lightGray"/>
        </w:rPr>
        <w:t xml:space="preserve">words in square brackets </w:t>
      </w:r>
      <w:r w:rsidR="0029324A">
        <w:rPr>
          <w:b/>
          <w:bCs/>
          <w:i/>
          <w:iCs/>
          <w:highlight w:val="lightGray"/>
        </w:rPr>
        <w:t xml:space="preserve">are </w:t>
      </w:r>
      <w:r w:rsidR="00C35226">
        <w:rPr>
          <w:b/>
          <w:bCs/>
          <w:i/>
          <w:iCs/>
          <w:highlight w:val="lightGray"/>
        </w:rPr>
        <w:t xml:space="preserve">to be included </w:t>
      </w:r>
      <w:r w:rsidR="00C35226" w:rsidRPr="004D3942">
        <w:rPr>
          <w:b/>
          <w:bCs/>
          <w:i/>
          <w:iCs/>
          <w:highlight w:val="lightGray"/>
        </w:rPr>
        <w:t>for all Hybrid Projects</w:t>
      </w:r>
      <w:r w:rsidR="00146C8C">
        <w:rPr>
          <w:b/>
          <w:bCs/>
          <w:i/>
          <w:iCs/>
          <w:highlight w:val="lightGray"/>
        </w:rPr>
        <w:t xml:space="preserve"> and Staged Projects (as applicable)</w:t>
      </w:r>
      <w:r w:rsidR="00C35226" w:rsidRPr="004D3942">
        <w:rPr>
          <w:b/>
          <w:bCs/>
          <w:i/>
          <w:iCs/>
          <w:highlight w:val="lightGray"/>
        </w:rPr>
        <w:t>.</w:t>
      </w:r>
      <w:r w:rsidR="00C35226">
        <w:t>]</w:t>
      </w:r>
      <w:bookmarkEnd w:id="5227"/>
    </w:p>
    <w:p w14:paraId="3B6496F7" w14:textId="6E86F42D" w:rsidR="00D011A8" w:rsidRDefault="007347AB" w:rsidP="0058045D">
      <w:pPr>
        <w:pStyle w:val="Heading4"/>
      </w:pPr>
      <w:r>
        <w:t>operational data relating to the Project</w:t>
      </w:r>
      <w:r w:rsidR="00C35226">
        <w:t xml:space="preserve"> [and the Associated</w:t>
      </w:r>
      <w:r w:rsidR="00146C8C">
        <w:t>/Existing</w:t>
      </w:r>
      <w:r w:rsidR="00C35226">
        <w:t xml:space="preserve"> Project]</w:t>
      </w:r>
      <w:r>
        <w:t xml:space="preserve"> including technical, metering, revenue, cost and financial data</w:t>
      </w:r>
      <w:r w:rsidR="00301148">
        <w:t>, and Specified Materials</w:t>
      </w:r>
      <w:r>
        <w:t>;</w:t>
      </w:r>
      <w:r w:rsidR="00C35226">
        <w:t xml:space="preserve"> [</w:t>
      </w:r>
      <w:r w:rsidR="00C35226" w:rsidRPr="004D3942">
        <w:rPr>
          <w:b/>
          <w:bCs/>
          <w:i/>
          <w:iCs/>
          <w:highlight w:val="lightGray"/>
        </w:rPr>
        <w:t xml:space="preserve">Note: </w:t>
      </w:r>
      <w:r w:rsidR="0029324A">
        <w:rPr>
          <w:b/>
          <w:bCs/>
          <w:i/>
          <w:iCs/>
          <w:highlight w:val="lightGray"/>
        </w:rPr>
        <w:t xml:space="preserve">the </w:t>
      </w:r>
      <w:r w:rsidR="00C35226">
        <w:rPr>
          <w:b/>
          <w:bCs/>
          <w:i/>
          <w:iCs/>
          <w:highlight w:val="lightGray"/>
        </w:rPr>
        <w:t xml:space="preserve">words in square brackets </w:t>
      </w:r>
      <w:r w:rsidR="0029324A">
        <w:rPr>
          <w:b/>
          <w:bCs/>
          <w:i/>
          <w:iCs/>
          <w:highlight w:val="lightGray"/>
        </w:rPr>
        <w:t xml:space="preserve">are </w:t>
      </w:r>
      <w:r w:rsidR="00C35226">
        <w:rPr>
          <w:b/>
          <w:bCs/>
          <w:i/>
          <w:iCs/>
          <w:highlight w:val="lightGray"/>
        </w:rPr>
        <w:t xml:space="preserve">to be included </w:t>
      </w:r>
      <w:r w:rsidR="00C35226" w:rsidRPr="004D3942">
        <w:rPr>
          <w:b/>
          <w:bCs/>
          <w:i/>
          <w:iCs/>
          <w:highlight w:val="lightGray"/>
        </w:rPr>
        <w:t>for all Hybrid Projects</w:t>
      </w:r>
      <w:r w:rsidR="00146C8C">
        <w:rPr>
          <w:b/>
          <w:bCs/>
          <w:i/>
          <w:iCs/>
          <w:highlight w:val="lightGray"/>
        </w:rPr>
        <w:t xml:space="preserve"> and Staged Projects (as applicable)</w:t>
      </w:r>
      <w:r w:rsidR="00C35226" w:rsidRPr="004D3942">
        <w:rPr>
          <w:b/>
          <w:bCs/>
          <w:i/>
          <w:iCs/>
          <w:highlight w:val="lightGray"/>
        </w:rPr>
        <w:t>.</w:t>
      </w:r>
      <w:r w:rsidR="00C35226">
        <w:t>]</w:t>
      </w:r>
    </w:p>
    <w:p w14:paraId="1D005D5F" w14:textId="77777777" w:rsidR="00F729B8" w:rsidRDefault="00D011A8" w:rsidP="0058045D">
      <w:pPr>
        <w:pStyle w:val="Heading4"/>
      </w:pPr>
      <w:r>
        <w:t xml:space="preserve">information relating to Eligible </w:t>
      </w:r>
      <w:r w:rsidR="00D238B0">
        <w:t xml:space="preserve">Bilateral </w:t>
      </w:r>
      <w:r>
        <w:t>Contracts entered into by Project Operator</w:t>
      </w:r>
      <w:r w:rsidR="00005348">
        <w:t xml:space="preserve"> and any other records relevant to </w:t>
      </w:r>
      <w:r w:rsidR="00F729B8">
        <w:t xml:space="preserve">calculation of </w:t>
      </w:r>
      <w:r w:rsidR="00005348">
        <w:t>payment</w:t>
      </w:r>
      <w:r w:rsidR="00F729B8">
        <w:t>s</w:t>
      </w:r>
      <w:r w:rsidR="00005348">
        <w:t xml:space="preserve"> </w:t>
      </w:r>
      <w:r w:rsidR="00F729B8">
        <w:t>to be made by one party to the other under this agreement</w:t>
      </w:r>
      <w:r>
        <w:t xml:space="preserve">; </w:t>
      </w:r>
    </w:p>
    <w:p w14:paraId="320ABE9C" w14:textId="51ECE9A7" w:rsidR="007347AB" w:rsidRDefault="00F729B8" w:rsidP="0058045D">
      <w:pPr>
        <w:pStyle w:val="Heading4"/>
      </w:pPr>
      <w:r>
        <w:t xml:space="preserve">all </w:t>
      </w:r>
      <w:r w:rsidR="00146C8C">
        <w:t>a</w:t>
      </w:r>
      <w:r>
        <w:t xml:space="preserve">ccounts and </w:t>
      </w:r>
      <w:r w:rsidR="00146C8C">
        <w:t>r</w:t>
      </w:r>
      <w:r>
        <w:t xml:space="preserve">ecords relating to the work and services undertaken pursuant to this agreement; </w:t>
      </w:r>
      <w:r w:rsidR="007347AB">
        <w:t>and</w:t>
      </w:r>
    </w:p>
    <w:p w14:paraId="613F29E1" w14:textId="08CC8057" w:rsidR="007347AB" w:rsidRDefault="007347AB" w:rsidP="0058045D">
      <w:pPr>
        <w:pStyle w:val="Heading4"/>
      </w:pPr>
      <w:r>
        <w:t xml:space="preserve">those </w:t>
      </w:r>
      <w:r w:rsidR="0029324A" w:rsidRPr="0001150F">
        <w:t>books of account, records and other documents</w:t>
      </w:r>
      <w:r w:rsidR="0029324A" w:rsidRPr="00837DE4">
        <w:t xml:space="preserve"> </w:t>
      </w:r>
      <w:r>
        <w:t>related to other matters relating to the Project</w:t>
      </w:r>
      <w:r w:rsidR="00C35226">
        <w:t xml:space="preserve"> [and the </w:t>
      </w:r>
      <w:r w:rsidR="00146C8C">
        <w:t>[</w:t>
      </w:r>
      <w:r w:rsidR="00C35226">
        <w:t>Associated</w:t>
      </w:r>
      <w:r w:rsidR="00146C8C">
        <w:t>/Existing]</w:t>
      </w:r>
      <w:r w:rsidR="00C35226">
        <w:t xml:space="preserve"> Project]</w:t>
      </w:r>
      <w:r>
        <w:t xml:space="preserve"> in accordance with Good Industry Practice</w:t>
      </w:r>
      <w:r w:rsidR="0013119E">
        <w:t xml:space="preserve"> including Project </w:t>
      </w:r>
      <w:r w:rsidR="00C35226">
        <w:t xml:space="preserve">[and </w:t>
      </w:r>
      <w:r w:rsidR="00146C8C">
        <w:t>the [</w:t>
      </w:r>
      <w:r w:rsidR="00C35226">
        <w:t>Associated</w:t>
      </w:r>
      <w:r w:rsidR="00146C8C">
        <w:t xml:space="preserve">/Existing] </w:t>
      </w:r>
      <w:r w:rsidR="00C35226">
        <w:t xml:space="preserve">Project] </w:t>
      </w:r>
      <w:r w:rsidR="0013119E">
        <w:t>governance documentation</w:t>
      </w:r>
      <w:r>
        <w:t>,</w:t>
      </w:r>
      <w:r w:rsidR="00C35226">
        <w:t xml:space="preserve"> [</w:t>
      </w:r>
      <w:r w:rsidR="00C35226" w:rsidRPr="004D3942">
        <w:rPr>
          <w:b/>
          <w:bCs/>
          <w:i/>
          <w:iCs/>
          <w:highlight w:val="lightGray"/>
        </w:rPr>
        <w:t xml:space="preserve">Note: </w:t>
      </w:r>
      <w:r w:rsidR="0029324A">
        <w:rPr>
          <w:b/>
          <w:bCs/>
          <w:i/>
          <w:iCs/>
          <w:highlight w:val="lightGray"/>
        </w:rPr>
        <w:t xml:space="preserve">the </w:t>
      </w:r>
      <w:r w:rsidR="00C35226">
        <w:rPr>
          <w:b/>
          <w:bCs/>
          <w:i/>
          <w:iCs/>
          <w:highlight w:val="lightGray"/>
        </w:rPr>
        <w:t xml:space="preserve">words in square brackets </w:t>
      </w:r>
      <w:r w:rsidR="0029324A">
        <w:rPr>
          <w:b/>
          <w:bCs/>
          <w:i/>
          <w:iCs/>
          <w:highlight w:val="lightGray"/>
        </w:rPr>
        <w:t xml:space="preserve">are </w:t>
      </w:r>
      <w:r w:rsidR="00C35226">
        <w:rPr>
          <w:b/>
          <w:bCs/>
          <w:i/>
          <w:iCs/>
          <w:highlight w:val="lightGray"/>
        </w:rPr>
        <w:t xml:space="preserve">to be included </w:t>
      </w:r>
      <w:r w:rsidR="00C35226" w:rsidRPr="004D3942">
        <w:rPr>
          <w:b/>
          <w:bCs/>
          <w:i/>
          <w:iCs/>
          <w:highlight w:val="lightGray"/>
        </w:rPr>
        <w:t>for all Hybrid Projects</w:t>
      </w:r>
      <w:r w:rsidR="00146C8C">
        <w:rPr>
          <w:b/>
          <w:bCs/>
          <w:i/>
          <w:iCs/>
          <w:highlight w:val="lightGray"/>
        </w:rPr>
        <w:t xml:space="preserve"> and Staged Projects (as applicable)</w:t>
      </w:r>
      <w:r w:rsidR="00C35226" w:rsidRPr="004D3942">
        <w:rPr>
          <w:b/>
          <w:bCs/>
          <w:i/>
          <w:iCs/>
          <w:highlight w:val="lightGray"/>
        </w:rPr>
        <w:t>.</w:t>
      </w:r>
      <w:r w:rsidR="00C35226">
        <w:t>]</w:t>
      </w:r>
    </w:p>
    <w:p w14:paraId="4F369A51" w14:textId="77777777" w:rsidR="007347AB" w:rsidRDefault="007347AB" w:rsidP="000D44B7">
      <w:pPr>
        <w:pStyle w:val="Indent3"/>
      </w:pPr>
      <w:r>
        <w:t xml:space="preserve">(together the </w:t>
      </w:r>
      <w:r w:rsidR="00F24DC2">
        <w:t>“</w:t>
      </w:r>
      <w:r w:rsidRPr="008E4A1B">
        <w:rPr>
          <w:b/>
          <w:bCs/>
        </w:rPr>
        <w:t>Accounts and Records</w:t>
      </w:r>
      <w:r w:rsidR="00F24DC2" w:rsidRPr="00F24DC2">
        <w:t>”</w:t>
      </w:r>
      <w:r>
        <w:t>).</w:t>
      </w:r>
    </w:p>
    <w:p w14:paraId="7CCAFFBF" w14:textId="77777777" w:rsidR="00AD3EFC" w:rsidRDefault="00710085" w:rsidP="0058045D">
      <w:pPr>
        <w:pStyle w:val="Heading3"/>
      </w:pPr>
      <w:r>
        <w:t>Project Operator</w:t>
      </w:r>
      <w:r w:rsidR="007347AB">
        <w:t xml:space="preserve"> must</w:t>
      </w:r>
      <w:r w:rsidR="00AD3EFC">
        <w:t>:</w:t>
      </w:r>
      <w:r w:rsidR="00F24DC2">
        <w:t xml:space="preserve"> </w:t>
      </w:r>
    </w:p>
    <w:p w14:paraId="12C238ED" w14:textId="77777777" w:rsidR="00AD3EFC" w:rsidRDefault="007347AB" w:rsidP="0058045D">
      <w:pPr>
        <w:pStyle w:val="Heading4"/>
      </w:pPr>
      <w:r>
        <w:t xml:space="preserve">ensure that </w:t>
      </w:r>
      <w:r w:rsidR="00F729B8">
        <w:t xml:space="preserve">the </w:t>
      </w:r>
      <w:r>
        <w:t>Accounts and Records are prepared in accordance with</w:t>
      </w:r>
      <w:r w:rsidR="00F729B8">
        <w:t>, as applicable,</w:t>
      </w:r>
      <w:r>
        <w:t xml:space="preserve"> the Corporations Act and generally accepted Australian Accounting Standards and practices consistently applied, and fairly represent its operations and financial condition or consolidated financial position (as the case may be)</w:t>
      </w:r>
      <w:r w:rsidR="00AD3EFC">
        <w:t>; and</w:t>
      </w:r>
    </w:p>
    <w:p w14:paraId="400E9D5C" w14:textId="36971D9B" w:rsidR="007347AB" w:rsidRDefault="00AD3EFC" w:rsidP="0058045D">
      <w:pPr>
        <w:pStyle w:val="Heading4"/>
      </w:pPr>
      <w:r>
        <w:t>procure that each Key Subcontractor's Accounts and Records truly reflect the status and scheduled achievement of the Project</w:t>
      </w:r>
      <w:r w:rsidR="00C35226">
        <w:t xml:space="preserve"> [and the </w:t>
      </w:r>
      <w:r w:rsidR="00146C8C">
        <w:t>[</w:t>
      </w:r>
      <w:r w:rsidR="00C35226">
        <w:t>Associated</w:t>
      </w:r>
      <w:r w:rsidR="00146C8C">
        <w:t>/Existing]</w:t>
      </w:r>
      <w:r w:rsidR="00C35226">
        <w:t xml:space="preserve"> Project]</w:t>
      </w:r>
      <w:r>
        <w:t xml:space="preserve"> and are prepared in accordance with generally accepted Australian Accounting Standards (or equivalent) and fairly represent its operations and financial condition or consolidated financial position (as the case may be)</w:t>
      </w:r>
      <w:r w:rsidR="00F24DC2">
        <w:t>.</w:t>
      </w:r>
      <w:r w:rsidR="00C35226">
        <w:t xml:space="preserve"> [</w:t>
      </w:r>
      <w:r w:rsidR="00C35226" w:rsidRPr="004D3942">
        <w:rPr>
          <w:b/>
          <w:bCs/>
          <w:i/>
          <w:iCs/>
          <w:highlight w:val="lightGray"/>
        </w:rPr>
        <w:t xml:space="preserve">Note: </w:t>
      </w:r>
      <w:r w:rsidR="0029324A">
        <w:rPr>
          <w:b/>
          <w:bCs/>
          <w:i/>
          <w:iCs/>
          <w:highlight w:val="lightGray"/>
        </w:rPr>
        <w:t xml:space="preserve">the </w:t>
      </w:r>
      <w:r w:rsidR="00C35226">
        <w:rPr>
          <w:b/>
          <w:bCs/>
          <w:i/>
          <w:iCs/>
          <w:highlight w:val="lightGray"/>
        </w:rPr>
        <w:t xml:space="preserve">words in square brackets </w:t>
      </w:r>
      <w:r w:rsidR="0029324A">
        <w:rPr>
          <w:b/>
          <w:bCs/>
          <w:i/>
          <w:iCs/>
          <w:highlight w:val="lightGray"/>
        </w:rPr>
        <w:t xml:space="preserve">are </w:t>
      </w:r>
      <w:r w:rsidR="00C35226">
        <w:rPr>
          <w:b/>
          <w:bCs/>
          <w:i/>
          <w:iCs/>
          <w:highlight w:val="lightGray"/>
        </w:rPr>
        <w:t xml:space="preserve">to be included </w:t>
      </w:r>
      <w:r w:rsidR="00C35226" w:rsidRPr="004D3942">
        <w:rPr>
          <w:b/>
          <w:bCs/>
          <w:i/>
          <w:iCs/>
          <w:highlight w:val="lightGray"/>
        </w:rPr>
        <w:t>for all Hybrid Projects</w:t>
      </w:r>
      <w:r w:rsidR="00146C8C">
        <w:rPr>
          <w:b/>
          <w:bCs/>
          <w:i/>
          <w:iCs/>
          <w:highlight w:val="lightGray"/>
        </w:rPr>
        <w:t xml:space="preserve"> and Staged Projects (as applicable)</w:t>
      </w:r>
      <w:r w:rsidR="00C35226" w:rsidRPr="004D3942">
        <w:rPr>
          <w:b/>
          <w:bCs/>
          <w:i/>
          <w:iCs/>
          <w:highlight w:val="lightGray"/>
        </w:rPr>
        <w:t>.</w:t>
      </w:r>
      <w:r w:rsidR="00C35226">
        <w:t>]</w:t>
      </w:r>
    </w:p>
    <w:p w14:paraId="753D6675" w14:textId="0A9E1B75" w:rsidR="0029324A" w:rsidRDefault="00710085" w:rsidP="0058045D">
      <w:pPr>
        <w:pStyle w:val="Heading3"/>
      </w:pPr>
      <w:r>
        <w:t>Project Operator</w:t>
      </w:r>
      <w:r w:rsidR="007347AB">
        <w:t xml:space="preserve"> must ensure</w:t>
      </w:r>
      <w:r w:rsidR="00204477">
        <w:t xml:space="preserve"> that</w:t>
      </w:r>
      <w:r w:rsidR="0029324A">
        <w:t>:</w:t>
      </w:r>
    </w:p>
    <w:p w14:paraId="4FE152ED" w14:textId="70EA8F5E" w:rsidR="0029324A" w:rsidRDefault="00F24DC2" w:rsidP="0029324A">
      <w:pPr>
        <w:pStyle w:val="Heading4"/>
      </w:pPr>
      <w:r>
        <w:t>the</w:t>
      </w:r>
      <w:r w:rsidR="007347AB">
        <w:t xml:space="preserve"> Accounts and Records</w:t>
      </w:r>
      <w:r w:rsidR="0013119E">
        <w:t xml:space="preserve">, and any </w:t>
      </w:r>
      <w:r w:rsidR="001A1B39">
        <w:t>representatives, employees, or Associates of Project Operator</w:t>
      </w:r>
      <w:r w:rsidR="0013119E">
        <w:t xml:space="preserve"> required to provide or explain the information required to be contained in the Accounts and Records,</w:t>
      </w:r>
      <w:r w:rsidR="007347AB">
        <w:t xml:space="preserve"> are available to the Commonwealth and its nominee at any time during business hours (subject to receiving </w:t>
      </w:r>
      <w:r w:rsidR="009B286F">
        <w:t>not less than</w:t>
      </w:r>
      <w:r w:rsidR="00146C8C">
        <w:t xml:space="preserve"> five (</w:t>
      </w:r>
      <w:r w:rsidR="007347AB">
        <w:t>5</w:t>
      </w:r>
      <w:r w:rsidR="00146C8C">
        <w:t>)</w:t>
      </w:r>
      <w:r w:rsidR="009B286F">
        <w:t> </w:t>
      </w:r>
      <w:r w:rsidR="007347AB">
        <w:t>Business Days</w:t>
      </w:r>
      <w:r w:rsidR="0006425A">
        <w:t>’</w:t>
      </w:r>
      <w:r w:rsidR="007347AB">
        <w:t xml:space="preserve"> prior notice from the Commonwealth) during the Term and for a period of </w:t>
      </w:r>
      <w:r w:rsidR="0029324A">
        <w:t>seven (</w:t>
      </w:r>
      <w:r>
        <w:t>7</w:t>
      </w:r>
      <w:r w:rsidR="0029324A">
        <w:t>)</w:t>
      </w:r>
      <w:r w:rsidR="007347AB">
        <w:t xml:space="preserve"> years after the termination or expiry of this </w:t>
      </w:r>
      <w:r w:rsidR="00710085">
        <w:t>agreement</w:t>
      </w:r>
      <w:r w:rsidR="007347AB">
        <w:t xml:space="preserve"> for examination, audit, inspection, transcription and copying</w:t>
      </w:r>
      <w:r w:rsidR="0029324A">
        <w:t>;</w:t>
      </w:r>
      <w:r w:rsidR="00AD3EFC">
        <w:t xml:space="preserve"> and </w:t>
      </w:r>
    </w:p>
    <w:p w14:paraId="0BB7B448" w14:textId="7C37E75B" w:rsidR="007347AB" w:rsidRDefault="00AD3EFC" w:rsidP="008F660B">
      <w:pPr>
        <w:pStyle w:val="Heading4"/>
      </w:pPr>
      <w:r>
        <w:t>each Key Subcontractor does likewise</w:t>
      </w:r>
      <w:r w:rsidR="007347AB">
        <w:t>.</w:t>
      </w:r>
    </w:p>
    <w:p w14:paraId="218BEA2D" w14:textId="4C22A811" w:rsidR="007347AB" w:rsidRDefault="007347AB" w:rsidP="0058045D">
      <w:pPr>
        <w:pStyle w:val="Heading3"/>
      </w:pPr>
      <w:r>
        <w:t xml:space="preserve">This clause </w:t>
      </w:r>
      <w:r>
        <w:fldChar w:fldCharType="begin"/>
      </w:r>
      <w:r>
        <w:instrText xml:space="preserve"> REF _Ref151258425 \w \h </w:instrText>
      </w:r>
      <w:r>
        <w:fldChar w:fldCharType="separate"/>
      </w:r>
      <w:r w:rsidR="002E5C6A">
        <w:t>32.1</w:t>
      </w:r>
      <w:r>
        <w:fldChar w:fldCharType="end"/>
      </w:r>
      <w:r>
        <w:t xml:space="preserve"> applies for the Term and for a period of </w:t>
      </w:r>
      <w:r w:rsidR="0029324A">
        <w:t>seven (</w:t>
      </w:r>
      <w:r w:rsidR="00102850">
        <w:t>7</w:t>
      </w:r>
      <w:r w:rsidR="0029324A">
        <w:t>)</w:t>
      </w:r>
      <w:r>
        <w:t xml:space="preserve"> years from the termination or expiry of this </w:t>
      </w:r>
      <w:r w:rsidR="00710085">
        <w:t>agreement</w:t>
      </w:r>
      <w:r>
        <w:t>.</w:t>
      </w:r>
    </w:p>
    <w:p w14:paraId="0FA386C9" w14:textId="77777777" w:rsidR="007347AB" w:rsidRDefault="2C388DF0" w:rsidP="0058045D">
      <w:pPr>
        <w:pStyle w:val="Heading2"/>
      </w:pPr>
      <w:bookmarkStart w:id="5228" w:name="_Toc153945235"/>
      <w:bookmarkStart w:id="5229" w:name="_Toc207309733"/>
      <w:r>
        <w:t>Access to records</w:t>
      </w:r>
      <w:bookmarkEnd w:id="5228"/>
      <w:bookmarkEnd w:id="5229"/>
    </w:p>
    <w:p w14:paraId="0F76769C" w14:textId="77777777" w:rsidR="007347AB" w:rsidRDefault="007347AB" w:rsidP="009B286F">
      <w:pPr>
        <w:pStyle w:val="Heading3"/>
        <w:keepNext/>
      </w:pPr>
      <w:r>
        <w:t xml:space="preserve">During the performance of this </w:t>
      </w:r>
      <w:r w:rsidR="00710085">
        <w:t>agreement</w:t>
      </w:r>
      <w:r>
        <w:t xml:space="preserve">, </w:t>
      </w:r>
      <w:r w:rsidR="00710085">
        <w:t>Project Operator</w:t>
      </w:r>
      <w:r>
        <w:t xml:space="preserve"> </w:t>
      </w:r>
      <w:r w:rsidR="00102850">
        <w:t>must</w:t>
      </w:r>
      <w:r>
        <w:t xml:space="preserve"> give the Commonwealth and its nominee access to: </w:t>
      </w:r>
    </w:p>
    <w:p w14:paraId="4EB0EAE1" w14:textId="0CC1C4F9" w:rsidR="007347AB" w:rsidRDefault="007347AB" w:rsidP="0058045D">
      <w:pPr>
        <w:pStyle w:val="Heading4"/>
      </w:pPr>
      <w:r>
        <w:t>its premises</w:t>
      </w:r>
      <w:r w:rsidR="00C727CD">
        <w:t xml:space="preserve"> during business hours and with at least </w:t>
      </w:r>
      <w:r w:rsidR="00146C8C">
        <w:t>ten (1</w:t>
      </w:r>
      <w:r w:rsidR="00C727CD">
        <w:t>0</w:t>
      </w:r>
      <w:r w:rsidR="00146C8C">
        <w:t>)</w:t>
      </w:r>
      <w:r w:rsidR="00C727CD">
        <w:t xml:space="preserve"> Business Days</w:t>
      </w:r>
      <w:r w:rsidR="00146C8C">
        <w:t>’</w:t>
      </w:r>
      <w:r w:rsidR="00C727CD">
        <w:t xml:space="preserve"> prior notice</w:t>
      </w:r>
      <w:r>
        <w:t>; and</w:t>
      </w:r>
    </w:p>
    <w:p w14:paraId="742F9A05" w14:textId="77777777" w:rsidR="007347AB" w:rsidRDefault="007347AB" w:rsidP="0058045D">
      <w:pPr>
        <w:pStyle w:val="Heading4"/>
      </w:pPr>
      <w:r>
        <w:t xml:space="preserve">any of </w:t>
      </w:r>
      <w:r w:rsidR="006F7768">
        <w:t>the</w:t>
      </w:r>
      <w:r>
        <w:t xml:space="preserve"> Accounts and Records, </w:t>
      </w:r>
    </w:p>
    <w:p w14:paraId="61349B50" w14:textId="5C397846" w:rsidR="007347AB" w:rsidRDefault="007347AB" w:rsidP="0058045D">
      <w:pPr>
        <w:pStyle w:val="Heading3"/>
        <w:numPr>
          <w:ilvl w:val="0"/>
          <w:numId w:val="0"/>
        </w:numPr>
        <w:ind w:left="1474"/>
      </w:pPr>
      <w:r>
        <w:t xml:space="preserve">relevant to </w:t>
      </w:r>
      <w:r w:rsidR="00E7668E">
        <w:t xml:space="preserve">or having an adverse effect on </w:t>
      </w:r>
      <w:r>
        <w:t xml:space="preserve">the performance of this </w:t>
      </w:r>
      <w:r w:rsidR="00710085">
        <w:t>agreement</w:t>
      </w:r>
      <w:r w:rsidR="009B286F">
        <w:t xml:space="preserve"> or the Project</w:t>
      </w:r>
      <w:r>
        <w:t xml:space="preserve">, including the right to copy any Accounts and Records for the purposes of this </w:t>
      </w:r>
      <w:r w:rsidR="00710085">
        <w:t>agreement</w:t>
      </w:r>
      <w:r>
        <w:t>.</w:t>
      </w:r>
    </w:p>
    <w:p w14:paraId="3A3742AD" w14:textId="1599E4BB" w:rsidR="00AD3EFC" w:rsidRDefault="00AD3EFC" w:rsidP="0058045D">
      <w:pPr>
        <w:pStyle w:val="Heading3"/>
      </w:pPr>
      <w:r>
        <w:t xml:space="preserve">Project Operator </w:t>
      </w:r>
      <w:r w:rsidR="00DC78A2">
        <w:t xml:space="preserve">must </w:t>
      </w:r>
      <w:r>
        <w:t xml:space="preserve">ensure that each Key Subcontractor gives the Commonwealth and its nominee access to its: </w:t>
      </w:r>
    </w:p>
    <w:p w14:paraId="7505AEED" w14:textId="48A8AD68" w:rsidR="00AD3EFC" w:rsidRDefault="00AD3EFC" w:rsidP="0058045D">
      <w:pPr>
        <w:pStyle w:val="Heading4"/>
      </w:pPr>
      <w:r>
        <w:t xml:space="preserve">premises during business hours and with at least </w:t>
      </w:r>
      <w:r w:rsidR="00146C8C">
        <w:t>ten (</w:t>
      </w:r>
      <w:r>
        <w:t>10</w:t>
      </w:r>
      <w:r w:rsidR="00146C8C">
        <w:t>)</w:t>
      </w:r>
      <w:r>
        <w:t xml:space="preserve"> Business Days' prior notice; and</w:t>
      </w:r>
    </w:p>
    <w:p w14:paraId="7614B042" w14:textId="77777777" w:rsidR="00AD3EFC" w:rsidRDefault="00AD3EFC" w:rsidP="0058045D">
      <w:pPr>
        <w:pStyle w:val="Heading4"/>
      </w:pPr>
      <w:r>
        <w:t xml:space="preserve">Accounts and Records, </w:t>
      </w:r>
    </w:p>
    <w:p w14:paraId="12BABF0D" w14:textId="3509D55C" w:rsidR="00AD3EFC" w:rsidRDefault="00AD3EFC" w:rsidP="000D44B7">
      <w:pPr>
        <w:pStyle w:val="Indent3"/>
      </w:pPr>
      <w:r>
        <w:t>relevant to</w:t>
      </w:r>
      <w:r w:rsidR="00146C8C">
        <w:t>,</w:t>
      </w:r>
      <w:r>
        <w:t xml:space="preserve"> or </w:t>
      </w:r>
      <w:r w:rsidR="00DC78A2">
        <w:t xml:space="preserve">showing </w:t>
      </w:r>
      <w:r w:rsidR="00E7668E">
        <w:t>an</w:t>
      </w:r>
      <w:r w:rsidR="00DC78A2">
        <w:t>y</w:t>
      </w:r>
      <w:r w:rsidR="00E7668E">
        <w:t xml:space="preserve"> adverse effect</w:t>
      </w:r>
      <w:r>
        <w:t xml:space="preserve"> on</w:t>
      </w:r>
      <w:r w:rsidR="00146C8C">
        <w:t>,</w:t>
      </w:r>
      <w:r>
        <w:t xml:space="preserve"> the performance of Project Operator's obligations under this agreement</w:t>
      </w:r>
      <w:r w:rsidR="00146C8C">
        <w:t xml:space="preserve"> or its performance of the Project</w:t>
      </w:r>
      <w:r w:rsidR="00DC78A2">
        <w:t>,</w:t>
      </w:r>
      <w:r>
        <w:t xml:space="preserve"> including </w:t>
      </w:r>
      <w:r w:rsidR="00DC78A2">
        <w:t xml:space="preserve">giving </w:t>
      </w:r>
      <w:r>
        <w:t xml:space="preserve">the right to copy any Accounts </w:t>
      </w:r>
      <w:r w:rsidR="00146C8C">
        <w:t>and</w:t>
      </w:r>
      <w:r>
        <w:t xml:space="preserve"> Records for the purposes of this agreement, in each case for the following periods:</w:t>
      </w:r>
    </w:p>
    <w:p w14:paraId="21401EEE" w14:textId="554AF08E" w:rsidR="00AD3EFC" w:rsidRDefault="00AD3EFC" w:rsidP="0058045D">
      <w:pPr>
        <w:pStyle w:val="Heading4"/>
      </w:pPr>
      <w:r>
        <w:t xml:space="preserve">for Key Subcontractors undertaking works or services pursuant to this agreement </w:t>
      </w:r>
      <w:r w:rsidR="00DD3CEC">
        <w:t>during the c</w:t>
      </w:r>
      <w:r>
        <w:t xml:space="preserve">onstruction </w:t>
      </w:r>
      <w:r w:rsidR="00DD3CEC">
        <w:t>of the Project</w:t>
      </w:r>
      <w:r>
        <w:t xml:space="preserve">, for a period of seven years after the earlier of </w:t>
      </w:r>
      <w:r w:rsidR="00DC78A2">
        <w:t xml:space="preserve">COD and the </w:t>
      </w:r>
      <w:r>
        <w:t xml:space="preserve">termination </w:t>
      </w:r>
      <w:r w:rsidR="009B286F">
        <w:t xml:space="preserve">or expiry </w:t>
      </w:r>
      <w:r>
        <w:t xml:space="preserve">of that Key Subcontract; and </w:t>
      </w:r>
    </w:p>
    <w:p w14:paraId="33EF55B2" w14:textId="22689023" w:rsidR="00AD3EFC" w:rsidRDefault="00AD3EFC" w:rsidP="0058045D">
      <w:pPr>
        <w:pStyle w:val="Heading4"/>
      </w:pPr>
      <w:r>
        <w:t xml:space="preserve">for Key Subcontractors undertaking works or services pursuant to this agreement </w:t>
      </w:r>
      <w:r w:rsidR="00DD3CEC">
        <w:t xml:space="preserve">during </w:t>
      </w:r>
      <w:r w:rsidR="00DD3CEC" w:rsidRPr="00DE6A8F">
        <w:t xml:space="preserve">the </w:t>
      </w:r>
      <w:r w:rsidR="00DD3CEC">
        <w:t>operation of the Project</w:t>
      </w:r>
      <w:r>
        <w:t xml:space="preserve">, for a period of seven years after </w:t>
      </w:r>
      <w:r w:rsidR="00DC78A2">
        <w:t xml:space="preserve">the </w:t>
      </w:r>
      <w:r>
        <w:t>termination or expir</w:t>
      </w:r>
      <w:r w:rsidR="009B286F">
        <w:t>y</w:t>
      </w:r>
      <w:r>
        <w:t xml:space="preserve"> of this agreement or such longer period as may be required by Law. </w:t>
      </w:r>
    </w:p>
    <w:p w14:paraId="7FB76135" w14:textId="77777777" w:rsidR="003B6319" w:rsidRDefault="003B6319" w:rsidP="0058045D">
      <w:pPr>
        <w:pStyle w:val="Heading3"/>
      </w:pPr>
      <w:r>
        <w:t>The Commonwealth</w:t>
      </w:r>
      <w:r w:rsidR="001117F7">
        <w:t>’</w:t>
      </w:r>
      <w:r>
        <w:t>s access to premises, systems, equipment and personnel will be subject to Project Operator’s reasonable instructions relating to site access and to physical and information security.</w:t>
      </w:r>
    </w:p>
    <w:p w14:paraId="39191C66" w14:textId="77777777" w:rsidR="007347AB" w:rsidRDefault="2C388DF0" w:rsidP="0058045D">
      <w:pPr>
        <w:pStyle w:val="Heading2"/>
      </w:pPr>
      <w:bookmarkStart w:id="5230" w:name="_Toc153945236"/>
      <w:bookmarkStart w:id="5231" w:name="_Toc207309734"/>
      <w:r>
        <w:t>Other information</w:t>
      </w:r>
      <w:bookmarkEnd w:id="5230"/>
      <w:bookmarkEnd w:id="5231"/>
    </w:p>
    <w:p w14:paraId="13634F7F" w14:textId="77777777" w:rsidR="007347AB" w:rsidRPr="00847C21" w:rsidRDefault="00710085" w:rsidP="008E4A1B">
      <w:pPr>
        <w:pStyle w:val="Heading3"/>
        <w:numPr>
          <w:ilvl w:val="0"/>
          <w:numId w:val="0"/>
        </w:numPr>
        <w:ind w:left="737"/>
      </w:pPr>
      <w:r>
        <w:t>Project Operator</w:t>
      </w:r>
      <w:r w:rsidR="007347AB">
        <w:t xml:space="preserve"> must give to the Commonwealth the following information</w:t>
      </w:r>
      <w:r w:rsidR="007347AB" w:rsidRPr="00847C21">
        <w:t>:</w:t>
      </w:r>
    </w:p>
    <w:p w14:paraId="63ED77D4" w14:textId="13EC7C5B" w:rsidR="007347AB" w:rsidRDefault="007347AB" w:rsidP="0058045D">
      <w:pPr>
        <w:pStyle w:val="Heading3"/>
      </w:pPr>
      <w:r w:rsidRPr="00847C21">
        <w:t>details of any changes to the constitution</w:t>
      </w:r>
      <w:r w:rsidR="00DC78A2" w:rsidRPr="00847C21">
        <w:t xml:space="preserve"> of Project Operator</w:t>
      </w:r>
      <w:r w:rsidRPr="00847C21">
        <w:t xml:space="preserve"> </w:t>
      </w:r>
      <w:r w:rsidR="00146C8C" w:rsidRPr="00847C21">
        <w:t>[</w:t>
      </w:r>
      <w:r>
        <w:t>or</w:t>
      </w:r>
      <w:r w:rsidR="00DC78A2">
        <w:t xml:space="preserve"> the</w:t>
      </w:r>
      <w:r>
        <w:t xml:space="preserve"> </w:t>
      </w:r>
      <w:r w:rsidR="00DC78A2">
        <w:t>T</w:t>
      </w:r>
      <w:r>
        <w:t xml:space="preserve">rust </w:t>
      </w:r>
      <w:r w:rsidR="00DC78A2">
        <w:t>D</w:t>
      </w:r>
      <w:r>
        <w:t>eed</w:t>
      </w:r>
      <w:r w:rsidR="00146C8C">
        <w:t>]</w:t>
      </w:r>
      <w:r w:rsidR="009B286F">
        <w:t>,</w:t>
      </w:r>
      <w:r>
        <w:t xml:space="preserve"> within 20 Business Days after the change; and</w:t>
      </w:r>
      <w:r w:rsidR="00146C8C">
        <w:t xml:space="preserve"> </w:t>
      </w:r>
      <w:r w:rsidR="00146C8C" w:rsidRPr="00AD184A">
        <w:rPr>
          <w:b/>
          <w:bCs/>
          <w:i/>
          <w:iCs/>
          <w:highlight w:val="lightGray"/>
        </w:rPr>
        <w:t>Note:</w:t>
      </w:r>
      <w:r w:rsidR="00DC78A2">
        <w:rPr>
          <w:b/>
          <w:bCs/>
          <w:i/>
          <w:iCs/>
          <w:highlight w:val="lightGray"/>
        </w:rPr>
        <w:t xml:space="preserve"> the</w:t>
      </w:r>
      <w:r w:rsidR="00146C8C" w:rsidRPr="00AD184A">
        <w:rPr>
          <w:b/>
          <w:bCs/>
          <w:i/>
          <w:iCs/>
          <w:highlight w:val="lightGray"/>
        </w:rPr>
        <w:t xml:space="preserve"> words in square brackets </w:t>
      </w:r>
      <w:r w:rsidR="00DC78A2">
        <w:rPr>
          <w:b/>
          <w:bCs/>
          <w:i/>
          <w:iCs/>
          <w:highlight w:val="lightGray"/>
        </w:rPr>
        <w:t xml:space="preserve">are </w:t>
      </w:r>
      <w:r w:rsidR="00146C8C" w:rsidRPr="00AD184A">
        <w:rPr>
          <w:b/>
          <w:bCs/>
          <w:i/>
          <w:iCs/>
          <w:highlight w:val="lightGray"/>
        </w:rPr>
        <w:t xml:space="preserve">to be included </w:t>
      </w:r>
      <w:r w:rsidR="00204477">
        <w:rPr>
          <w:b/>
          <w:bCs/>
          <w:i/>
          <w:iCs/>
          <w:highlight w:val="lightGray"/>
        </w:rPr>
        <w:t>if</w:t>
      </w:r>
      <w:r w:rsidR="00146C8C" w:rsidRPr="00AD184A">
        <w:rPr>
          <w:b/>
          <w:bCs/>
          <w:i/>
          <w:iCs/>
          <w:highlight w:val="lightGray"/>
        </w:rPr>
        <w:t xml:space="preserve"> Project Operator is a</w:t>
      </w:r>
      <w:r w:rsidR="008F4CFC">
        <w:rPr>
          <w:b/>
          <w:bCs/>
          <w:i/>
          <w:iCs/>
          <w:highlight w:val="lightGray"/>
        </w:rPr>
        <w:t xml:space="preserve"> </w:t>
      </w:r>
      <w:r w:rsidR="00204477">
        <w:rPr>
          <w:b/>
          <w:bCs/>
          <w:i/>
          <w:iCs/>
          <w:highlight w:val="lightGray"/>
        </w:rPr>
        <w:t>t</w:t>
      </w:r>
      <w:r w:rsidR="00146C8C" w:rsidRPr="00AD184A">
        <w:rPr>
          <w:b/>
          <w:bCs/>
          <w:i/>
          <w:iCs/>
          <w:highlight w:val="lightGray"/>
        </w:rPr>
        <w:t>rustee.</w:t>
      </w:r>
      <w:r w:rsidR="00146C8C">
        <w:t>]</w:t>
      </w:r>
    </w:p>
    <w:p w14:paraId="281ADECD" w14:textId="4A11E397" w:rsidR="007347AB" w:rsidRPr="00D53681" w:rsidRDefault="007347AB" w:rsidP="0058045D">
      <w:pPr>
        <w:pStyle w:val="Heading3"/>
      </w:pPr>
      <w:bookmarkStart w:id="5232" w:name="_Ref_ContractCompanion_9kb9Ur466"/>
      <w:r>
        <w:t>such other financial and associated information relating to the Project</w:t>
      </w:r>
      <w:r w:rsidR="00777AAF">
        <w:t xml:space="preserve"> [or the </w:t>
      </w:r>
      <w:r w:rsidR="00146C8C">
        <w:t>[</w:t>
      </w:r>
      <w:r w:rsidR="00777AAF">
        <w:t>Associated</w:t>
      </w:r>
      <w:r w:rsidR="00146C8C">
        <w:t>/Existing]</w:t>
      </w:r>
      <w:r w:rsidR="00777AAF">
        <w:t xml:space="preserve"> Project]</w:t>
      </w:r>
      <w:r>
        <w:t xml:space="preserve"> as the Commonwealth may reasonably require from time to time</w:t>
      </w:r>
      <w:r w:rsidR="009B286F">
        <w:t>,</w:t>
      </w:r>
      <w:r>
        <w:t xml:space="preserve"> within 20 Business Days after it is requested.</w:t>
      </w:r>
      <w:bookmarkEnd w:id="5232"/>
      <w:r w:rsidR="00777AAF">
        <w:t xml:space="preserve"> [</w:t>
      </w:r>
      <w:r w:rsidR="00777AAF" w:rsidRPr="004D3942">
        <w:rPr>
          <w:b/>
          <w:bCs/>
          <w:i/>
          <w:iCs/>
          <w:highlight w:val="lightGray"/>
        </w:rPr>
        <w:t xml:space="preserve">Note: </w:t>
      </w:r>
      <w:r w:rsidR="00DC78A2">
        <w:rPr>
          <w:b/>
          <w:bCs/>
          <w:i/>
          <w:iCs/>
          <w:highlight w:val="lightGray"/>
        </w:rPr>
        <w:t xml:space="preserve">the </w:t>
      </w:r>
      <w:r w:rsidR="00777AAF">
        <w:rPr>
          <w:b/>
          <w:bCs/>
          <w:i/>
          <w:iCs/>
          <w:highlight w:val="lightGray"/>
        </w:rPr>
        <w:t xml:space="preserve">words in square brackets </w:t>
      </w:r>
      <w:r w:rsidR="00DC78A2">
        <w:rPr>
          <w:b/>
          <w:bCs/>
          <w:i/>
          <w:iCs/>
          <w:highlight w:val="lightGray"/>
        </w:rPr>
        <w:t xml:space="preserve">are </w:t>
      </w:r>
      <w:r w:rsidR="00777AAF">
        <w:rPr>
          <w:b/>
          <w:bCs/>
          <w:i/>
          <w:iCs/>
          <w:highlight w:val="lightGray"/>
        </w:rPr>
        <w:t xml:space="preserve">to be included </w:t>
      </w:r>
      <w:r w:rsidR="00777AAF" w:rsidRPr="004D3942">
        <w:rPr>
          <w:b/>
          <w:bCs/>
          <w:i/>
          <w:iCs/>
          <w:highlight w:val="lightGray"/>
        </w:rPr>
        <w:t>for all Hybrid Projects</w:t>
      </w:r>
      <w:r w:rsidR="00146C8C">
        <w:rPr>
          <w:b/>
          <w:bCs/>
          <w:i/>
          <w:iCs/>
          <w:highlight w:val="lightGray"/>
        </w:rPr>
        <w:t xml:space="preserve"> and Staged Projects (as applicable)</w:t>
      </w:r>
      <w:r w:rsidR="00777AAF" w:rsidRPr="004D3942">
        <w:rPr>
          <w:b/>
          <w:bCs/>
          <w:i/>
          <w:iCs/>
          <w:highlight w:val="lightGray"/>
        </w:rPr>
        <w:t>.</w:t>
      </w:r>
      <w:r w:rsidR="00777AAF">
        <w:t>]</w:t>
      </w:r>
    </w:p>
    <w:p w14:paraId="29E22FB2" w14:textId="77777777" w:rsidR="007347AB" w:rsidRDefault="2C388DF0" w:rsidP="0058045D">
      <w:pPr>
        <w:pStyle w:val="Heading2"/>
      </w:pPr>
      <w:r>
        <w:t xml:space="preserve"> </w:t>
      </w:r>
      <w:bookmarkStart w:id="5233" w:name="_Ref149848578"/>
      <w:bookmarkStart w:id="5234" w:name="_Toc153945237"/>
      <w:bookmarkStart w:id="5235" w:name="_Toc207309735"/>
      <w:r>
        <w:t>Right to access and audit</w:t>
      </w:r>
      <w:bookmarkEnd w:id="5233"/>
      <w:bookmarkEnd w:id="5234"/>
      <w:bookmarkEnd w:id="5235"/>
    </w:p>
    <w:p w14:paraId="654C959B" w14:textId="726B5EA3" w:rsidR="007347AB" w:rsidRDefault="007347AB" w:rsidP="008C038D">
      <w:pPr>
        <w:pStyle w:val="Heading3"/>
        <w:keepNext/>
      </w:pPr>
      <w:bookmarkStart w:id="5236" w:name="_Ref150850981"/>
      <w:r>
        <w:t>The Commonwealth may elect</w:t>
      </w:r>
      <w:r w:rsidR="003B6319">
        <w:t>, or</w:t>
      </w:r>
      <w:r>
        <w:t xml:space="preserve"> </w:t>
      </w:r>
      <w:r w:rsidR="00DC78A2">
        <w:t xml:space="preserve">may </w:t>
      </w:r>
      <w:r>
        <w:t>commission a</w:t>
      </w:r>
      <w:r w:rsidR="003B6319">
        <w:t xml:space="preserve"> third party</w:t>
      </w:r>
      <w:r>
        <w:t xml:space="preserve"> “</w:t>
      </w:r>
      <w:r w:rsidRPr="005C19C9">
        <w:rPr>
          <w:b/>
          <w:bCs/>
        </w:rPr>
        <w:t>Auditor</w:t>
      </w:r>
      <w:r>
        <w:t>”</w:t>
      </w:r>
      <w:r w:rsidR="003B6319">
        <w:t>,</w:t>
      </w:r>
      <w:r>
        <w:t xml:space="preserve"> to audit and inspect the Accounts and Records of </w:t>
      </w:r>
      <w:r w:rsidR="00710085">
        <w:t>Project Operator</w:t>
      </w:r>
      <w:r>
        <w:t xml:space="preserve"> and, to the extent reasonably required by the Commonwealth, </w:t>
      </w:r>
      <w:r w:rsidR="00710085">
        <w:t>Project Operator</w:t>
      </w:r>
      <w:r>
        <w:t>’s Related Bodies Corporate</w:t>
      </w:r>
      <w:r w:rsidR="00DD3CEC">
        <w:t xml:space="preserve"> and/or Key Subcontractors</w:t>
      </w:r>
      <w:r>
        <w:t>, for the purpose of verifying:</w:t>
      </w:r>
      <w:bookmarkEnd w:id="5236"/>
      <w:r>
        <w:t xml:space="preserve"> </w:t>
      </w:r>
    </w:p>
    <w:p w14:paraId="46144243" w14:textId="77777777" w:rsidR="007347AB" w:rsidRDefault="007347AB" w:rsidP="0058045D">
      <w:pPr>
        <w:pStyle w:val="Heading4"/>
      </w:pPr>
      <w:r>
        <w:t xml:space="preserve">the accuracy of any report or information provided by </w:t>
      </w:r>
      <w:r w:rsidR="00710085">
        <w:t>Project Operator</w:t>
      </w:r>
      <w:r>
        <w:t xml:space="preserve"> arising from or in connection with this </w:t>
      </w:r>
      <w:r w:rsidR="00710085">
        <w:t>agreement</w:t>
      </w:r>
      <w:r>
        <w:t xml:space="preserve">; and </w:t>
      </w:r>
    </w:p>
    <w:p w14:paraId="123ECDD9" w14:textId="3ECD8D47" w:rsidR="006F7768" w:rsidRDefault="00710085" w:rsidP="0058045D">
      <w:pPr>
        <w:pStyle w:val="Heading4"/>
      </w:pPr>
      <w:bookmarkStart w:id="5237" w:name="_Ref176971682"/>
      <w:r>
        <w:t>Project Operator</w:t>
      </w:r>
      <w:r w:rsidR="007347AB">
        <w:t>’s compliance with th</w:t>
      </w:r>
      <w:r w:rsidR="00146C8C">
        <w:t>e Project Documents</w:t>
      </w:r>
      <w:r w:rsidR="006F7768">
        <w:t>,</w:t>
      </w:r>
      <w:bookmarkEnd w:id="5237"/>
      <w:r w:rsidR="006F7768">
        <w:t xml:space="preserve"> </w:t>
      </w:r>
    </w:p>
    <w:p w14:paraId="0E6BB894" w14:textId="77777777" w:rsidR="007347AB" w:rsidRDefault="006F7768" w:rsidP="00B3491D">
      <w:pPr>
        <w:pStyle w:val="Indent3"/>
      </w:pPr>
      <w:r>
        <w:t>(“</w:t>
      </w:r>
      <w:r w:rsidRPr="006F7768">
        <w:rPr>
          <w:b/>
          <w:bCs/>
        </w:rPr>
        <w:t>Audit</w:t>
      </w:r>
      <w:r>
        <w:t>”)</w:t>
      </w:r>
      <w:r w:rsidR="007347AB">
        <w:t>.</w:t>
      </w:r>
    </w:p>
    <w:p w14:paraId="5594C8D3" w14:textId="6EB1A579" w:rsidR="007347AB" w:rsidRDefault="007347AB" w:rsidP="0058045D">
      <w:pPr>
        <w:pStyle w:val="Heading3"/>
      </w:pPr>
      <w:r>
        <w:t xml:space="preserve">The Commonwealth may appoint either the Australian National Audit Office or </w:t>
      </w:r>
      <w:r w:rsidR="003B6319">
        <w:t xml:space="preserve">an </w:t>
      </w:r>
      <w:r w:rsidR="00EB083C">
        <w:t>appropriately</w:t>
      </w:r>
      <w:r>
        <w:t xml:space="preserve"> qualified independent professional firm as </w:t>
      </w:r>
      <w:r w:rsidR="00DC78A2">
        <w:t xml:space="preserve">an </w:t>
      </w:r>
      <w:r>
        <w:t>Auditor.</w:t>
      </w:r>
    </w:p>
    <w:p w14:paraId="47E9364C" w14:textId="1EC5A063" w:rsidR="007347AB" w:rsidRDefault="007347AB" w:rsidP="0058045D">
      <w:pPr>
        <w:pStyle w:val="Heading3"/>
      </w:pPr>
      <w:r>
        <w:t xml:space="preserve">The Commonwealth must give </w:t>
      </w:r>
      <w:r w:rsidR="00710085">
        <w:t>Project Operator</w:t>
      </w:r>
      <w:r>
        <w:t xml:space="preserve"> at least 20 Business Days’ prior notice of any Audit</w:t>
      </w:r>
      <w:r w:rsidR="009B286F">
        <w:t xml:space="preserve"> unless there is a reasonable suspicion of the occurrence of fraud</w:t>
      </w:r>
      <w:r>
        <w:t>.</w:t>
      </w:r>
    </w:p>
    <w:p w14:paraId="58D4CDCF" w14:textId="3025F424" w:rsidR="007347AB" w:rsidRDefault="00710085" w:rsidP="0058045D">
      <w:pPr>
        <w:pStyle w:val="Heading3"/>
      </w:pPr>
      <w:r>
        <w:t>Project Operator</w:t>
      </w:r>
      <w:r w:rsidR="007347AB">
        <w:t xml:space="preserve"> must</w:t>
      </w:r>
      <w:r w:rsidR="00EB083C">
        <w:t xml:space="preserve"> comply with any such audit,</w:t>
      </w:r>
      <w:r w:rsidR="00DC78A2">
        <w:t xml:space="preserve"> and</w:t>
      </w:r>
      <w:r w:rsidR="00EB083C">
        <w:t xml:space="preserve"> must</w:t>
      </w:r>
      <w:r w:rsidR="007347AB">
        <w:t>:</w:t>
      </w:r>
    </w:p>
    <w:p w14:paraId="76E873FC" w14:textId="6BCE3ABB" w:rsidR="007347AB" w:rsidRDefault="007347AB" w:rsidP="0058045D">
      <w:pPr>
        <w:pStyle w:val="Heading4"/>
      </w:pPr>
      <w:r>
        <w:t xml:space="preserve">subject to </w:t>
      </w:r>
      <w:r w:rsidR="006F7768">
        <w:t xml:space="preserve">paragraph </w:t>
      </w:r>
      <w:r w:rsidR="006F7768">
        <w:fldChar w:fldCharType="begin"/>
      </w:r>
      <w:r w:rsidR="006F7768">
        <w:instrText xml:space="preserve"> REF _Ref159430592 \n \h </w:instrText>
      </w:r>
      <w:r w:rsidR="006F7768">
        <w:fldChar w:fldCharType="separate"/>
      </w:r>
      <w:r w:rsidR="002E5C6A">
        <w:t>(e)</w:t>
      </w:r>
      <w:r w:rsidR="006F7768">
        <w:fldChar w:fldCharType="end"/>
      </w:r>
      <w:r>
        <w:t>, allow</w:t>
      </w:r>
      <w:r w:rsidR="00DC78A2">
        <w:t xml:space="preserve"> or enable</w:t>
      </w:r>
      <w:r>
        <w:t xml:space="preserve"> the Auditor to access</w:t>
      </w:r>
      <w:r w:rsidR="004C463E">
        <w:t>,</w:t>
      </w:r>
      <w:r>
        <w:t xml:space="preserve"> during business hours</w:t>
      </w:r>
      <w:r w:rsidR="004C463E">
        <w:t>,</w:t>
      </w:r>
      <w:r>
        <w:t xml:space="preserve"> the Accounts and Records kept by </w:t>
      </w:r>
      <w:r w:rsidR="00710085">
        <w:t>Project Operator</w:t>
      </w:r>
      <w:r>
        <w:t xml:space="preserve"> and its Related Bodies Corporate </w:t>
      </w:r>
      <w:r w:rsidR="00DD3CEC">
        <w:t xml:space="preserve">and/or Key Subcontractors </w:t>
      </w:r>
      <w:r>
        <w:t xml:space="preserve">(as applicable) and any premises, systems, equipment, personnel and information of </w:t>
      </w:r>
      <w:r w:rsidR="00710085">
        <w:t>Project Operator</w:t>
      </w:r>
      <w:r w:rsidR="006F7768">
        <w:t xml:space="preserve"> and/or</w:t>
      </w:r>
      <w:r>
        <w:t xml:space="preserve"> its Related Bodies Corporate </w:t>
      </w:r>
      <w:r w:rsidR="00DD3CEC">
        <w:t xml:space="preserve">and/or Key Subcontractors (as applicable) </w:t>
      </w:r>
      <w:r>
        <w:t>relating to the Project</w:t>
      </w:r>
      <w:r w:rsidR="00777AAF">
        <w:t xml:space="preserve">[, the </w:t>
      </w:r>
      <w:r w:rsidR="00146C8C">
        <w:t>[</w:t>
      </w:r>
      <w:r w:rsidR="00777AAF">
        <w:t>Associated</w:t>
      </w:r>
      <w:r w:rsidR="00146C8C">
        <w:t>/Existing]</w:t>
      </w:r>
      <w:r w:rsidR="00777AAF">
        <w:t xml:space="preserve"> Project]</w:t>
      </w:r>
      <w:r>
        <w:t xml:space="preserve"> or </w:t>
      </w:r>
      <w:r w:rsidR="00146C8C">
        <w:t>the Project Documents</w:t>
      </w:r>
      <w:r>
        <w:t>;</w:t>
      </w:r>
      <w:r w:rsidR="00777AAF">
        <w:t xml:space="preserve"> [</w:t>
      </w:r>
      <w:r w:rsidR="00777AAF" w:rsidRPr="004D3942">
        <w:rPr>
          <w:b/>
          <w:bCs/>
          <w:i/>
          <w:iCs/>
          <w:highlight w:val="lightGray"/>
        </w:rPr>
        <w:t xml:space="preserve">Note: </w:t>
      </w:r>
      <w:r w:rsidR="00777AAF">
        <w:rPr>
          <w:b/>
          <w:bCs/>
          <w:i/>
          <w:iCs/>
          <w:highlight w:val="lightGray"/>
        </w:rPr>
        <w:t xml:space="preserve">words in square brackets to be included </w:t>
      </w:r>
      <w:r w:rsidR="00777AAF" w:rsidRPr="004D3942">
        <w:rPr>
          <w:b/>
          <w:bCs/>
          <w:i/>
          <w:iCs/>
          <w:highlight w:val="lightGray"/>
        </w:rPr>
        <w:t>for all Hybrid Projects</w:t>
      </w:r>
      <w:r w:rsidR="005672E2">
        <w:rPr>
          <w:b/>
          <w:bCs/>
          <w:i/>
          <w:iCs/>
          <w:highlight w:val="lightGray"/>
        </w:rPr>
        <w:t xml:space="preserve"> and Staged Projects (as applicable)</w:t>
      </w:r>
      <w:r w:rsidR="00777AAF" w:rsidRPr="004D3942">
        <w:rPr>
          <w:b/>
          <w:bCs/>
          <w:i/>
          <w:iCs/>
          <w:highlight w:val="lightGray"/>
        </w:rPr>
        <w:t>.</w:t>
      </w:r>
      <w:r w:rsidR="00777AAF">
        <w:t>]</w:t>
      </w:r>
    </w:p>
    <w:p w14:paraId="4EB67911" w14:textId="5DEF779C" w:rsidR="007347AB" w:rsidRDefault="007347AB" w:rsidP="0058045D">
      <w:pPr>
        <w:pStyle w:val="Heading4"/>
      </w:pPr>
      <w:r>
        <w:t xml:space="preserve">provide (and procure </w:t>
      </w:r>
      <w:r w:rsidR="004C463E">
        <w:t xml:space="preserve">that </w:t>
      </w:r>
      <w:r>
        <w:t>its Related Bod</w:t>
      </w:r>
      <w:r w:rsidR="002068D0">
        <w:t xml:space="preserve">ies </w:t>
      </w:r>
      <w:r>
        <w:t xml:space="preserve">Corporate </w:t>
      </w:r>
      <w:r w:rsidR="00DD3CEC">
        <w:t xml:space="preserve">and/or Key Subcontractors (as applicable) </w:t>
      </w:r>
      <w:r>
        <w:t>provide) reasonable co-operation, information and assistance to the Auditor</w:t>
      </w:r>
      <w:r w:rsidR="004C463E">
        <w:t>,</w:t>
      </w:r>
      <w:r>
        <w:t xml:space="preserve"> including answering reasonable questions relating to the audit and inspection in writing; and</w:t>
      </w:r>
    </w:p>
    <w:p w14:paraId="494F5804" w14:textId="013D29DE" w:rsidR="007347AB" w:rsidRDefault="007347AB" w:rsidP="0058045D">
      <w:pPr>
        <w:pStyle w:val="Heading4"/>
      </w:pPr>
      <w:r>
        <w:t>i</w:t>
      </w:r>
      <w:r w:rsidRPr="00384A2B">
        <w:t xml:space="preserve">f an </w:t>
      </w:r>
      <w:r>
        <w:t>A</w:t>
      </w:r>
      <w:r w:rsidRPr="00384A2B">
        <w:t xml:space="preserve">udit reveals any breach of </w:t>
      </w:r>
      <w:r w:rsidR="005672E2">
        <w:t>the Project Documents</w:t>
      </w:r>
      <w:r>
        <w:t xml:space="preserve"> </w:t>
      </w:r>
      <w:r w:rsidRPr="00384A2B">
        <w:t xml:space="preserve">by </w:t>
      </w:r>
      <w:r w:rsidR="00710085">
        <w:t>Project Operator</w:t>
      </w:r>
      <w:r w:rsidRPr="00384A2B">
        <w:t xml:space="preserve">, take remedial action including complying with any reasonable directions or instructions from the </w:t>
      </w:r>
      <w:r>
        <w:t>Commonwealth,</w:t>
      </w:r>
    </w:p>
    <w:p w14:paraId="03F07F4D" w14:textId="77777777" w:rsidR="007347AB" w:rsidRDefault="007347AB" w:rsidP="00B3491D">
      <w:pPr>
        <w:pStyle w:val="Indent3"/>
      </w:pPr>
      <w:r>
        <w:t xml:space="preserve">in each case in connection with </w:t>
      </w:r>
      <w:r w:rsidR="00ED19D2">
        <w:t xml:space="preserve">any </w:t>
      </w:r>
      <w:r>
        <w:t>Audit.</w:t>
      </w:r>
    </w:p>
    <w:p w14:paraId="3C506B63" w14:textId="77777777" w:rsidR="007347AB" w:rsidRDefault="007347AB" w:rsidP="0058045D">
      <w:pPr>
        <w:pStyle w:val="Heading3"/>
      </w:pPr>
      <w:bookmarkStart w:id="5238" w:name="_Ref159430592"/>
      <w:bookmarkStart w:id="5239" w:name="_Ref150850924"/>
      <w:r>
        <w:t xml:space="preserve">The Auditor’s access to any premises, systems, equipment and personnel will be subject to </w:t>
      </w:r>
      <w:r w:rsidR="00710085">
        <w:t>Project Operator</w:t>
      </w:r>
      <w:r>
        <w:t>’s reasonable instructions relating to site access and to physical and information security.</w:t>
      </w:r>
      <w:bookmarkEnd w:id="5238"/>
      <w:r>
        <w:t xml:space="preserve"> </w:t>
      </w:r>
    </w:p>
    <w:p w14:paraId="74349A91" w14:textId="3756799B" w:rsidR="007347AB" w:rsidRDefault="73E595EF" w:rsidP="0058045D">
      <w:pPr>
        <w:pStyle w:val="Heading3"/>
      </w:pPr>
      <w:r>
        <w:t xml:space="preserve">In </w:t>
      </w:r>
      <w:r w:rsidR="002068D0">
        <w:t xml:space="preserve">the </w:t>
      </w:r>
      <w:r>
        <w:t xml:space="preserve">absence of fraud or manifest error by the Auditor, a finding of the Auditor in respect of any matter referred to in paragraph </w:t>
      </w:r>
      <w:r w:rsidR="007347AB">
        <w:fldChar w:fldCharType="begin"/>
      </w:r>
      <w:r w:rsidR="007347AB">
        <w:instrText xml:space="preserve"> REF _Ref150850981 \n \h </w:instrText>
      </w:r>
      <w:r w:rsidR="007347AB">
        <w:fldChar w:fldCharType="separate"/>
      </w:r>
      <w:r w:rsidR="002E5C6A">
        <w:t>(a)</w:t>
      </w:r>
      <w:r w:rsidR="007347AB">
        <w:fldChar w:fldCharType="end"/>
      </w:r>
      <w:r>
        <w:t xml:space="preserve"> will be binding on the parties.</w:t>
      </w:r>
      <w:bookmarkEnd w:id="5239"/>
    </w:p>
    <w:p w14:paraId="211A9235" w14:textId="692EF04D" w:rsidR="007347AB" w:rsidRDefault="00EB083C" w:rsidP="0058045D">
      <w:pPr>
        <w:pStyle w:val="Heading3"/>
      </w:pPr>
      <w:bookmarkStart w:id="5240" w:name="_Ref150850891"/>
      <w:r>
        <w:t xml:space="preserve">Subject to paragraphs </w:t>
      </w:r>
      <w:r>
        <w:fldChar w:fldCharType="begin"/>
      </w:r>
      <w:r>
        <w:instrText xml:space="preserve"> REF _Ref164691921 \n \h </w:instrText>
      </w:r>
      <w:r>
        <w:fldChar w:fldCharType="separate"/>
      </w:r>
      <w:r w:rsidR="002E5C6A">
        <w:t>(h)</w:t>
      </w:r>
      <w:r>
        <w:fldChar w:fldCharType="end"/>
      </w:r>
      <w:r>
        <w:t xml:space="preserve"> and </w:t>
      </w:r>
      <w:r>
        <w:fldChar w:fldCharType="begin"/>
      </w:r>
      <w:r>
        <w:instrText xml:space="preserve"> REF _Ref164691923 \n \h </w:instrText>
      </w:r>
      <w:r>
        <w:fldChar w:fldCharType="separate"/>
      </w:r>
      <w:r w:rsidR="002E5C6A">
        <w:t>(i)</w:t>
      </w:r>
      <w:r>
        <w:fldChar w:fldCharType="end"/>
      </w:r>
      <w:r>
        <w:t xml:space="preserve">, </w:t>
      </w:r>
      <w:r w:rsidR="00710085">
        <w:t>Project Operator</w:t>
      </w:r>
      <w:r w:rsidR="007347AB">
        <w:t xml:space="preserve"> </w:t>
      </w:r>
      <w:r w:rsidR="005454E8">
        <w:t>must</w:t>
      </w:r>
      <w:r w:rsidR="007347AB">
        <w:t xml:space="preserve"> bear the </w:t>
      </w:r>
      <w:r w:rsidR="005454E8">
        <w:t xml:space="preserve">reasonable </w:t>
      </w:r>
      <w:r w:rsidR="007347AB">
        <w:t xml:space="preserve">costs </w:t>
      </w:r>
      <w:r w:rsidR="005454E8">
        <w:t>associated with</w:t>
      </w:r>
      <w:r w:rsidR="007347AB">
        <w:t xml:space="preserve"> any Audit.</w:t>
      </w:r>
      <w:bookmarkEnd w:id="5240"/>
      <w:r w:rsidR="007347AB">
        <w:t xml:space="preserve"> </w:t>
      </w:r>
    </w:p>
    <w:p w14:paraId="1367B387" w14:textId="18D61AD7" w:rsidR="00EB083C" w:rsidRDefault="00EB083C" w:rsidP="0058045D">
      <w:pPr>
        <w:pStyle w:val="Heading3"/>
      </w:pPr>
      <w:bookmarkStart w:id="5241" w:name="_Ref164691921"/>
      <w:r>
        <w:t xml:space="preserve">Subject to </w:t>
      </w:r>
      <w:r w:rsidR="005454E8">
        <w:t xml:space="preserve">paragraph </w:t>
      </w:r>
      <w:r w:rsidR="005454E8">
        <w:fldChar w:fldCharType="begin"/>
      </w:r>
      <w:r w:rsidR="005454E8">
        <w:instrText xml:space="preserve"> REF _Ref164691923 \n \h </w:instrText>
      </w:r>
      <w:r w:rsidR="005454E8">
        <w:fldChar w:fldCharType="separate"/>
      </w:r>
      <w:r w:rsidR="002E5C6A">
        <w:t>(i)</w:t>
      </w:r>
      <w:r w:rsidR="005454E8">
        <w:fldChar w:fldCharType="end"/>
      </w:r>
      <w:r>
        <w:t xml:space="preserve">, if the Commonwealth has required an </w:t>
      </w:r>
      <w:r w:rsidR="00842E92">
        <w:t>A</w:t>
      </w:r>
      <w:r>
        <w:t xml:space="preserve">udit under </w:t>
      </w:r>
      <w:r w:rsidR="005454E8">
        <w:t xml:space="preserve">paragraph </w:t>
      </w:r>
      <w:r w:rsidR="005454E8">
        <w:fldChar w:fldCharType="begin"/>
      </w:r>
      <w:r w:rsidR="005454E8">
        <w:instrText xml:space="preserve"> REF _Ref150850981 \n \h </w:instrText>
      </w:r>
      <w:r w:rsidR="005454E8">
        <w:fldChar w:fldCharType="separate"/>
      </w:r>
      <w:r w:rsidR="002E5C6A">
        <w:t>(a)</w:t>
      </w:r>
      <w:r w:rsidR="005454E8">
        <w:fldChar w:fldCharType="end"/>
      </w:r>
      <w:r>
        <w:t xml:space="preserve"> more than once in any </w:t>
      </w:r>
      <w:r w:rsidR="00B51FCA">
        <w:t>Support</w:t>
      </w:r>
      <w:r w:rsidR="00B51FCA" w:rsidDel="00B51FCA">
        <w:t xml:space="preserve"> </w:t>
      </w:r>
      <w:r>
        <w:t>Year (excluding any audits or investigations undertaken pursuant to Law</w:t>
      </w:r>
      <w:r w:rsidR="004C463E">
        <w:t>,</w:t>
      </w:r>
      <w:r>
        <w:t xml:space="preserve"> including by the Auditor-General), </w:t>
      </w:r>
      <w:r w:rsidR="005454E8">
        <w:t xml:space="preserve">then </w:t>
      </w:r>
      <w:r>
        <w:t xml:space="preserve">the Commonwealth will bear the reasonable costs associated with any such second and subsequent </w:t>
      </w:r>
      <w:r w:rsidR="00D4670D">
        <w:t>A</w:t>
      </w:r>
      <w:r>
        <w:t xml:space="preserve">udit undertaken in that </w:t>
      </w:r>
      <w:r w:rsidR="00B51FCA">
        <w:t>Support</w:t>
      </w:r>
      <w:r w:rsidR="00B51FCA" w:rsidDel="00B51FCA">
        <w:t xml:space="preserve"> </w:t>
      </w:r>
      <w:r>
        <w:t xml:space="preserve">Year pursuant to </w:t>
      </w:r>
      <w:r w:rsidR="005454E8">
        <w:t xml:space="preserve">paragraph </w:t>
      </w:r>
      <w:r w:rsidR="005454E8">
        <w:fldChar w:fldCharType="begin"/>
      </w:r>
      <w:r w:rsidR="005454E8">
        <w:instrText xml:space="preserve"> REF _Ref150850981 \n \h </w:instrText>
      </w:r>
      <w:r w:rsidR="005454E8">
        <w:fldChar w:fldCharType="separate"/>
      </w:r>
      <w:r w:rsidR="002E5C6A">
        <w:t>(a)</w:t>
      </w:r>
      <w:r w:rsidR="005454E8">
        <w:fldChar w:fldCharType="end"/>
      </w:r>
      <w:r w:rsidR="005454E8">
        <w:t xml:space="preserve"> </w:t>
      </w:r>
      <w:r>
        <w:t xml:space="preserve">(excluding any costs incurred by or on behalf of </w:t>
      </w:r>
      <w:r w:rsidR="005454E8">
        <w:t xml:space="preserve">Project </w:t>
      </w:r>
      <w:r>
        <w:t>Operator).</w:t>
      </w:r>
      <w:bookmarkEnd w:id="5241"/>
      <w:r>
        <w:t xml:space="preserve"> </w:t>
      </w:r>
    </w:p>
    <w:p w14:paraId="0C5F0555" w14:textId="6351691F" w:rsidR="005454E8" w:rsidRDefault="00EB083C" w:rsidP="008C038D">
      <w:pPr>
        <w:pStyle w:val="Heading3"/>
        <w:keepNext/>
      </w:pPr>
      <w:bookmarkStart w:id="5242" w:name="_Ref164691923"/>
      <w:r>
        <w:t xml:space="preserve">If any second or subsequent </w:t>
      </w:r>
      <w:r w:rsidR="00842E92">
        <w:t>A</w:t>
      </w:r>
      <w:r>
        <w:t xml:space="preserve">udit undertaken pursuant to </w:t>
      </w:r>
      <w:r w:rsidR="005454E8">
        <w:t xml:space="preserve">paragraph </w:t>
      </w:r>
      <w:r w:rsidR="005454E8">
        <w:fldChar w:fldCharType="begin"/>
      </w:r>
      <w:r w:rsidR="005454E8">
        <w:instrText xml:space="preserve"> REF _Ref150850981 \n \h </w:instrText>
      </w:r>
      <w:r w:rsidR="005454E8">
        <w:fldChar w:fldCharType="separate"/>
      </w:r>
      <w:r w:rsidR="002E5C6A">
        <w:t>(a)</w:t>
      </w:r>
      <w:r w:rsidR="005454E8">
        <w:fldChar w:fldCharType="end"/>
      </w:r>
      <w:r>
        <w:t xml:space="preserve"> in any </w:t>
      </w:r>
      <w:r w:rsidR="00B51FCA">
        <w:t>Support</w:t>
      </w:r>
      <w:r w:rsidR="00B51FCA" w:rsidDel="00B51FCA">
        <w:t xml:space="preserve"> </w:t>
      </w:r>
      <w:r>
        <w:t>Year (excluding any audits or investigations undertaken pursuant to Law</w:t>
      </w:r>
      <w:r w:rsidR="004C463E">
        <w:t>,</w:t>
      </w:r>
      <w:r>
        <w:t xml:space="preserve"> including by the Auditor-General)</w:t>
      </w:r>
      <w:r w:rsidR="005454E8">
        <w:t>:</w:t>
      </w:r>
      <w:r>
        <w:t xml:space="preserve"> </w:t>
      </w:r>
    </w:p>
    <w:p w14:paraId="345C45B4" w14:textId="04748B16" w:rsidR="005454E8" w:rsidRDefault="00EB083C" w:rsidP="0058045D">
      <w:pPr>
        <w:pStyle w:val="Heading4"/>
      </w:pPr>
      <w:r>
        <w:t>does identif</w:t>
      </w:r>
      <w:r w:rsidR="005454E8">
        <w:t>y</w:t>
      </w:r>
      <w:r>
        <w:t xml:space="preserve"> any breach of this </w:t>
      </w:r>
      <w:r w:rsidR="005454E8">
        <w:t>a</w:t>
      </w:r>
      <w:r>
        <w:t xml:space="preserve">greement by </w:t>
      </w:r>
      <w:r w:rsidR="005454E8">
        <w:t xml:space="preserve">Project </w:t>
      </w:r>
      <w:r>
        <w:t>Operator</w:t>
      </w:r>
      <w:r w:rsidR="005454E8">
        <w:t>;</w:t>
      </w:r>
      <w:r>
        <w:t xml:space="preserve"> or </w:t>
      </w:r>
    </w:p>
    <w:p w14:paraId="52EACA3B" w14:textId="0608888D" w:rsidR="005454E8" w:rsidRDefault="00EB083C" w:rsidP="0058045D">
      <w:pPr>
        <w:pStyle w:val="Heading4"/>
      </w:pPr>
      <w:r>
        <w:t xml:space="preserve">demonstrates that any information or report provided by </w:t>
      </w:r>
      <w:r w:rsidR="005454E8">
        <w:t xml:space="preserve">Project </w:t>
      </w:r>
      <w:r>
        <w:t xml:space="preserve">Operator is materially inaccurate, </w:t>
      </w:r>
    </w:p>
    <w:p w14:paraId="145D09FC" w14:textId="2767A0E6" w:rsidR="00EB083C" w:rsidRDefault="005454E8" w:rsidP="0058045D">
      <w:pPr>
        <w:pStyle w:val="Heading4"/>
        <w:numPr>
          <w:ilvl w:val="0"/>
          <w:numId w:val="0"/>
        </w:numPr>
        <w:ind w:left="1474"/>
      </w:pPr>
      <w:r>
        <w:t xml:space="preserve">then </w:t>
      </w:r>
      <w:r w:rsidR="005672E2">
        <w:t xml:space="preserve">Project Operator </w:t>
      </w:r>
      <w:r w:rsidR="00EB083C">
        <w:t xml:space="preserve">will bear all the reasonable costs of that </w:t>
      </w:r>
      <w:r w:rsidR="00842E92">
        <w:t>A</w:t>
      </w:r>
      <w:r w:rsidR="00EB083C">
        <w:t>udit.</w:t>
      </w:r>
      <w:bookmarkEnd w:id="5242"/>
      <w:r w:rsidR="00EB083C">
        <w:t xml:space="preserve"> </w:t>
      </w:r>
    </w:p>
    <w:p w14:paraId="5054C623" w14:textId="657B8826" w:rsidR="00EB083C" w:rsidRDefault="007347AB" w:rsidP="0058045D">
      <w:pPr>
        <w:pStyle w:val="Heading3"/>
      </w:pPr>
      <w:r>
        <w:t xml:space="preserve">If an Audit is in respect of any amount to which </w:t>
      </w:r>
      <w:r w:rsidR="00710085">
        <w:t>Project Operator</w:t>
      </w:r>
      <w:r>
        <w:t xml:space="preserve"> is entitled and such Audit reveals that </w:t>
      </w:r>
      <w:r w:rsidR="00710085">
        <w:t>Project Operator</w:t>
      </w:r>
      <w:r>
        <w:t xml:space="preserve"> has overcharged the Commonwealth,</w:t>
      </w:r>
      <w:r w:rsidR="00A143FE">
        <w:t xml:space="preserve"> then</w:t>
      </w:r>
      <w:r>
        <w:t xml:space="preserve"> </w:t>
      </w:r>
      <w:r w:rsidR="00710085">
        <w:t>Project Operator</w:t>
      </w:r>
      <w:r>
        <w:t xml:space="preserve"> must promptly reimburse the Commonwealth for those costs overcharged</w:t>
      </w:r>
      <w:r w:rsidR="00CA19D3">
        <w:t xml:space="preserve"> (plus interest calculated at the Default Interest Rate)</w:t>
      </w:r>
      <w:r>
        <w:t xml:space="preserve"> following any request by the Commonwealth to do so.</w:t>
      </w:r>
    </w:p>
    <w:p w14:paraId="5F421264" w14:textId="535374EB" w:rsidR="007347AB" w:rsidRDefault="007347AB" w:rsidP="0058045D">
      <w:pPr>
        <w:pStyle w:val="Heading3"/>
      </w:pPr>
      <w:r>
        <w:t xml:space="preserve">If any Audit reveals that </w:t>
      </w:r>
      <w:r w:rsidR="00ED19D2">
        <w:t xml:space="preserve">Project </w:t>
      </w:r>
      <w:r>
        <w:t>Operator</w:t>
      </w:r>
      <w:r w:rsidR="0006425A">
        <w:t>’</w:t>
      </w:r>
      <w:r>
        <w:t>s invoices (including tax invoices) for the audited period are not correct for such period</w:t>
      </w:r>
      <w:r w:rsidR="00A143FE">
        <w:t>, then</w:t>
      </w:r>
      <w:r w:rsidR="002068D0">
        <w:t xml:space="preserve"> (as applicable)</w:t>
      </w:r>
      <w:r>
        <w:t>:</w:t>
      </w:r>
    </w:p>
    <w:p w14:paraId="04C872D4" w14:textId="77777777" w:rsidR="007347AB" w:rsidRDefault="00710085" w:rsidP="0058045D">
      <w:pPr>
        <w:pStyle w:val="Heading4"/>
      </w:pPr>
      <w:r>
        <w:t>Project Operator</w:t>
      </w:r>
      <w:r w:rsidR="007347AB">
        <w:t xml:space="preserve"> must promptly reimburse the Commonwealth for the amount of any overcharges; or</w:t>
      </w:r>
    </w:p>
    <w:p w14:paraId="18E9E318" w14:textId="4D945572" w:rsidR="007347AB" w:rsidRDefault="007347AB" w:rsidP="0058045D">
      <w:pPr>
        <w:pStyle w:val="Heading4"/>
      </w:pPr>
      <w:r>
        <w:t xml:space="preserve">the Commonwealth must promptly pay to </w:t>
      </w:r>
      <w:r w:rsidR="00710085">
        <w:t>Project Operator</w:t>
      </w:r>
      <w:r>
        <w:t xml:space="preserve"> the amount of any undercharges</w:t>
      </w:r>
      <w:r w:rsidR="005672E2">
        <w:t xml:space="preserve"> (following receipt of a correct Tax Invoice from Project Operator)</w:t>
      </w:r>
      <w:r w:rsidR="002068D0">
        <w:t>.</w:t>
      </w:r>
    </w:p>
    <w:p w14:paraId="75E3B6ED" w14:textId="2F17641C" w:rsidR="007347AB" w:rsidRDefault="007347AB" w:rsidP="0058045D">
      <w:pPr>
        <w:pStyle w:val="Heading3"/>
      </w:pPr>
      <w:r>
        <w:t xml:space="preserve">The requirement for, and participation in, Audits does not in any way reduce </w:t>
      </w:r>
      <w:r w:rsidR="00710085">
        <w:t>Project Operator</w:t>
      </w:r>
      <w:r w:rsidR="0006425A">
        <w:t>’</w:t>
      </w:r>
      <w:r>
        <w:t xml:space="preserve">s responsibility to perform its obligations in accordance with this </w:t>
      </w:r>
      <w:r w:rsidR="00710085">
        <w:t>agreement</w:t>
      </w:r>
      <w:r>
        <w:t xml:space="preserve">. </w:t>
      </w:r>
    </w:p>
    <w:p w14:paraId="3BED99AF" w14:textId="77777777" w:rsidR="007347AB" w:rsidRDefault="007347AB" w:rsidP="0058045D">
      <w:pPr>
        <w:pStyle w:val="Heading3"/>
      </w:pPr>
      <w:r>
        <w:t>Any Audit, acceptance, certificate, approval, attendance, permission, comment or recommendation by, or on behalf of, the Commonwealth (or failure to do so) will not:</w:t>
      </w:r>
    </w:p>
    <w:p w14:paraId="252DA485" w14:textId="77777777" w:rsidR="007347AB" w:rsidRDefault="007347AB" w:rsidP="0058045D">
      <w:pPr>
        <w:pStyle w:val="Heading4"/>
      </w:pPr>
      <w:r>
        <w:t xml:space="preserve">constitute waiver of any default or acceptance of any act or omission on the part of </w:t>
      </w:r>
      <w:r w:rsidR="00710085">
        <w:t>Project Operator</w:t>
      </w:r>
      <w:r>
        <w:t>; or</w:t>
      </w:r>
    </w:p>
    <w:p w14:paraId="630D42E7" w14:textId="77777777" w:rsidR="007347AB" w:rsidRDefault="007347AB" w:rsidP="0058045D">
      <w:pPr>
        <w:pStyle w:val="Heading4"/>
      </w:pPr>
      <w:r>
        <w:t xml:space="preserve">affect or modify any of </w:t>
      </w:r>
      <w:r w:rsidR="00710085">
        <w:t>Project Operator</w:t>
      </w:r>
      <w:r w:rsidR="0006425A">
        <w:t>’</w:t>
      </w:r>
      <w:r>
        <w:t>s obligation</w:t>
      </w:r>
      <w:r w:rsidR="00ED19D2">
        <w:t>s</w:t>
      </w:r>
      <w:r>
        <w:t xml:space="preserve"> to perform this </w:t>
      </w:r>
      <w:r w:rsidR="00710085">
        <w:t>agreement</w:t>
      </w:r>
      <w:r>
        <w:t xml:space="preserve"> in accordance with its terms and conditions.</w:t>
      </w:r>
    </w:p>
    <w:p w14:paraId="0ECC87CA" w14:textId="100E961A" w:rsidR="007347AB" w:rsidRDefault="007347AB" w:rsidP="0058045D">
      <w:pPr>
        <w:pStyle w:val="Heading3"/>
      </w:pPr>
      <w:r>
        <w:t xml:space="preserve">Nothing in this </w:t>
      </w:r>
      <w:r w:rsidR="00710085">
        <w:t>agreement</w:t>
      </w:r>
      <w:r>
        <w:t xml:space="preserve"> modifies, limits or restricts the Auditor-General exercising any of its rights, functions or powers at Law including to undertake an audit of </w:t>
      </w:r>
      <w:r w:rsidR="00710085">
        <w:t>Project Operator</w:t>
      </w:r>
      <w:r>
        <w:t>, any Project Document, the Project</w:t>
      </w:r>
      <w:r w:rsidR="00787295">
        <w:t xml:space="preserve"> </w:t>
      </w:r>
      <w:r w:rsidR="00777AAF">
        <w:t xml:space="preserve">[the </w:t>
      </w:r>
      <w:r w:rsidR="005672E2">
        <w:t>[</w:t>
      </w:r>
      <w:r w:rsidR="00777AAF">
        <w:t>Associated</w:t>
      </w:r>
      <w:r w:rsidR="005672E2">
        <w:t>/Existing]</w:t>
      </w:r>
      <w:r w:rsidR="00777AAF">
        <w:t xml:space="preserve"> Project]</w:t>
      </w:r>
      <w:r>
        <w:t xml:space="preserve"> or the Capacity Investment Scheme program in part or as a whole.</w:t>
      </w:r>
      <w:r w:rsidR="00777AAF">
        <w:t xml:space="preserve"> [</w:t>
      </w:r>
      <w:r w:rsidR="00777AAF" w:rsidRPr="004D3942">
        <w:rPr>
          <w:b/>
          <w:bCs/>
          <w:i/>
          <w:iCs/>
          <w:highlight w:val="lightGray"/>
        </w:rPr>
        <w:t xml:space="preserve">Note: </w:t>
      </w:r>
      <w:r w:rsidR="002068D0">
        <w:rPr>
          <w:b/>
          <w:bCs/>
          <w:i/>
          <w:iCs/>
          <w:highlight w:val="lightGray"/>
        </w:rPr>
        <w:t xml:space="preserve">the </w:t>
      </w:r>
      <w:r w:rsidR="00777AAF">
        <w:rPr>
          <w:b/>
          <w:bCs/>
          <w:i/>
          <w:iCs/>
          <w:highlight w:val="lightGray"/>
        </w:rPr>
        <w:t xml:space="preserve">words in square brackets </w:t>
      </w:r>
      <w:r w:rsidR="002068D0">
        <w:rPr>
          <w:b/>
          <w:bCs/>
          <w:i/>
          <w:iCs/>
          <w:highlight w:val="lightGray"/>
        </w:rPr>
        <w:t xml:space="preserve">are </w:t>
      </w:r>
      <w:r w:rsidR="00777AAF">
        <w:rPr>
          <w:b/>
          <w:bCs/>
          <w:i/>
          <w:iCs/>
          <w:highlight w:val="lightGray"/>
        </w:rPr>
        <w:t xml:space="preserve">to be included </w:t>
      </w:r>
      <w:r w:rsidR="00777AAF" w:rsidRPr="004D3942">
        <w:rPr>
          <w:b/>
          <w:bCs/>
          <w:i/>
          <w:iCs/>
          <w:highlight w:val="lightGray"/>
        </w:rPr>
        <w:t>for all Hybrid Projects</w:t>
      </w:r>
      <w:r w:rsidR="005672E2">
        <w:rPr>
          <w:b/>
          <w:bCs/>
          <w:i/>
          <w:iCs/>
          <w:highlight w:val="lightGray"/>
        </w:rPr>
        <w:t xml:space="preserve"> and Staged Projects (as applicable)</w:t>
      </w:r>
      <w:r w:rsidR="00777AAF" w:rsidRPr="004D3942">
        <w:rPr>
          <w:b/>
          <w:bCs/>
          <w:i/>
          <w:iCs/>
          <w:highlight w:val="lightGray"/>
        </w:rPr>
        <w:t>.</w:t>
      </w:r>
      <w:r w:rsidR="00777AAF">
        <w:t>]</w:t>
      </w:r>
    </w:p>
    <w:p w14:paraId="57820B20" w14:textId="77777777" w:rsidR="007347AB" w:rsidRPr="007347AB" w:rsidRDefault="2C388DF0" w:rsidP="0058045D">
      <w:pPr>
        <w:pStyle w:val="Heading2"/>
      </w:pPr>
      <w:bookmarkStart w:id="5243" w:name="_Ref155866216"/>
      <w:bookmarkStart w:id="5244" w:name="_Toc156909145"/>
      <w:bookmarkStart w:id="5245" w:name="_Toc207309736"/>
      <w:bookmarkStart w:id="5246" w:name="_Ref151266950"/>
      <w:bookmarkStart w:id="5247" w:name="_Toc153945238"/>
      <w:r>
        <w:t>Site inspection</w:t>
      </w:r>
      <w:bookmarkEnd w:id="5243"/>
      <w:bookmarkEnd w:id="5244"/>
      <w:bookmarkEnd w:id="5245"/>
      <w:r>
        <w:t xml:space="preserve"> </w:t>
      </w:r>
    </w:p>
    <w:p w14:paraId="32F1B40D" w14:textId="3DDBDCF5" w:rsidR="007347AB" w:rsidRDefault="2C388DF0" w:rsidP="0058045D">
      <w:pPr>
        <w:pStyle w:val="Heading3"/>
      </w:pPr>
      <w:bookmarkStart w:id="5248" w:name="_Ref104385147"/>
      <w:bookmarkStart w:id="5249" w:name="_Ref108098307"/>
      <w:r>
        <w:t xml:space="preserve">The Commonwealth may request access to the Project </w:t>
      </w:r>
      <w:r w:rsidR="00777AAF">
        <w:t xml:space="preserve">[or the </w:t>
      </w:r>
      <w:r w:rsidR="00D4670D">
        <w:t>[</w:t>
      </w:r>
      <w:r w:rsidR="00777AAF">
        <w:t>Associated</w:t>
      </w:r>
      <w:r w:rsidR="00D4670D">
        <w:t>/Existing</w:t>
      </w:r>
      <w:r w:rsidR="00E21184">
        <w:t>]</w:t>
      </w:r>
      <w:r w:rsidR="00D4670D">
        <w:t xml:space="preserve"> </w:t>
      </w:r>
      <w:r w:rsidR="00777AAF">
        <w:t xml:space="preserve">Project] </w:t>
      </w:r>
      <w:r>
        <w:t>site from time to time for the purposes of undertaking a visual site inspection.</w:t>
      </w:r>
      <w:bookmarkEnd w:id="5248"/>
      <w:r w:rsidR="00777AAF">
        <w:t xml:space="preserve"> [</w:t>
      </w:r>
      <w:r w:rsidR="00777AAF" w:rsidRPr="004D3942">
        <w:rPr>
          <w:b/>
          <w:bCs/>
          <w:i/>
          <w:iCs/>
          <w:highlight w:val="lightGray"/>
        </w:rPr>
        <w:t xml:space="preserve">Note: </w:t>
      </w:r>
      <w:r w:rsidR="00777AAF">
        <w:rPr>
          <w:b/>
          <w:bCs/>
          <w:i/>
          <w:iCs/>
          <w:highlight w:val="lightGray"/>
        </w:rPr>
        <w:t xml:space="preserve">words in square brackets to be included </w:t>
      </w:r>
      <w:r w:rsidR="00777AAF" w:rsidRPr="004D3942">
        <w:rPr>
          <w:b/>
          <w:bCs/>
          <w:i/>
          <w:iCs/>
          <w:highlight w:val="lightGray"/>
        </w:rPr>
        <w:t>for all Hybrid Projects</w:t>
      </w:r>
      <w:r w:rsidR="00D4670D">
        <w:rPr>
          <w:b/>
          <w:bCs/>
          <w:i/>
          <w:iCs/>
          <w:highlight w:val="lightGray"/>
        </w:rPr>
        <w:t xml:space="preserve"> and Staged Projects (as applicable)</w:t>
      </w:r>
      <w:r w:rsidR="00777AAF" w:rsidRPr="004D3942">
        <w:rPr>
          <w:b/>
          <w:bCs/>
          <w:i/>
          <w:iCs/>
          <w:highlight w:val="lightGray"/>
        </w:rPr>
        <w:t>.</w:t>
      </w:r>
      <w:r w:rsidR="00777AAF">
        <w:t>]</w:t>
      </w:r>
      <w:r>
        <w:t xml:space="preserve"> </w:t>
      </w:r>
      <w:bookmarkEnd w:id="5249"/>
    </w:p>
    <w:p w14:paraId="7D952000" w14:textId="62A9D75B" w:rsidR="007347AB" w:rsidRPr="007A2DC6" w:rsidRDefault="2C388DF0" w:rsidP="0005264D">
      <w:pPr>
        <w:pStyle w:val="Heading3"/>
        <w:keepNext/>
      </w:pPr>
      <w:r>
        <w:t xml:space="preserve">The Commonwealth must give Project Operator reasonable notice of the Commonwealth’s requested site inspection under paragraph </w:t>
      </w:r>
      <w:r w:rsidR="007347AB">
        <w:fldChar w:fldCharType="begin"/>
      </w:r>
      <w:r w:rsidR="007347AB">
        <w:instrText xml:space="preserve"> REF _Ref108098307 \n \h </w:instrText>
      </w:r>
      <w:r w:rsidR="007347AB">
        <w:fldChar w:fldCharType="separate"/>
      </w:r>
      <w:r w:rsidR="002E5C6A">
        <w:t>(a)</w:t>
      </w:r>
      <w:r w:rsidR="007347AB">
        <w:fldChar w:fldCharType="end"/>
      </w:r>
      <w:r>
        <w:t xml:space="preserve">, including details of preferred dates and times of the site inspection, and relevant personnel who will be present for it. </w:t>
      </w:r>
    </w:p>
    <w:p w14:paraId="5CF99290" w14:textId="77777777" w:rsidR="007347AB" w:rsidRDefault="2C388DF0" w:rsidP="0058045D">
      <w:pPr>
        <w:pStyle w:val="Heading3"/>
      </w:pPr>
      <w:r>
        <w:t>The Commonwealth and Project Operator will agree (acting reasonably) a date and time for the site inspection.</w:t>
      </w:r>
    </w:p>
    <w:p w14:paraId="6D78942C" w14:textId="77777777" w:rsidR="007347AB" w:rsidRDefault="2C388DF0" w:rsidP="0058045D">
      <w:pPr>
        <w:pStyle w:val="Heading3"/>
      </w:pPr>
      <w:r>
        <w:t>During the site inspection, the Commonwealth agrees to comply with Project Operator’s reasonable requirements, including in respect of site safety and security, work health and safety and other applicable site rules.</w:t>
      </w:r>
      <w:bookmarkEnd w:id="5246"/>
      <w:bookmarkEnd w:id="5247"/>
    </w:p>
    <w:p w14:paraId="6E635634" w14:textId="77777777" w:rsidR="00E7668E" w:rsidRDefault="00E7668E" w:rsidP="0076796C">
      <w:pPr>
        <w:pStyle w:val="Heading2"/>
      </w:pPr>
      <w:bookmarkStart w:id="5250" w:name="_Toc175570298"/>
      <w:bookmarkStart w:id="5251" w:name="_Toc207309737"/>
      <w:r>
        <w:t>Legal Professional Privilege</w:t>
      </w:r>
      <w:bookmarkEnd w:id="5250"/>
      <w:bookmarkEnd w:id="5251"/>
    </w:p>
    <w:p w14:paraId="73EEFED3" w14:textId="2A645506" w:rsidR="00E7668E" w:rsidRDefault="00E7668E" w:rsidP="00E7668E">
      <w:pPr>
        <w:pStyle w:val="Indent2"/>
      </w:pPr>
      <w:r w:rsidRPr="00313061">
        <w:t>Nothing in this clause</w:t>
      </w:r>
      <w:r>
        <w:t> </w:t>
      </w:r>
      <w:r>
        <w:fldChar w:fldCharType="begin"/>
      </w:r>
      <w:r>
        <w:instrText xml:space="preserve"> REF _Ref151264050 \n \h </w:instrText>
      </w:r>
      <w:r>
        <w:fldChar w:fldCharType="separate"/>
      </w:r>
      <w:r w:rsidR="002E5C6A">
        <w:t>32</w:t>
      </w:r>
      <w:r>
        <w:fldChar w:fldCharType="end"/>
      </w:r>
      <w:r w:rsidRPr="00313061">
        <w:t xml:space="preserve"> or elsewhere in this Agreement requires Project Operator to disclose </w:t>
      </w:r>
      <w:r w:rsidRPr="00E9271F">
        <w:t>documents that are subject to legal professional privilege</w:t>
      </w:r>
      <w:r>
        <w:t xml:space="preserve"> </w:t>
      </w:r>
      <w:r w:rsidRPr="00E9271F">
        <w:t xml:space="preserve">to the Commonwealth or an </w:t>
      </w:r>
      <w:r>
        <w:t>A</w:t>
      </w:r>
      <w:r w:rsidRPr="00E9271F">
        <w:t>uditor</w:t>
      </w:r>
      <w:r>
        <w:t>, except whe</w:t>
      </w:r>
      <w:r w:rsidR="002068D0">
        <w:t>n that is</w:t>
      </w:r>
      <w:r>
        <w:t xml:space="preserve"> required by Law</w:t>
      </w:r>
      <w:r w:rsidRPr="00E9271F">
        <w:t>.</w:t>
      </w:r>
    </w:p>
    <w:p w14:paraId="45D95179" w14:textId="77777777" w:rsidR="000B35D9" w:rsidRDefault="2BC382E4" w:rsidP="0058045D">
      <w:pPr>
        <w:pStyle w:val="Heading1"/>
      </w:pPr>
      <w:bookmarkStart w:id="5252" w:name="_Ref199427298"/>
      <w:bookmarkStart w:id="5253" w:name="_Ref199427394"/>
      <w:bookmarkStart w:id="5254" w:name="_Toc207309738"/>
      <w:r>
        <w:t>Costs</w:t>
      </w:r>
      <w:bookmarkEnd w:id="5252"/>
      <w:bookmarkEnd w:id="5253"/>
      <w:bookmarkEnd w:id="5254"/>
      <w:r>
        <w:t xml:space="preserve"> </w:t>
      </w:r>
    </w:p>
    <w:p w14:paraId="3D17619A" w14:textId="084EE185" w:rsidR="000B35D9" w:rsidRDefault="00845B2B" w:rsidP="00845B2B">
      <w:pPr>
        <w:pStyle w:val="Indent2"/>
      </w:pPr>
      <w:r>
        <w:t xml:space="preserve">Project Operator will </w:t>
      </w:r>
      <w:r w:rsidR="007E6901">
        <w:t>pay</w:t>
      </w:r>
      <w:r w:rsidR="00B97B07">
        <w:t>,</w:t>
      </w:r>
      <w:r w:rsidR="007E6901">
        <w:t xml:space="preserve"> in advance or reimburse on demand (as required by the Commonwealth)</w:t>
      </w:r>
      <w:r w:rsidR="00B97B07">
        <w:t>,</w:t>
      </w:r>
      <w:r>
        <w:t xml:space="preserve"> any external costs</w:t>
      </w:r>
      <w:r w:rsidR="00B73931">
        <w:t xml:space="preserve"> </w:t>
      </w:r>
      <w:r w:rsidR="00B97B07">
        <w:t xml:space="preserve">(e.g., legal, accounting or other consultant fees) </w:t>
      </w:r>
      <w:r>
        <w:t>incurred by the Commonwealth associated with:</w:t>
      </w:r>
    </w:p>
    <w:p w14:paraId="45083832" w14:textId="5EEAB885" w:rsidR="00B73931" w:rsidRDefault="73E595EF" w:rsidP="0058045D">
      <w:pPr>
        <w:pStyle w:val="Heading3"/>
      </w:pPr>
      <w:r>
        <w:t>any extensions of time requested or proposed by Project Operator, including to the Milestone Dates, FC Sunset Date, or COD Sunset Date;</w:t>
      </w:r>
    </w:p>
    <w:p w14:paraId="6760BB8A" w14:textId="77777777" w:rsidR="00845B2B" w:rsidRDefault="2C388DF0" w:rsidP="0058045D">
      <w:pPr>
        <w:pStyle w:val="Heading3"/>
      </w:pPr>
      <w:r>
        <w:t>any cure plans or remedial actions proposed by Project Operator, including any Draft Milestone Cure Plan,</w:t>
      </w:r>
      <w:r w:rsidR="00913945">
        <w:t xml:space="preserve"> Draft COD Cure Plan,</w:t>
      </w:r>
      <w:r>
        <w:t xml:space="preserve"> Draft SLC Cure Plan</w:t>
      </w:r>
      <w:r w:rsidR="00913945">
        <w:t>, Proposed Cure Plan</w:t>
      </w:r>
      <w:r>
        <w:t xml:space="preserve"> and Proposed Reinstatement Plan;</w:t>
      </w:r>
    </w:p>
    <w:p w14:paraId="0507941F" w14:textId="77777777" w:rsidR="009A018D" w:rsidRDefault="2C388DF0" w:rsidP="0058045D">
      <w:pPr>
        <w:pStyle w:val="Heading3"/>
      </w:pPr>
      <w:r>
        <w:t>any proposed Material Alteration;</w:t>
      </w:r>
    </w:p>
    <w:p w14:paraId="0ECA2DD3" w14:textId="77777777" w:rsidR="00FA1990" w:rsidRDefault="2C388DF0" w:rsidP="0058045D">
      <w:pPr>
        <w:pStyle w:val="Heading3"/>
      </w:pPr>
      <w:r>
        <w:t>any request by Project Operator to assign, novate or otherwise transfer its rights or obligations under, title to or interest in this agreement or the Project, or to undergo a Change in Control; or</w:t>
      </w:r>
    </w:p>
    <w:p w14:paraId="7D4CB2D8" w14:textId="77777777" w:rsidR="009A018D" w:rsidRPr="00392B67" w:rsidRDefault="2C388DF0" w:rsidP="0058045D">
      <w:pPr>
        <w:pStyle w:val="Heading3"/>
      </w:pPr>
      <w:r>
        <w:t>any other request by Project Operator for the Commonwealth’s consent or approval in connection with this agreement.</w:t>
      </w:r>
    </w:p>
    <w:p w14:paraId="0275F558" w14:textId="77777777" w:rsidR="00C15C21" w:rsidRDefault="2BC382E4" w:rsidP="0058045D">
      <w:pPr>
        <w:pStyle w:val="Heading1"/>
      </w:pPr>
      <w:bookmarkStart w:id="5255" w:name="_Ref151298242"/>
      <w:bookmarkStart w:id="5256" w:name="_Toc153945249"/>
      <w:bookmarkStart w:id="5257" w:name="_Toc207309739"/>
      <w:r>
        <w:t>Relevant Commonwealth Policies</w:t>
      </w:r>
      <w:bookmarkEnd w:id="5255"/>
      <w:r>
        <w:t xml:space="preserve"> and other requirements</w:t>
      </w:r>
      <w:bookmarkEnd w:id="5256"/>
      <w:bookmarkEnd w:id="5257"/>
    </w:p>
    <w:p w14:paraId="0251E19A" w14:textId="27392A35" w:rsidR="00C15C21" w:rsidRDefault="00C15C21" w:rsidP="00A143FE">
      <w:pPr>
        <w:pStyle w:val="Indent2"/>
      </w:pPr>
      <w:r>
        <w:t xml:space="preserve">Project Operator must comply with the requirements imposed on it in </w:t>
      </w:r>
      <w:r w:rsidR="00236BE6">
        <w:fldChar w:fldCharType="begin"/>
      </w:r>
      <w:r w:rsidR="00236BE6">
        <w:instrText xml:space="preserve"> REF _Ref159420596 \w \h </w:instrText>
      </w:r>
      <w:r w:rsidR="00236BE6">
        <w:fldChar w:fldCharType="separate"/>
      </w:r>
      <w:r w:rsidR="002E5C6A">
        <w:t>Schedule 6</w:t>
      </w:r>
      <w:r w:rsidR="00236BE6">
        <w:fldChar w:fldCharType="end"/>
      </w:r>
      <w:r w:rsidR="00236BE6">
        <w:t xml:space="preserve"> (“</w:t>
      </w:r>
      <w:r w:rsidR="00236BE6">
        <w:fldChar w:fldCharType="begin"/>
      </w:r>
      <w:r w:rsidR="00236BE6">
        <w:instrText xml:space="preserve">  REF _Ref159420596 \h </w:instrText>
      </w:r>
      <w:r w:rsidR="00236BE6">
        <w:fldChar w:fldCharType="separate"/>
      </w:r>
      <w:r w:rsidR="002E5C6A" w:rsidRPr="00991FDD">
        <w:t>Commonwealth Policy and Other Requirements</w:t>
      </w:r>
      <w:r w:rsidR="00236BE6">
        <w:fldChar w:fldCharType="end"/>
      </w:r>
      <w:r w:rsidR="00236BE6">
        <w:t>”)</w:t>
      </w:r>
      <w:r>
        <w:t>.</w:t>
      </w:r>
    </w:p>
    <w:p w14:paraId="1A488001" w14:textId="77777777" w:rsidR="00DE3E61" w:rsidRDefault="2BC382E4" w:rsidP="0058045D">
      <w:pPr>
        <w:pStyle w:val="Heading1"/>
      </w:pPr>
      <w:bookmarkStart w:id="5258" w:name="_Ref107931857"/>
      <w:bookmarkStart w:id="5259" w:name="_Toc207309740"/>
      <w:bookmarkStart w:id="5260" w:name="_Hlk107947978"/>
      <w:r>
        <w:t>Contract Representative</w:t>
      </w:r>
      <w:bookmarkEnd w:id="5258"/>
      <w:bookmarkEnd w:id="5259"/>
      <w:r>
        <w:t xml:space="preserve"> </w:t>
      </w:r>
    </w:p>
    <w:p w14:paraId="6A637388" w14:textId="5228B492" w:rsidR="006F6107" w:rsidRDefault="00DE3E61" w:rsidP="0058045D">
      <w:pPr>
        <w:pStyle w:val="Heading3"/>
      </w:pPr>
      <w:r>
        <w:t xml:space="preserve">At all times, </w:t>
      </w:r>
      <w:r w:rsidR="00411B14">
        <w:t>Project Operator</w:t>
      </w:r>
      <w:r>
        <w:t xml:space="preserve"> must </w:t>
      </w:r>
      <w:r w:rsidR="009E409D">
        <w:t>appoint</w:t>
      </w:r>
      <w:r w:rsidR="00B97B07">
        <w:t>,</w:t>
      </w:r>
      <w:r w:rsidR="006A1FF9" w:rsidRPr="006A1FF9">
        <w:t xml:space="preserve"> </w:t>
      </w:r>
      <w:r w:rsidR="006A1FF9">
        <w:t>and maintain the appointment of</w:t>
      </w:r>
      <w:r w:rsidR="00B97B07">
        <w:t>,</w:t>
      </w:r>
      <w:r w:rsidR="006F6107">
        <w:t xml:space="preserve"> a natural person who</w:t>
      </w:r>
      <w:r w:rsidR="003B2F6C">
        <w:t xml:space="preserve"> </w:t>
      </w:r>
      <w:r w:rsidR="00B440D6">
        <w:t xml:space="preserve">is involved with the day-to-day operation and administration of the </w:t>
      </w:r>
      <w:r w:rsidR="00885DAA">
        <w:t xml:space="preserve">[Hybrid/Staged] </w:t>
      </w:r>
      <w:r w:rsidR="00B440D6">
        <w:t>Project and this agreement</w:t>
      </w:r>
      <w:r w:rsidR="003B2F6C">
        <w:t xml:space="preserve"> as its Contract Representative.</w:t>
      </w:r>
      <w:r w:rsidR="006F6107">
        <w:t xml:space="preserve"> </w:t>
      </w:r>
    </w:p>
    <w:p w14:paraId="0454246F" w14:textId="6BB1317E" w:rsidR="00245C19" w:rsidRDefault="00411B14" w:rsidP="0058045D">
      <w:pPr>
        <w:pStyle w:val="Heading3"/>
      </w:pPr>
      <w:r>
        <w:t>Project Operator</w:t>
      </w:r>
      <w:r w:rsidR="00F13770">
        <w:t xml:space="preserve"> </w:t>
      </w:r>
      <w:r w:rsidR="009E409D">
        <w:t xml:space="preserve">must ensure that </w:t>
      </w:r>
      <w:r w:rsidR="004C2502" w:rsidRPr="005D76CA">
        <w:t xml:space="preserve">it notifies </w:t>
      </w:r>
      <w:r w:rsidR="00BE77D6" w:rsidRPr="005D76CA">
        <w:t>the Commonwealth</w:t>
      </w:r>
      <w:r w:rsidR="004C2502" w:rsidRPr="005D76CA">
        <w:t xml:space="preserve"> as soon as</w:t>
      </w:r>
      <w:r w:rsidR="00605CF5" w:rsidRPr="005D76CA">
        <w:t xml:space="preserve"> reasonably</w:t>
      </w:r>
      <w:r w:rsidR="004C2502" w:rsidRPr="005D76CA">
        <w:t xml:space="preserve"> practicable (and in any event within </w:t>
      </w:r>
      <w:r w:rsidR="005672E2">
        <w:t xml:space="preserve">five (5) </w:t>
      </w:r>
      <w:r w:rsidR="004C2502" w:rsidRPr="005D76CA">
        <w:t>Business Days) of any changes to the id</w:t>
      </w:r>
      <w:r w:rsidR="004C2502">
        <w:t>entity or contact details of the Contract Representative</w:t>
      </w:r>
      <w:r w:rsidR="00A04EA5">
        <w:t>, including any temporary changes to the identity or contact details of the Contract Representative</w:t>
      </w:r>
      <w:r w:rsidR="004C2502">
        <w:t>.</w:t>
      </w:r>
    </w:p>
    <w:p w14:paraId="2B067989" w14:textId="4EE96DC4" w:rsidR="009514C5" w:rsidRPr="005D76CA" w:rsidRDefault="005D76CA" w:rsidP="0058045D">
      <w:pPr>
        <w:pStyle w:val="Heading3"/>
      </w:pPr>
      <w:bookmarkStart w:id="5261" w:name="_Ref108102539"/>
      <w:bookmarkStart w:id="5262" w:name="_Hlk108183390"/>
      <w:r>
        <w:t>T</w:t>
      </w:r>
      <w:r w:rsidR="00BE77D6" w:rsidRPr="005D76CA">
        <w:t>he Commonwealth</w:t>
      </w:r>
      <w:r w:rsidR="006F6107" w:rsidRPr="005D76CA">
        <w:t xml:space="preserve"> may contact</w:t>
      </w:r>
      <w:r w:rsidR="003B2F6C" w:rsidRPr="005D76CA">
        <w:t xml:space="preserve"> the Contract Representative at all reasonable times in respect of any matter in connection with the </w:t>
      </w:r>
      <w:r w:rsidR="00371FF8" w:rsidRPr="005D76CA">
        <w:t xml:space="preserve">day-to-day </w:t>
      </w:r>
      <w:r w:rsidR="003B2F6C" w:rsidRPr="005D76CA">
        <w:t xml:space="preserve">operation or administration of the </w:t>
      </w:r>
      <w:r w:rsidR="00885DAA">
        <w:t>[Hybrid/Staged]</w:t>
      </w:r>
      <w:r w:rsidR="00885DAA" w:rsidRPr="005D76CA">
        <w:t xml:space="preserve"> </w:t>
      </w:r>
      <w:r w:rsidR="003B2F6C" w:rsidRPr="005D76CA">
        <w:t>Project or this agreement</w:t>
      </w:r>
      <w:r w:rsidR="009514C5" w:rsidRPr="005D76CA">
        <w:t>.</w:t>
      </w:r>
      <w:bookmarkEnd w:id="5261"/>
      <w:r w:rsidR="00B6359E" w:rsidRPr="005D76CA">
        <w:t xml:space="preserve"> </w:t>
      </w:r>
    </w:p>
    <w:p w14:paraId="327153FD" w14:textId="0DCC442F" w:rsidR="003B2F6C" w:rsidRDefault="009514C5" w:rsidP="0058045D">
      <w:pPr>
        <w:pStyle w:val="Heading3"/>
      </w:pPr>
      <w:r w:rsidRPr="005D76CA">
        <w:t xml:space="preserve">Despite paragraph </w:t>
      </w:r>
      <w:r w:rsidRPr="005D76CA">
        <w:fldChar w:fldCharType="begin"/>
      </w:r>
      <w:r w:rsidRPr="005D76CA">
        <w:instrText xml:space="preserve"> REF _Ref108102539 \n \h </w:instrText>
      </w:r>
      <w:r w:rsidR="005D76CA">
        <w:instrText xml:space="preserve"> \* MERGEFORMAT </w:instrText>
      </w:r>
      <w:r w:rsidRPr="005D76CA">
        <w:fldChar w:fldCharType="separate"/>
      </w:r>
      <w:r w:rsidR="002E5C6A">
        <w:t>(c)</w:t>
      </w:r>
      <w:r w:rsidRPr="005D76CA">
        <w:fldChar w:fldCharType="end"/>
      </w:r>
      <w:r w:rsidRPr="005D76CA">
        <w:t xml:space="preserve">, </w:t>
      </w:r>
      <w:r w:rsidR="00371FF8" w:rsidRPr="005D76CA">
        <w:t xml:space="preserve">any notices and other communications that </w:t>
      </w:r>
      <w:r w:rsidR="00BE77D6" w:rsidRPr="005D76CA">
        <w:t>the Commonwealth</w:t>
      </w:r>
      <w:r w:rsidR="00371FF8" w:rsidRPr="005D76CA">
        <w:t xml:space="preserve"> is</w:t>
      </w:r>
      <w:r w:rsidR="00371FF8">
        <w:t xml:space="preserve"> required to give under this agreement will be given to </w:t>
      </w:r>
      <w:r w:rsidR="00411B14">
        <w:t>Project Operator</w:t>
      </w:r>
      <w:r w:rsidR="00371FF8">
        <w:t xml:space="preserve"> in accordance with clause </w:t>
      </w:r>
      <w:r w:rsidR="00371FF8">
        <w:fldChar w:fldCharType="begin"/>
      </w:r>
      <w:r w:rsidR="00371FF8">
        <w:instrText xml:space="preserve"> REF _Ref101432962 \w \h </w:instrText>
      </w:r>
      <w:r w:rsidR="00371FF8">
        <w:fldChar w:fldCharType="separate"/>
      </w:r>
      <w:r w:rsidR="002E5C6A">
        <w:t>36</w:t>
      </w:r>
      <w:r w:rsidR="00371FF8">
        <w:fldChar w:fldCharType="end"/>
      </w:r>
      <w:r w:rsidR="00371FF8">
        <w:t xml:space="preserve"> (“</w:t>
      </w:r>
      <w:r w:rsidR="00371FF8">
        <w:fldChar w:fldCharType="begin"/>
      </w:r>
      <w:r w:rsidR="00371FF8">
        <w:instrText xml:space="preserve">  REF _Ref101432962 \h </w:instrText>
      </w:r>
      <w:r w:rsidR="00371FF8">
        <w:fldChar w:fldCharType="separate"/>
      </w:r>
      <w:r w:rsidR="002E5C6A">
        <w:t>Notices</w:t>
      </w:r>
      <w:r w:rsidR="00371FF8">
        <w:fldChar w:fldCharType="end"/>
      </w:r>
      <w:r w:rsidR="00371FF8">
        <w:t>”).</w:t>
      </w:r>
    </w:p>
    <w:p w14:paraId="687F2210" w14:textId="54C228EC" w:rsidR="00885DAA" w:rsidRPr="00DE3E61" w:rsidRDefault="00885DAA" w:rsidP="008F660B">
      <w:pPr>
        <w:pStyle w:val="Heading3"/>
        <w:numPr>
          <w:ilvl w:val="0"/>
          <w:numId w:val="0"/>
        </w:numPr>
        <w:ind w:left="737"/>
      </w:pPr>
      <w:r>
        <w:t>[</w:t>
      </w:r>
      <w:r w:rsidRPr="008F660B">
        <w:rPr>
          <w:b/>
          <w:bCs/>
          <w:i/>
          <w:iCs/>
          <w:highlight w:val="lightGray"/>
        </w:rPr>
        <w:t>Wording in square brackets is to be included for all Hybrid and Staged Project, as applicable</w:t>
      </w:r>
      <w:r w:rsidRPr="008F660B">
        <w:rPr>
          <w:highlight w:val="lightGray"/>
        </w:rPr>
        <w:t>.]</w:t>
      </w:r>
    </w:p>
    <w:p w14:paraId="40AFD4DF" w14:textId="77777777" w:rsidR="00574B58" w:rsidRDefault="2BC382E4" w:rsidP="0058045D">
      <w:pPr>
        <w:pStyle w:val="Heading1"/>
      </w:pPr>
      <w:bookmarkStart w:id="5263" w:name="_Ref101432962"/>
      <w:bookmarkStart w:id="5264" w:name="_Toc207309741"/>
      <w:bookmarkEnd w:id="5199"/>
      <w:bookmarkEnd w:id="5260"/>
      <w:bookmarkEnd w:id="5262"/>
      <w:r>
        <w:t>Notices</w:t>
      </w:r>
      <w:bookmarkEnd w:id="5263"/>
      <w:bookmarkEnd w:id="5264"/>
      <w:r>
        <w:t xml:space="preserve"> </w:t>
      </w:r>
    </w:p>
    <w:p w14:paraId="34863F30" w14:textId="77777777" w:rsidR="00574B58" w:rsidRDefault="2BC382E4" w:rsidP="008F660B">
      <w:pPr>
        <w:pStyle w:val="Heading2"/>
        <w:numPr>
          <w:ilvl w:val="1"/>
          <w:numId w:val="79"/>
        </w:numPr>
      </w:pPr>
      <w:bookmarkStart w:id="5265" w:name="_Toc100220619"/>
      <w:bookmarkStart w:id="5266" w:name="_Toc207309742"/>
      <w:r>
        <w:t>Form</w:t>
      </w:r>
      <w:bookmarkEnd w:id="5265"/>
      <w:bookmarkEnd w:id="5266"/>
    </w:p>
    <w:p w14:paraId="1D32D58D" w14:textId="7B99F8DB" w:rsidR="00AE2787" w:rsidRDefault="00AE2787" w:rsidP="0058045D">
      <w:pPr>
        <w:pStyle w:val="Heading3"/>
      </w:pPr>
      <w:r w:rsidRPr="009F3014">
        <w:t xml:space="preserve">Unless </w:t>
      </w:r>
      <w:r>
        <w:t xml:space="preserve">this agreement </w:t>
      </w:r>
      <w:r w:rsidRPr="009F3014">
        <w:t>expressly state</w:t>
      </w:r>
      <w:r>
        <w:t>s</w:t>
      </w:r>
      <w:r w:rsidRPr="009F3014">
        <w:t xml:space="preserve"> otherwise, a</w:t>
      </w:r>
      <w:r w:rsidRPr="00880621">
        <w:t>ll notices,</w:t>
      </w:r>
      <w:r>
        <w:t xml:space="preserve"> demands,</w:t>
      </w:r>
      <w:r w:rsidRPr="00880621">
        <w:t xml:space="preserve"> certificates, consents, approvals, waivers and other communications in connection with </w:t>
      </w:r>
      <w:r>
        <w:t>this agreement</w:t>
      </w:r>
      <w:r w:rsidRPr="00880621">
        <w:t xml:space="preserve"> must be</w:t>
      </w:r>
      <w:r w:rsidRPr="00635A03">
        <w:t xml:space="preserve"> </w:t>
      </w:r>
      <w:r>
        <w:t xml:space="preserve">in writing </w:t>
      </w:r>
      <w:r w:rsidR="00B97B07">
        <w:t xml:space="preserve">(which may be by email) </w:t>
      </w:r>
      <w:r>
        <w:t xml:space="preserve">and </w:t>
      </w:r>
      <w:r w:rsidRPr="00635A03">
        <w:t xml:space="preserve">signed by the sender (if an individual) or </w:t>
      </w:r>
      <w:r w:rsidRPr="00354E1C">
        <w:t>a director</w:t>
      </w:r>
      <w:r>
        <w:t>,</w:t>
      </w:r>
      <w:r w:rsidRPr="00354E1C">
        <w:t xml:space="preserve"> secretary or any other person </w:t>
      </w:r>
      <w:r>
        <w:t>nomina</w:t>
      </w:r>
      <w:r w:rsidRPr="00354E1C">
        <w:t xml:space="preserve">ted by a party to act as an </w:t>
      </w:r>
      <w:r>
        <w:t>authorised officer</w:t>
      </w:r>
      <w:r w:rsidRPr="00635A03">
        <w:t xml:space="preserve"> of the sender</w:t>
      </w:r>
      <w:r>
        <w:t>.</w:t>
      </w:r>
    </w:p>
    <w:p w14:paraId="42375624" w14:textId="77777777" w:rsidR="00AE2787" w:rsidRDefault="00AE2787" w:rsidP="0058045D">
      <w:pPr>
        <w:pStyle w:val="Heading3"/>
      </w:pPr>
      <w:r>
        <w:t xml:space="preserve">All communications (other than email communications) must also be </w:t>
      </w:r>
      <w:r w:rsidRPr="00635A03">
        <w:t xml:space="preserve">marked for the attention of the person </w:t>
      </w:r>
      <w:r>
        <w:t xml:space="preserve">referred to </w:t>
      </w:r>
      <w:r w:rsidRPr="00635A03">
        <w:t xml:space="preserve">in the Details </w:t>
      </w:r>
      <w:r>
        <w:t>(</w:t>
      </w:r>
      <w:r w:rsidRPr="00635A03">
        <w:t xml:space="preserve">or, if the recipient has notified otherwise, then </w:t>
      </w:r>
      <w:r>
        <w:t xml:space="preserve">marked for attention </w:t>
      </w:r>
      <w:r w:rsidRPr="00635A03">
        <w:t>in the way last notified</w:t>
      </w:r>
      <w:r>
        <w:t>).</w:t>
      </w:r>
    </w:p>
    <w:p w14:paraId="5FF08DB3" w14:textId="77777777" w:rsidR="00574B58" w:rsidRDefault="00AE2787" w:rsidP="0058045D">
      <w:pPr>
        <w:pStyle w:val="Heading3"/>
      </w:pPr>
      <w:r>
        <w:t>Email c</w:t>
      </w:r>
      <w:r w:rsidRPr="00880621">
        <w:t>ommunications must state the first and last name of the sender</w:t>
      </w:r>
      <w:r>
        <w:t xml:space="preserve"> and </w:t>
      </w:r>
      <w:r w:rsidRPr="00880621">
        <w:t>are taken to be signed by the named sender</w:t>
      </w:r>
      <w:r w:rsidR="00574B58">
        <w:t xml:space="preserve">. </w:t>
      </w:r>
    </w:p>
    <w:p w14:paraId="2A78F813" w14:textId="77777777" w:rsidR="00574B58" w:rsidRDefault="2BC382E4" w:rsidP="0058045D">
      <w:pPr>
        <w:pStyle w:val="Heading2"/>
      </w:pPr>
      <w:bookmarkStart w:id="5267" w:name="_Toc100220620"/>
      <w:bookmarkStart w:id="5268" w:name="_Toc207309743"/>
      <w:r>
        <w:t>Delivery</w:t>
      </w:r>
      <w:bookmarkEnd w:id="5267"/>
      <w:bookmarkEnd w:id="5268"/>
    </w:p>
    <w:p w14:paraId="7DD1C7E4" w14:textId="77777777" w:rsidR="00574B58" w:rsidRDefault="00574B58" w:rsidP="0058045D">
      <w:pPr>
        <w:pStyle w:val="Heading3"/>
      </w:pPr>
      <w:r>
        <w:t>Communications must be:</w:t>
      </w:r>
    </w:p>
    <w:p w14:paraId="73EE719B" w14:textId="69B5EA73" w:rsidR="00574B58" w:rsidRDefault="005672E2" w:rsidP="0058045D">
      <w:pPr>
        <w:pStyle w:val="Heading4"/>
      </w:pPr>
      <w:r>
        <w:t>delivered to</w:t>
      </w:r>
      <w:r w:rsidR="00574B58">
        <w:t xml:space="preserve"> the address referred to in the Details;</w:t>
      </w:r>
    </w:p>
    <w:p w14:paraId="1D894A36" w14:textId="30F8F545" w:rsidR="00574B58" w:rsidRDefault="00AE2787" w:rsidP="0058045D">
      <w:pPr>
        <w:pStyle w:val="Heading4"/>
      </w:pPr>
      <w:r w:rsidRPr="00880621">
        <w:t xml:space="preserve">sent by </w:t>
      </w:r>
      <w:r>
        <w:t>regular</w:t>
      </w:r>
      <w:r w:rsidRPr="00880621">
        <w:t xml:space="preserve"> ordinary</w:t>
      </w:r>
      <w:r w:rsidR="005672E2">
        <w:t xml:space="preserve"> or registered</w:t>
      </w:r>
      <w:r w:rsidRPr="00880621">
        <w:t xml:space="preserve"> post (airmail if appropriate) to the address referred to in the Details</w:t>
      </w:r>
      <w:r w:rsidR="00574B58">
        <w:t>; or</w:t>
      </w:r>
    </w:p>
    <w:p w14:paraId="36F0B9AF" w14:textId="77777777" w:rsidR="00574B58" w:rsidRDefault="00574B58" w:rsidP="0058045D">
      <w:pPr>
        <w:pStyle w:val="Heading4"/>
      </w:pPr>
      <w:r>
        <w:t>sent by email to the address referred to in the Details</w:t>
      </w:r>
      <w:r w:rsidR="00C1079B">
        <w:t>, provided that email must not be used for any termination notice issued pursuant to this agreement</w:t>
      </w:r>
      <w:r>
        <w:t>.</w:t>
      </w:r>
    </w:p>
    <w:p w14:paraId="4C102DAA" w14:textId="77777777" w:rsidR="00AD7780" w:rsidRPr="00AD7780" w:rsidRDefault="00574B58" w:rsidP="0058045D">
      <w:pPr>
        <w:pStyle w:val="Heading3"/>
      </w:pPr>
      <w:r>
        <w:t>If the intended recipient has notified changed contact details, then communications must be sent to the changed contact details.</w:t>
      </w:r>
    </w:p>
    <w:p w14:paraId="23B4AA5A" w14:textId="77777777" w:rsidR="00574B58" w:rsidRDefault="2BC382E4" w:rsidP="0058045D">
      <w:pPr>
        <w:pStyle w:val="Heading2"/>
      </w:pPr>
      <w:bookmarkStart w:id="5269" w:name="_Toc100220621"/>
      <w:bookmarkStart w:id="5270" w:name="_Toc207309744"/>
      <w:r>
        <w:t>When effective</w:t>
      </w:r>
      <w:bookmarkEnd w:id="5269"/>
      <w:bookmarkEnd w:id="5270"/>
    </w:p>
    <w:p w14:paraId="64F7FF22" w14:textId="0DB51507" w:rsidR="00574B58" w:rsidRDefault="00574B58" w:rsidP="00574B58">
      <w:pPr>
        <w:pStyle w:val="BodyText"/>
        <w:ind w:left="737"/>
      </w:pPr>
      <w:r>
        <w:t xml:space="preserve">Communications take effect from the time they are received or </w:t>
      </w:r>
      <w:r w:rsidR="0021175C">
        <w:t xml:space="preserve">are </w:t>
      </w:r>
      <w:r>
        <w:t xml:space="preserve">taken to be received under clause </w:t>
      </w:r>
      <w:r>
        <w:fldChar w:fldCharType="begin"/>
      </w:r>
      <w:r>
        <w:instrText xml:space="preserve"> REF _Ref100137093 \w \h </w:instrText>
      </w:r>
      <w:r>
        <w:fldChar w:fldCharType="separate"/>
      </w:r>
      <w:r w:rsidR="002E5C6A">
        <w:t>36.4</w:t>
      </w:r>
      <w:r>
        <w:fldChar w:fldCharType="end"/>
      </w:r>
      <w:r>
        <w:t xml:space="preserve"> (“</w:t>
      </w:r>
      <w:r>
        <w:fldChar w:fldCharType="begin"/>
      </w:r>
      <w:r>
        <w:instrText xml:space="preserve">  REF _Ref100137093 \h </w:instrText>
      </w:r>
      <w:r>
        <w:fldChar w:fldCharType="separate"/>
      </w:r>
      <w:r w:rsidR="002E5C6A">
        <w:t>When taken to be received</w:t>
      </w:r>
      <w:r>
        <w:fldChar w:fldCharType="end"/>
      </w:r>
      <w:r>
        <w:t>”) (whichever happens first) unless a later time is specified in the communication.</w:t>
      </w:r>
    </w:p>
    <w:p w14:paraId="19039D49" w14:textId="77777777" w:rsidR="00574B58" w:rsidRDefault="2BC382E4" w:rsidP="0058045D">
      <w:pPr>
        <w:pStyle w:val="Heading2"/>
      </w:pPr>
      <w:bookmarkStart w:id="5271" w:name="_Ref100137093"/>
      <w:bookmarkStart w:id="5272" w:name="_Toc100220622"/>
      <w:bookmarkStart w:id="5273" w:name="_Toc207309745"/>
      <w:r>
        <w:t>When taken to be received</w:t>
      </w:r>
      <w:bookmarkEnd w:id="5271"/>
      <w:bookmarkEnd w:id="5272"/>
      <w:bookmarkEnd w:id="5273"/>
    </w:p>
    <w:p w14:paraId="3AB5BC82" w14:textId="77777777" w:rsidR="00574B58" w:rsidRDefault="00574B58" w:rsidP="007F1A89">
      <w:pPr>
        <w:pStyle w:val="BodyText"/>
        <w:keepNext/>
        <w:ind w:left="737"/>
      </w:pPr>
      <w:r>
        <w:t>Communications are taken to be received:</w:t>
      </w:r>
    </w:p>
    <w:p w14:paraId="690D8989" w14:textId="611AF5A4" w:rsidR="00AE2787" w:rsidRDefault="00AE2787" w:rsidP="0058045D">
      <w:pPr>
        <w:pStyle w:val="Heading3"/>
      </w:pPr>
      <w:r>
        <w:t xml:space="preserve">if </w:t>
      </w:r>
      <w:r w:rsidRPr="00880621">
        <w:t xml:space="preserve">sent by post, </w:t>
      </w:r>
      <w:r w:rsidR="005672E2">
        <w:t>six (</w:t>
      </w:r>
      <w:r>
        <w:t>6</w:t>
      </w:r>
      <w:r w:rsidR="005672E2">
        <w:t>)</w:t>
      </w:r>
      <w:r>
        <w:t xml:space="preserve"> Business Days</w:t>
      </w:r>
      <w:r w:rsidRPr="00880621">
        <w:t xml:space="preserve"> </w:t>
      </w:r>
      <w:r w:rsidR="00FE6B67">
        <w:t>after</w:t>
      </w:r>
      <w:r w:rsidR="00FE6B67" w:rsidRPr="007C4A7B" w:rsidDel="004F23C9">
        <w:t xml:space="preserve"> </w:t>
      </w:r>
      <w:r w:rsidRPr="00880621">
        <w:t xml:space="preserve">posting (or </w:t>
      </w:r>
      <w:r>
        <w:t xml:space="preserve">10 </w:t>
      </w:r>
      <w:r w:rsidRPr="00880621">
        <w:t xml:space="preserve">days </w:t>
      </w:r>
      <w:r w:rsidR="00FE6B67">
        <w:t>after</w:t>
      </w:r>
      <w:r w:rsidR="00FE6B67" w:rsidRPr="007C4A7B" w:rsidDel="004F23C9">
        <w:t xml:space="preserve"> </w:t>
      </w:r>
      <w:r w:rsidRPr="00880621">
        <w:t>posting if sent from one country to another</w:t>
      </w:r>
      <w:r>
        <w:t>);</w:t>
      </w:r>
      <w:r w:rsidR="004C03AC">
        <w:t xml:space="preserve"> and</w:t>
      </w:r>
    </w:p>
    <w:p w14:paraId="47624375" w14:textId="77777777" w:rsidR="00AE2787" w:rsidRDefault="00AE2787" w:rsidP="0058045D">
      <w:pPr>
        <w:pStyle w:val="Heading3"/>
      </w:pPr>
      <w:r>
        <w:t xml:space="preserve">if sent by email: </w:t>
      </w:r>
    </w:p>
    <w:p w14:paraId="1FC2AE8E" w14:textId="77777777" w:rsidR="00AE2787" w:rsidRDefault="00AE2787" w:rsidP="0058045D">
      <w:pPr>
        <w:pStyle w:val="Heading4"/>
      </w:pPr>
      <w:r w:rsidRPr="00880621">
        <w:t>when the sender receives an automated message confirming delivery</w:t>
      </w:r>
      <w:r>
        <w:t xml:space="preserve">; </w:t>
      </w:r>
      <w:r w:rsidR="00B11689">
        <w:t>or</w:t>
      </w:r>
    </w:p>
    <w:p w14:paraId="0AAF4944" w14:textId="0D31DA44" w:rsidR="00AE2787" w:rsidRDefault="002068D0" w:rsidP="0058045D">
      <w:pPr>
        <w:pStyle w:val="Heading4"/>
      </w:pPr>
      <w:r>
        <w:t>four (</w:t>
      </w:r>
      <w:r w:rsidR="00AE2787">
        <w:t>4</w:t>
      </w:r>
      <w:r>
        <w:t>)</w:t>
      </w:r>
      <w:r w:rsidR="00AE2787">
        <w:t xml:space="preserve"> hours after the time the email is sent (as recorded on the device from which the sender sent the email) unless the sender receives an automated message within that </w:t>
      </w:r>
      <w:r>
        <w:t>four (</w:t>
      </w:r>
      <w:r w:rsidR="00AE2787">
        <w:t>4</w:t>
      </w:r>
      <w:r>
        <w:t>)</w:t>
      </w:r>
      <w:r w:rsidR="00AE2787">
        <w:t xml:space="preserve"> hour period that the delivery failed,</w:t>
      </w:r>
    </w:p>
    <w:p w14:paraId="019A7AB7" w14:textId="77777777" w:rsidR="00574B58" w:rsidRDefault="00AE2787" w:rsidP="0058045D">
      <w:pPr>
        <w:pStyle w:val="Heading3"/>
        <w:numPr>
          <w:ilvl w:val="0"/>
          <w:numId w:val="0"/>
        </w:numPr>
        <w:ind w:left="1474"/>
      </w:pPr>
      <w:r>
        <w:t>whichever happens first</w:t>
      </w:r>
      <w:r w:rsidR="00574B58">
        <w:t>.</w:t>
      </w:r>
    </w:p>
    <w:p w14:paraId="1E627D1F" w14:textId="77777777" w:rsidR="00AE2787" w:rsidRDefault="2BC382E4" w:rsidP="0058045D">
      <w:pPr>
        <w:pStyle w:val="Heading2"/>
      </w:pPr>
      <w:bookmarkStart w:id="5274" w:name="_Toc207309746"/>
      <w:r>
        <w:t>Receipt outside business hours</w:t>
      </w:r>
      <w:bookmarkEnd w:id="5274"/>
    </w:p>
    <w:p w14:paraId="4366E268" w14:textId="1EC8B3AD" w:rsidR="00AE2787" w:rsidRPr="008F660B" w:rsidRDefault="00AE2787" w:rsidP="002068D0">
      <w:pPr>
        <w:pStyle w:val="Indent2"/>
        <w:rPr>
          <w:color w:val="000000"/>
        </w:rPr>
      </w:pPr>
      <w:r>
        <w:rPr>
          <w:color w:val="000000"/>
        </w:rPr>
        <w:t xml:space="preserve">Despite anything else in this clause </w:t>
      </w:r>
      <w:r>
        <w:rPr>
          <w:color w:val="000000"/>
        </w:rPr>
        <w:fldChar w:fldCharType="begin"/>
      </w:r>
      <w:r>
        <w:rPr>
          <w:color w:val="000000"/>
        </w:rPr>
        <w:instrText xml:space="preserve"> REF _Ref101432962 \r \h </w:instrText>
      </w:r>
      <w:r>
        <w:rPr>
          <w:color w:val="000000"/>
        </w:rPr>
      </w:r>
      <w:r>
        <w:rPr>
          <w:color w:val="000000"/>
        </w:rPr>
        <w:fldChar w:fldCharType="separate"/>
      </w:r>
      <w:r w:rsidR="002E5C6A">
        <w:rPr>
          <w:color w:val="000000"/>
        </w:rPr>
        <w:t>36</w:t>
      </w:r>
      <w:r>
        <w:rPr>
          <w:color w:val="000000"/>
        </w:rPr>
        <w:fldChar w:fldCharType="end"/>
      </w:r>
      <w:r>
        <w:rPr>
          <w:color w:val="000000"/>
        </w:rPr>
        <w:t xml:space="preserve">, if communications are received or taken to be received under clause </w:t>
      </w:r>
      <w:r>
        <w:rPr>
          <w:color w:val="000000"/>
        </w:rPr>
        <w:fldChar w:fldCharType="begin"/>
      </w:r>
      <w:r>
        <w:rPr>
          <w:color w:val="000000"/>
        </w:rPr>
        <w:instrText xml:space="preserve"> REF _Ref100137093 \r \h </w:instrText>
      </w:r>
      <w:r>
        <w:rPr>
          <w:color w:val="000000"/>
        </w:rPr>
      </w:r>
      <w:r>
        <w:rPr>
          <w:color w:val="000000"/>
        </w:rPr>
        <w:fldChar w:fldCharType="separate"/>
      </w:r>
      <w:r w:rsidR="002E5C6A">
        <w:rPr>
          <w:color w:val="000000"/>
        </w:rPr>
        <w:t>36.4</w:t>
      </w:r>
      <w:r>
        <w:rPr>
          <w:color w:val="000000"/>
        </w:rPr>
        <w:fldChar w:fldCharType="end"/>
      </w:r>
      <w:r>
        <w:rPr>
          <w:color w:val="000000"/>
        </w:rPr>
        <w:t xml:space="preserve"> (“</w:t>
      </w:r>
      <w:r>
        <w:rPr>
          <w:color w:val="000000"/>
        </w:rPr>
        <w:fldChar w:fldCharType="begin"/>
      </w:r>
      <w:r>
        <w:rPr>
          <w:color w:val="000000"/>
        </w:rPr>
        <w:instrText xml:space="preserve"> REF _Ref100137093 \h </w:instrText>
      </w:r>
      <w:r>
        <w:rPr>
          <w:color w:val="000000"/>
        </w:rPr>
      </w:r>
      <w:r>
        <w:rPr>
          <w:color w:val="000000"/>
        </w:rPr>
        <w:fldChar w:fldCharType="separate"/>
      </w:r>
      <w:r w:rsidR="002E5C6A">
        <w:t>When taken to be received</w:t>
      </w:r>
      <w:r>
        <w:rPr>
          <w:color w:val="000000"/>
        </w:rPr>
        <w:fldChar w:fldCharType="end"/>
      </w:r>
      <w:r>
        <w:rPr>
          <w:color w:val="000000"/>
        </w:rPr>
        <w:t xml:space="preserve">”) </w:t>
      </w:r>
      <w:r w:rsidR="002068D0">
        <w:rPr>
          <w:color w:val="000000"/>
        </w:rPr>
        <w:t xml:space="preserve">on a non-Business Day or </w:t>
      </w:r>
      <w:r>
        <w:rPr>
          <w:color w:val="000000"/>
        </w:rPr>
        <w:t>after 5.00pm on a Business Day,</w:t>
      </w:r>
      <w:r w:rsidR="0082543A">
        <w:rPr>
          <w:color w:val="000000"/>
        </w:rPr>
        <w:t xml:space="preserve"> then</w:t>
      </w:r>
      <w:r>
        <w:rPr>
          <w:color w:val="000000"/>
        </w:rPr>
        <w:t xml:space="preserve"> they are taken to be received at 9.00am on the next Business Day. For the purposes of this clause, the place in the definition of Business Day is taken to be the place specified in the Details as the address of the recipient and the time of receipt is the time in that place.</w:t>
      </w:r>
    </w:p>
    <w:p w14:paraId="5D089472" w14:textId="77777777" w:rsidR="00B1487C" w:rsidRDefault="2BC382E4" w:rsidP="0058045D">
      <w:pPr>
        <w:pStyle w:val="Heading1"/>
      </w:pPr>
      <w:bookmarkStart w:id="5275" w:name="_Toc103248564"/>
      <w:bookmarkStart w:id="5276" w:name="_Toc103258221"/>
      <w:bookmarkStart w:id="5277" w:name="_Toc103258521"/>
      <w:bookmarkStart w:id="5278" w:name="_Toc103259005"/>
      <w:bookmarkStart w:id="5279" w:name="_Toc103260043"/>
      <w:bookmarkStart w:id="5280" w:name="_Toc103271358"/>
      <w:bookmarkStart w:id="5281" w:name="_BPDC_LN_INS_1055"/>
      <w:bookmarkStart w:id="5282" w:name="_BPDC_PR_INS_1056"/>
      <w:bookmarkStart w:id="5283" w:name="_BPDC_LN_INS_1053"/>
      <w:bookmarkStart w:id="5284" w:name="_BPDC_PR_INS_1054"/>
      <w:bookmarkStart w:id="5285" w:name="_BPDC_LN_INS_1051"/>
      <w:bookmarkStart w:id="5286" w:name="_BPDC_PR_INS_1052"/>
      <w:bookmarkStart w:id="5287" w:name="_BPDC_LN_INS_1049"/>
      <w:bookmarkStart w:id="5288" w:name="_BPDC_PR_INS_1050"/>
      <w:bookmarkStart w:id="5289" w:name="_BPDC_LN_INS_1047"/>
      <w:bookmarkStart w:id="5290" w:name="_BPDC_PR_INS_1048"/>
      <w:bookmarkStart w:id="5291" w:name="_BPDC_LN_INS_1045"/>
      <w:bookmarkStart w:id="5292" w:name="_BPDC_PR_INS_1046"/>
      <w:bookmarkStart w:id="5293" w:name="_BPDC_LN_INS_1043"/>
      <w:bookmarkStart w:id="5294" w:name="_BPDC_PR_INS_1044"/>
      <w:bookmarkStart w:id="5295" w:name="_BPDC_LN_INS_1041"/>
      <w:bookmarkStart w:id="5296" w:name="_BPDC_PR_INS_1042"/>
      <w:bookmarkStart w:id="5297" w:name="_BPDC_LN_INS_1039"/>
      <w:bookmarkStart w:id="5298" w:name="_BPDC_PR_INS_1040"/>
      <w:bookmarkStart w:id="5299" w:name="_BPDC_LN_INS_1037"/>
      <w:bookmarkStart w:id="5300" w:name="_BPDC_PR_INS_1038"/>
      <w:bookmarkStart w:id="5301" w:name="_Ref199427538"/>
      <w:bookmarkStart w:id="5302" w:name="_Ref199427541"/>
      <w:bookmarkStart w:id="5303" w:name="_Toc207309747"/>
      <w:bookmarkEnd w:id="5275"/>
      <w:bookmarkEnd w:id="5276"/>
      <w:bookmarkEnd w:id="5277"/>
      <w:bookmarkEnd w:id="5278"/>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bookmarkEnd w:id="5296"/>
      <w:bookmarkEnd w:id="5297"/>
      <w:bookmarkEnd w:id="5298"/>
      <w:bookmarkEnd w:id="5299"/>
      <w:bookmarkEnd w:id="5300"/>
      <w:r>
        <w:t>General</w:t>
      </w:r>
      <w:bookmarkEnd w:id="5301"/>
      <w:bookmarkEnd w:id="5302"/>
      <w:bookmarkEnd w:id="5303"/>
    </w:p>
    <w:p w14:paraId="2D33C7B6" w14:textId="77777777" w:rsidR="00AE2787" w:rsidRDefault="00AE2787" w:rsidP="0058045D">
      <w:pPr>
        <w:pStyle w:val="Heading2"/>
      </w:pPr>
      <w:bookmarkStart w:id="5304" w:name="_Toc104305771"/>
      <w:bookmarkStart w:id="5305" w:name="_Toc207309748"/>
      <w:bookmarkStart w:id="5306" w:name="_Toc492504893"/>
      <w:bookmarkStart w:id="5307" w:name="_Toc515359146"/>
      <w:bookmarkStart w:id="5308" w:name="_Toc515470304"/>
      <w:bookmarkStart w:id="5309" w:name="_Toc104238890"/>
      <w:r>
        <w:t>Variation and waiver</w:t>
      </w:r>
      <w:bookmarkEnd w:id="5304"/>
      <w:bookmarkEnd w:id="5305"/>
    </w:p>
    <w:p w14:paraId="368152FB" w14:textId="7AC463A7" w:rsidR="00AE2787" w:rsidRPr="00F55617" w:rsidRDefault="00AE2787" w:rsidP="00AE2787">
      <w:pPr>
        <w:pStyle w:val="Indent2"/>
      </w:pPr>
      <w:r w:rsidRPr="00FE230B">
        <w:t xml:space="preserve">A provision of this </w:t>
      </w:r>
      <w:r>
        <w:t>agreement</w:t>
      </w:r>
      <w:r w:rsidRPr="00FE230B">
        <w:t>, or right, power or remedy created under it, may not be varied or waived except in writing signed by the party to be bound</w:t>
      </w:r>
      <w:r w:rsidR="00B97B07">
        <w:t xml:space="preserve"> by the variation or granting the waiver</w:t>
      </w:r>
      <w:r>
        <w:t>.</w:t>
      </w:r>
      <w:r w:rsidR="005672E2">
        <w:t xml:space="preserve"> </w:t>
      </w:r>
    </w:p>
    <w:p w14:paraId="1A593410" w14:textId="77777777" w:rsidR="00AE2787" w:rsidRDefault="00AE2787" w:rsidP="0058045D">
      <w:pPr>
        <w:pStyle w:val="Heading2"/>
      </w:pPr>
      <w:bookmarkStart w:id="5310" w:name="_Toc104305772"/>
      <w:bookmarkStart w:id="5311" w:name="_Toc207309749"/>
      <w:r>
        <w:t>Consents, approvals or waivers</w:t>
      </w:r>
      <w:bookmarkEnd w:id="5310"/>
      <w:bookmarkEnd w:id="5311"/>
    </w:p>
    <w:p w14:paraId="0513F576" w14:textId="77777777" w:rsidR="002068D0" w:rsidRDefault="00AE2787" w:rsidP="002068D0">
      <w:pPr>
        <w:pStyle w:val="Heading3"/>
      </w:pPr>
      <w:r w:rsidRPr="00FE230B">
        <w:t>By giving any consent</w:t>
      </w:r>
      <w:r>
        <w:t>, approval</w:t>
      </w:r>
      <w:r w:rsidRPr="00FE230B">
        <w:t xml:space="preserve"> or waiver</w:t>
      </w:r>
      <w:r w:rsidR="00B97B07">
        <w:t>,</w:t>
      </w:r>
      <w:r w:rsidRPr="00FE230B">
        <w:t xml:space="preserve"> a party does not give any representation or warranty as to any circumstance in connection with the subject matter of the consent, approval or waiver</w:t>
      </w:r>
      <w:r>
        <w:t>.</w:t>
      </w:r>
      <w:r w:rsidR="00FD19D3">
        <w:t xml:space="preserve"> </w:t>
      </w:r>
    </w:p>
    <w:p w14:paraId="6B2F0B39" w14:textId="34E9B6BB" w:rsidR="00AE2787" w:rsidRPr="00F55617" w:rsidRDefault="00FD19D3" w:rsidP="008F660B">
      <w:pPr>
        <w:pStyle w:val="Heading3"/>
      </w:pPr>
      <w:r w:rsidRPr="008129EB">
        <w:t>A consent, approval or waiver of a right on one occasion does not constitute a consent, approval or waiver in respect of that right on another occasion that it arises.</w:t>
      </w:r>
    </w:p>
    <w:p w14:paraId="06CE7981" w14:textId="77777777" w:rsidR="00AE2787" w:rsidRDefault="00AE2787" w:rsidP="0058045D">
      <w:pPr>
        <w:pStyle w:val="Heading2"/>
      </w:pPr>
      <w:bookmarkStart w:id="5312" w:name="_Toc104305773"/>
      <w:bookmarkStart w:id="5313" w:name="_Toc207309750"/>
      <w:r>
        <w:t>Discretion in exercising rights</w:t>
      </w:r>
      <w:bookmarkEnd w:id="5312"/>
      <w:bookmarkEnd w:id="5313"/>
    </w:p>
    <w:p w14:paraId="3A17FDA4" w14:textId="77777777" w:rsidR="00AE2787" w:rsidRPr="00874C6C" w:rsidRDefault="00AE2787" w:rsidP="00AE2787">
      <w:pPr>
        <w:pStyle w:val="Indent2"/>
      </w:pPr>
      <w:r>
        <w:t>U</w:t>
      </w:r>
      <w:r w:rsidRPr="00FE230B">
        <w:t xml:space="preserve">nless this </w:t>
      </w:r>
      <w:r>
        <w:t>agreement e</w:t>
      </w:r>
      <w:r w:rsidRPr="00FE230B">
        <w:t>xpressly states otherwise</w:t>
      </w:r>
      <w:r>
        <w:t>,</w:t>
      </w:r>
      <w:r w:rsidRPr="00FE230B">
        <w:t xml:space="preserve"> </w:t>
      </w:r>
      <w:r>
        <w:t>a</w:t>
      </w:r>
      <w:r w:rsidRPr="00FE230B">
        <w:t xml:space="preserve"> party</w:t>
      </w:r>
      <w:r>
        <w:t xml:space="preserve"> </w:t>
      </w:r>
      <w:r w:rsidRPr="00FE230B">
        <w:t>may exercise a right, power or remedy</w:t>
      </w:r>
      <w:r w:rsidR="0021175C">
        <w:t>,</w:t>
      </w:r>
      <w:r w:rsidRPr="00FE230B">
        <w:t xml:space="preserve"> or give or refuse its consent, approval or a waiver</w:t>
      </w:r>
      <w:r w:rsidR="0021175C">
        <w:t>,</w:t>
      </w:r>
      <w:r w:rsidRPr="00FE230B">
        <w:t xml:space="preserve"> in connection with </w:t>
      </w:r>
      <w:r>
        <w:t>this agreement</w:t>
      </w:r>
      <w:r w:rsidRPr="00FE230B">
        <w:t xml:space="preserve"> </w:t>
      </w:r>
      <w:r w:rsidR="00045B9A">
        <w:t>at</w:t>
      </w:r>
      <w:r w:rsidR="00045B9A" w:rsidRPr="00FE230B">
        <w:t xml:space="preserve"> </w:t>
      </w:r>
      <w:r w:rsidRPr="00FE230B">
        <w:t>its discretion (including by imposing conditions).</w:t>
      </w:r>
    </w:p>
    <w:p w14:paraId="456A43C3" w14:textId="77777777" w:rsidR="00AE2787" w:rsidRDefault="00AE2787" w:rsidP="0058045D">
      <w:pPr>
        <w:pStyle w:val="Heading2"/>
      </w:pPr>
      <w:bookmarkStart w:id="5314" w:name="_Toc104305774"/>
      <w:bookmarkStart w:id="5315" w:name="_Toc207309751"/>
      <w:r>
        <w:t>Partial exercising of rights</w:t>
      </w:r>
      <w:bookmarkEnd w:id="5314"/>
      <w:bookmarkEnd w:id="5315"/>
    </w:p>
    <w:p w14:paraId="18B658BF" w14:textId="7D20E3E7" w:rsidR="00AE2787" w:rsidRPr="00874C6C" w:rsidRDefault="00AE2787" w:rsidP="00AE2787">
      <w:pPr>
        <w:pStyle w:val="Indent2"/>
      </w:pPr>
      <w:r>
        <w:t>U</w:t>
      </w:r>
      <w:r w:rsidRPr="00FE230B">
        <w:t xml:space="preserve">nless this </w:t>
      </w:r>
      <w:r>
        <w:t>agreement</w:t>
      </w:r>
      <w:r w:rsidRPr="00FE230B">
        <w:t xml:space="preserve"> expressly states otherwise</w:t>
      </w:r>
      <w:r>
        <w:t>,</w:t>
      </w:r>
      <w:r w:rsidRPr="00FE230B" w:rsidDel="00C351E9">
        <w:t xml:space="preserve"> </w:t>
      </w:r>
      <w:r>
        <w:t>if a party</w:t>
      </w:r>
      <w:r w:rsidRPr="00FE230B">
        <w:t xml:space="preserve"> does not exercise a right, power or remedy in connection with this </w:t>
      </w:r>
      <w:r>
        <w:t xml:space="preserve">agreement </w:t>
      </w:r>
      <w:r w:rsidRPr="00FE230B">
        <w:t xml:space="preserve">fully or at a given time, </w:t>
      </w:r>
      <w:r w:rsidR="00B97B07">
        <w:t>it</w:t>
      </w:r>
      <w:r w:rsidR="00B97B07" w:rsidRPr="00FE230B">
        <w:t xml:space="preserve"> </w:t>
      </w:r>
      <w:r w:rsidRPr="00FE230B">
        <w:t>may still exercise it later</w:t>
      </w:r>
      <w:r>
        <w:t>.</w:t>
      </w:r>
    </w:p>
    <w:p w14:paraId="2D586E2D" w14:textId="6563F099" w:rsidR="00AE2787" w:rsidRDefault="00AE2787" w:rsidP="0058045D">
      <w:pPr>
        <w:pStyle w:val="Heading2"/>
      </w:pPr>
      <w:bookmarkStart w:id="5316" w:name="_Toc180560320"/>
      <w:bookmarkStart w:id="5317" w:name="_Toc180560549"/>
      <w:bookmarkStart w:id="5318" w:name="_Toc104305776"/>
      <w:bookmarkStart w:id="5319" w:name="_Ref165040973"/>
      <w:bookmarkStart w:id="5320" w:name="_Toc207309752"/>
      <w:bookmarkEnd w:id="5316"/>
      <w:bookmarkEnd w:id="5317"/>
      <w:r>
        <w:t>Remedies cumulative</w:t>
      </w:r>
      <w:bookmarkEnd w:id="5318"/>
      <w:bookmarkEnd w:id="5319"/>
      <w:bookmarkEnd w:id="5320"/>
    </w:p>
    <w:p w14:paraId="3487765C" w14:textId="77777777" w:rsidR="00AE2787" w:rsidRPr="00874C6C" w:rsidRDefault="00AE2787" w:rsidP="00AE2787">
      <w:pPr>
        <w:pStyle w:val="Indent2"/>
      </w:pPr>
      <w:r w:rsidRPr="00FE230B">
        <w:t>The rights, powers and remedies</w:t>
      </w:r>
      <w:r w:rsidRPr="00874C6C">
        <w:rPr>
          <w:b/>
        </w:rPr>
        <w:t xml:space="preserve"> </w:t>
      </w:r>
      <w:r w:rsidRPr="00874C6C">
        <w:t>i</w:t>
      </w:r>
      <w:r w:rsidRPr="00FE230B">
        <w:t xml:space="preserve">n connection with this </w:t>
      </w:r>
      <w:r>
        <w:t>agreement</w:t>
      </w:r>
      <w:r w:rsidRPr="00FE230B">
        <w:t xml:space="preserve"> are in addition to other rights, powers and remedies given </w:t>
      </w:r>
      <w:r>
        <w:t>in any other agreement or</w:t>
      </w:r>
      <w:r w:rsidRPr="00FE230B">
        <w:t xml:space="preserve"> by </w:t>
      </w:r>
      <w:r w:rsidR="004A73AB">
        <w:t>L</w:t>
      </w:r>
      <w:r w:rsidRPr="00FE230B">
        <w:t xml:space="preserve">aw independently of this </w:t>
      </w:r>
      <w:r>
        <w:t>agreement.</w:t>
      </w:r>
    </w:p>
    <w:p w14:paraId="4BD4823C" w14:textId="77777777" w:rsidR="00AE2787" w:rsidRDefault="00AE2787" w:rsidP="0058045D">
      <w:pPr>
        <w:pStyle w:val="Heading2"/>
      </w:pPr>
      <w:bookmarkStart w:id="5321" w:name="_Toc104305777"/>
      <w:bookmarkStart w:id="5322" w:name="_Toc207309753"/>
      <w:bookmarkEnd w:id="5306"/>
      <w:bookmarkEnd w:id="5307"/>
      <w:bookmarkEnd w:id="5308"/>
      <w:bookmarkEnd w:id="5309"/>
      <w:r>
        <w:t>Indemnities and reimbursement obligations</w:t>
      </w:r>
      <w:bookmarkEnd w:id="5321"/>
      <w:bookmarkEnd w:id="5322"/>
    </w:p>
    <w:p w14:paraId="32951755" w14:textId="77777777" w:rsidR="00AE2787" w:rsidRPr="00354E1C" w:rsidRDefault="00AE2787" w:rsidP="006B6899">
      <w:pPr>
        <w:pStyle w:val="Indent2"/>
        <w:keepNext/>
      </w:pPr>
      <w:r w:rsidRPr="00354E1C">
        <w:t>Any indemnity, reimbursement</w:t>
      </w:r>
      <w:r>
        <w:t>, payment</w:t>
      </w:r>
      <w:r w:rsidRPr="00354E1C">
        <w:t xml:space="preserve"> or similar obligation in this </w:t>
      </w:r>
      <w:r>
        <w:t>agreement:</w:t>
      </w:r>
    </w:p>
    <w:p w14:paraId="1CACE20F" w14:textId="1E6EC8D1" w:rsidR="00AE2787" w:rsidRPr="00354E1C" w:rsidRDefault="00AE2787" w:rsidP="0058045D">
      <w:pPr>
        <w:pStyle w:val="Heading3"/>
      </w:pPr>
      <w:r w:rsidRPr="00354E1C">
        <w:t>is a continuing obligation</w:t>
      </w:r>
      <w:r w:rsidR="003F46B7">
        <w:t>,</w:t>
      </w:r>
      <w:r w:rsidRPr="00354E1C">
        <w:t xml:space="preserve"> despite </w:t>
      </w:r>
      <w:r>
        <w:t xml:space="preserve">the </w:t>
      </w:r>
      <w:r w:rsidRPr="00354E1C">
        <w:t xml:space="preserve">satisfaction of any payment or </w:t>
      </w:r>
      <w:r>
        <w:t xml:space="preserve">other </w:t>
      </w:r>
      <w:r w:rsidRPr="00354E1C">
        <w:t xml:space="preserve">obligation in connection with this </w:t>
      </w:r>
      <w:r>
        <w:t>agreement</w:t>
      </w:r>
      <w:r w:rsidRPr="00354E1C">
        <w:t xml:space="preserve">, </w:t>
      </w:r>
      <w:r>
        <w:t xml:space="preserve">any </w:t>
      </w:r>
      <w:r w:rsidRPr="00354E1C">
        <w:t xml:space="preserve">settlement or </w:t>
      </w:r>
      <w:r>
        <w:t xml:space="preserve">any </w:t>
      </w:r>
      <w:r w:rsidRPr="00354E1C">
        <w:t>other thing</w:t>
      </w:r>
      <w:r>
        <w:t>;</w:t>
      </w:r>
    </w:p>
    <w:p w14:paraId="2F692C8C" w14:textId="77777777" w:rsidR="00AE2787" w:rsidRPr="00354E1C" w:rsidRDefault="00AE2787" w:rsidP="0058045D">
      <w:pPr>
        <w:pStyle w:val="Heading3"/>
      </w:pPr>
      <w:r w:rsidRPr="00354E1C">
        <w:t xml:space="preserve">is independent of any other obligations under this </w:t>
      </w:r>
      <w:r>
        <w:t>agreement or any other agreement</w:t>
      </w:r>
      <w:r w:rsidRPr="00354E1C">
        <w:t>; and</w:t>
      </w:r>
    </w:p>
    <w:p w14:paraId="70DEBB31" w14:textId="77777777" w:rsidR="00AE2787" w:rsidRPr="00354E1C" w:rsidRDefault="00AE2787" w:rsidP="0058045D">
      <w:pPr>
        <w:pStyle w:val="Heading3"/>
      </w:pPr>
      <w:r>
        <w:t xml:space="preserve">continues </w:t>
      </w:r>
      <w:r w:rsidRPr="00354E1C">
        <w:t xml:space="preserve">after this </w:t>
      </w:r>
      <w:r>
        <w:t>agreement,</w:t>
      </w:r>
      <w:r w:rsidRPr="00354E1C">
        <w:t xml:space="preserve"> </w:t>
      </w:r>
      <w:r>
        <w:t xml:space="preserve">or any obligation arising under it, </w:t>
      </w:r>
      <w:r w:rsidRPr="00354E1C">
        <w:t>ends.</w:t>
      </w:r>
    </w:p>
    <w:p w14:paraId="2BC039D1" w14:textId="77777777" w:rsidR="00AE2787" w:rsidRPr="00896225" w:rsidRDefault="00AE2787" w:rsidP="00AE2787">
      <w:pPr>
        <w:pStyle w:val="Indent2"/>
      </w:pPr>
      <w:r w:rsidRPr="00354E1C">
        <w:t xml:space="preserve">It is not necessary for a party to incur expense or make payment before enforcing a right of indemnity in connection with this </w:t>
      </w:r>
      <w:r>
        <w:t>agreement.</w:t>
      </w:r>
    </w:p>
    <w:p w14:paraId="0876D9E0" w14:textId="77777777" w:rsidR="00AE2787" w:rsidRPr="00354E1C" w:rsidRDefault="00AE2787" w:rsidP="0058045D">
      <w:pPr>
        <w:pStyle w:val="Heading2"/>
      </w:pPr>
      <w:bookmarkStart w:id="5323" w:name="_Toc417717431"/>
      <w:bookmarkStart w:id="5324" w:name="_Toc421606264"/>
      <w:bookmarkStart w:id="5325" w:name="_Toc422279410"/>
      <w:bookmarkStart w:id="5326" w:name="_Toc426882956"/>
      <w:bookmarkStart w:id="5327" w:name="_Toc431966565"/>
      <w:bookmarkStart w:id="5328" w:name="_Toc436040685"/>
      <w:bookmarkStart w:id="5329" w:name="_Toc444928164"/>
      <w:bookmarkStart w:id="5330" w:name="_Toc444937674"/>
      <w:bookmarkStart w:id="5331" w:name="_Toc457616926"/>
      <w:bookmarkStart w:id="5332" w:name="_Toc498225310"/>
      <w:bookmarkStart w:id="5333" w:name="_Toc498234515"/>
      <w:bookmarkStart w:id="5334" w:name="_Toc15629671"/>
      <w:bookmarkStart w:id="5335" w:name="_Toc353291890"/>
      <w:bookmarkStart w:id="5336" w:name="_Toc369022532"/>
      <w:bookmarkStart w:id="5337" w:name="_Toc428545405"/>
      <w:bookmarkStart w:id="5338" w:name="_Toc492504895"/>
      <w:bookmarkStart w:id="5339" w:name="_Toc515359148"/>
      <w:bookmarkStart w:id="5340" w:name="_Toc515470306"/>
      <w:bookmarkStart w:id="5341" w:name="_Toc104238892"/>
      <w:bookmarkStart w:id="5342" w:name="_Toc104305778"/>
      <w:bookmarkStart w:id="5343" w:name="_Toc207309754"/>
      <w:r w:rsidRPr="00354E1C">
        <w:t xml:space="preserve">Supervening </w:t>
      </w:r>
      <w:bookmarkEnd w:id="5323"/>
      <w:bookmarkEnd w:id="5324"/>
      <w:bookmarkEnd w:id="5325"/>
      <w:bookmarkEnd w:id="5326"/>
      <w:bookmarkEnd w:id="5327"/>
      <w:bookmarkEnd w:id="5328"/>
      <w:bookmarkEnd w:id="5329"/>
      <w:bookmarkEnd w:id="5330"/>
      <w:bookmarkEnd w:id="5331"/>
      <w:bookmarkEnd w:id="5332"/>
      <w:bookmarkEnd w:id="5333"/>
      <w:bookmarkEnd w:id="5334"/>
      <w:r>
        <w:t>L</w:t>
      </w:r>
      <w:r w:rsidRPr="00354E1C">
        <w:t>aw</w:t>
      </w:r>
      <w:bookmarkEnd w:id="5335"/>
      <w:bookmarkEnd w:id="5336"/>
      <w:bookmarkEnd w:id="5337"/>
      <w:bookmarkEnd w:id="5338"/>
      <w:bookmarkEnd w:id="5339"/>
      <w:bookmarkEnd w:id="5340"/>
      <w:bookmarkEnd w:id="5341"/>
      <w:bookmarkEnd w:id="5342"/>
      <w:bookmarkEnd w:id="5343"/>
    </w:p>
    <w:p w14:paraId="52911CC6" w14:textId="7ADD9073" w:rsidR="00AE2787" w:rsidRPr="00354E1C" w:rsidRDefault="00AE2787" w:rsidP="00AE2787">
      <w:pPr>
        <w:pStyle w:val="Indent2"/>
      </w:pPr>
      <w:r>
        <w:t>Subject to clause</w:t>
      </w:r>
      <w:r w:rsidR="00CD24E1">
        <w:t xml:space="preserve"> </w:t>
      </w:r>
      <w:r w:rsidR="00CD24E1">
        <w:fldChar w:fldCharType="begin"/>
      </w:r>
      <w:r w:rsidR="00CD24E1">
        <w:instrText xml:space="preserve"> REF _Ref467049976 \r \h </w:instrText>
      </w:r>
      <w:r w:rsidR="00CD24E1">
        <w:fldChar w:fldCharType="separate"/>
      </w:r>
      <w:r w:rsidR="002E5C6A">
        <w:t>21</w:t>
      </w:r>
      <w:r w:rsidR="00CD24E1">
        <w:fldChar w:fldCharType="end"/>
      </w:r>
      <w:r w:rsidR="00CD24E1">
        <w:t xml:space="preserve"> (“</w:t>
      </w:r>
      <w:r w:rsidR="00CD24E1">
        <w:fldChar w:fldCharType="begin"/>
      </w:r>
      <w:r w:rsidR="00CD24E1">
        <w:instrText xml:space="preserve"> REF _Ref467049976 \h </w:instrText>
      </w:r>
      <w:r w:rsidR="00CD24E1">
        <w:fldChar w:fldCharType="separate"/>
      </w:r>
      <w:r w:rsidR="002E5C6A">
        <w:t>Change in Law</w:t>
      </w:r>
      <w:r w:rsidR="00CD24E1">
        <w:fldChar w:fldCharType="end"/>
      </w:r>
      <w:r w:rsidR="00CD24E1">
        <w:t>”)</w:t>
      </w:r>
      <w:r>
        <w:t>, a</w:t>
      </w:r>
      <w:r w:rsidRPr="00354E1C">
        <w:t xml:space="preserve">ny present or future </w:t>
      </w:r>
      <w:r w:rsidR="00CD24E1">
        <w:t>L</w:t>
      </w:r>
      <w:r w:rsidRPr="00354E1C">
        <w:t xml:space="preserve">aw </w:t>
      </w:r>
      <w:r w:rsidR="003F46B7">
        <w:t>that</w:t>
      </w:r>
      <w:r w:rsidR="003F46B7" w:rsidRPr="00354E1C">
        <w:t xml:space="preserve"> </w:t>
      </w:r>
      <w:r w:rsidRPr="00354E1C">
        <w:t xml:space="preserve">operates to vary the obligations of a party in connection with </w:t>
      </w:r>
      <w:r>
        <w:t>this agreement</w:t>
      </w:r>
      <w:r w:rsidRPr="00354E1C">
        <w:t xml:space="preserve"> with the result that another party’s rights, powers or remedies are adversely affected (including, by way of delay or postponement)</w:t>
      </w:r>
      <w:r w:rsidR="003F46B7">
        <w:t>,</w:t>
      </w:r>
      <w:r w:rsidRPr="00354E1C">
        <w:t xml:space="preserve"> is excluded except to the extent that its exclusion is prohibited or rendered ineffective by </w:t>
      </w:r>
      <w:r w:rsidR="00CD24E1">
        <w:t>L</w:t>
      </w:r>
      <w:r w:rsidRPr="00354E1C">
        <w:t>aw</w:t>
      </w:r>
      <w:r>
        <w:t>.</w:t>
      </w:r>
    </w:p>
    <w:p w14:paraId="2409ACD3" w14:textId="77777777" w:rsidR="00AE2787" w:rsidRDefault="00AE2787" w:rsidP="0058045D">
      <w:pPr>
        <w:pStyle w:val="Heading2"/>
      </w:pPr>
      <w:bookmarkStart w:id="5344" w:name="_Toc104305779"/>
      <w:bookmarkStart w:id="5345" w:name="_Toc207309755"/>
      <w:bookmarkStart w:id="5346" w:name="_Toc492504896"/>
      <w:bookmarkStart w:id="5347" w:name="_Toc515359149"/>
      <w:bookmarkStart w:id="5348" w:name="_Toc515470307"/>
      <w:bookmarkStart w:id="5349" w:name="_Toc104238893"/>
      <w:r>
        <w:t>Counterparts</w:t>
      </w:r>
      <w:bookmarkEnd w:id="5344"/>
      <w:bookmarkEnd w:id="5345"/>
    </w:p>
    <w:p w14:paraId="2237ECC7" w14:textId="643C01BA" w:rsidR="00AE2787" w:rsidRPr="00896225" w:rsidRDefault="00AE2787" w:rsidP="00AE2787">
      <w:pPr>
        <w:pStyle w:val="Indent2"/>
      </w:pPr>
      <w:r>
        <w:t>This agreement</w:t>
      </w:r>
      <w:r w:rsidRPr="00354E1C">
        <w:t xml:space="preserve"> may consist of a number of copies, each signed by</w:t>
      </w:r>
      <w:r>
        <w:t xml:space="preserve"> one</w:t>
      </w:r>
      <w:r w:rsidRPr="00354E1C">
        <w:t xml:space="preserve"> or more parties to it. If so, the signed copies are</w:t>
      </w:r>
      <w:r>
        <w:t xml:space="preserve"> treated as making up a single </w:t>
      </w:r>
      <w:r w:rsidRPr="00354E1C">
        <w:t>document</w:t>
      </w:r>
      <w:r>
        <w:t>.</w:t>
      </w:r>
    </w:p>
    <w:p w14:paraId="568344C4" w14:textId="77777777" w:rsidR="00AE2787" w:rsidRDefault="2C388DF0" w:rsidP="0058045D">
      <w:pPr>
        <w:pStyle w:val="Heading2"/>
      </w:pPr>
      <w:bookmarkStart w:id="5350" w:name="_Toc104305780"/>
      <w:bookmarkStart w:id="5351" w:name="_Toc207309756"/>
      <w:bookmarkStart w:id="5352" w:name="_Toc86673492"/>
      <w:bookmarkStart w:id="5353" w:name="_Toc104238909"/>
      <w:bookmarkEnd w:id="5346"/>
      <w:bookmarkEnd w:id="5347"/>
      <w:bookmarkEnd w:id="5348"/>
      <w:bookmarkEnd w:id="5349"/>
      <w:r>
        <w:t>Entire agreement</w:t>
      </w:r>
      <w:bookmarkEnd w:id="5350"/>
      <w:bookmarkEnd w:id="5351"/>
    </w:p>
    <w:p w14:paraId="04F1EF12" w14:textId="78CF16B2" w:rsidR="00AE2787" w:rsidRPr="006133C2" w:rsidRDefault="00AE2787" w:rsidP="00AE2787">
      <w:pPr>
        <w:pStyle w:val="Indent2"/>
      </w:pPr>
      <w:r>
        <w:t>This agreement</w:t>
      </w:r>
      <w:r w:rsidRPr="00354E1C">
        <w:t xml:space="preserve"> constitute</w:t>
      </w:r>
      <w:r w:rsidR="005D76CA">
        <w:t>s</w:t>
      </w:r>
      <w:r w:rsidRPr="00354E1C">
        <w:t xml:space="preserve"> the entire agreement of the parties </w:t>
      </w:r>
      <w:r w:rsidR="00B93C06">
        <w:t>o</w:t>
      </w:r>
      <w:r w:rsidR="004C03AC">
        <w:t>n</w:t>
      </w:r>
      <w:r w:rsidRPr="00354E1C">
        <w:t xml:space="preserve"> </w:t>
      </w:r>
      <w:r w:rsidR="003F46B7">
        <w:t xml:space="preserve">its </w:t>
      </w:r>
      <w:r w:rsidRPr="00354E1C">
        <w:t>subject matter and supersede</w:t>
      </w:r>
      <w:r w:rsidR="0021175C">
        <w:t>s</w:t>
      </w:r>
      <w:r w:rsidRPr="00354E1C">
        <w:t xml:space="preserve"> all </w:t>
      </w:r>
      <w:r w:rsidR="00B93C06">
        <w:t xml:space="preserve">prior </w:t>
      </w:r>
      <w:r w:rsidRPr="00354E1C">
        <w:t>agreements, understandings and negotiations on that subject matter</w:t>
      </w:r>
      <w:r w:rsidR="0021175C">
        <w:t xml:space="preserve">, </w:t>
      </w:r>
      <w:r w:rsidR="0021175C" w:rsidRPr="004C39A4">
        <w:t>provided that this agreement does not remove any rights</w:t>
      </w:r>
      <w:r w:rsidR="0021175C" w:rsidRPr="00DA0294">
        <w:t xml:space="preserve"> of the Commonwealth or obligations of Project Operator or its </w:t>
      </w:r>
      <w:r w:rsidR="00FD19D3">
        <w:t>A</w:t>
      </w:r>
      <w:r w:rsidR="0021175C" w:rsidRPr="00DA0294">
        <w:t>ssociates</w:t>
      </w:r>
      <w:r w:rsidR="0021175C" w:rsidRPr="004C39A4">
        <w:t xml:space="preserve"> arising under </w:t>
      </w:r>
      <w:r w:rsidR="0021175C">
        <w:t>any te</w:t>
      </w:r>
      <w:r w:rsidR="0021175C" w:rsidRPr="004C39A4">
        <w:t xml:space="preserve">nder </w:t>
      </w:r>
      <w:r w:rsidR="0021175C">
        <w:t>p</w:t>
      </w:r>
      <w:r w:rsidR="0021175C" w:rsidRPr="004C39A4">
        <w:t xml:space="preserve">rocess </w:t>
      </w:r>
      <w:r w:rsidR="0021175C">
        <w:t>d</w:t>
      </w:r>
      <w:r w:rsidR="0021175C" w:rsidRPr="004C39A4">
        <w:t xml:space="preserve">eed or </w:t>
      </w:r>
      <w:r w:rsidR="0021175C">
        <w:t>t</w:t>
      </w:r>
      <w:r w:rsidR="0021175C" w:rsidRPr="004C39A4">
        <w:t xml:space="preserve">enderer </w:t>
      </w:r>
      <w:r w:rsidR="0021175C">
        <w:t>d</w:t>
      </w:r>
      <w:r w:rsidR="0021175C" w:rsidRPr="004C39A4">
        <w:t xml:space="preserve">eclaration </w:t>
      </w:r>
      <w:r w:rsidR="0021175C" w:rsidRPr="00DA0294">
        <w:t xml:space="preserve">that were </w:t>
      </w:r>
      <w:r w:rsidR="0021175C" w:rsidRPr="004C39A4">
        <w:t>provided as part of the Tender</w:t>
      </w:r>
      <w:r w:rsidR="003F46B7">
        <w:t xml:space="preserve"> or Tender Process</w:t>
      </w:r>
      <w:r>
        <w:t>.</w:t>
      </w:r>
    </w:p>
    <w:p w14:paraId="506D2D2D" w14:textId="77777777" w:rsidR="00AE2787" w:rsidRDefault="2C388DF0" w:rsidP="0058045D">
      <w:pPr>
        <w:pStyle w:val="Heading2"/>
      </w:pPr>
      <w:bookmarkStart w:id="5354" w:name="_Toc104305781"/>
      <w:bookmarkStart w:id="5355" w:name="_Toc207309757"/>
      <w:r>
        <w:t>No liability for loss</w:t>
      </w:r>
      <w:bookmarkEnd w:id="5354"/>
      <w:bookmarkEnd w:id="5355"/>
    </w:p>
    <w:p w14:paraId="076AF490" w14:textId="3BF127CA" w:rsidR="00AE2787" w:rsidRPr="007F6AB9" w:rsidRDefault="00AE2787" w:rsidP="00AE2787">
      <w:pPr>
        <w:pStyle w:val="Indent2"/>
      </w:pPr>
      <w:r>
        <w:t>Unless this agreement expressly states otherwise,</w:t>
      </w:r>
      <w:r w:rsidRPr="00354E1C">
        <w:t xml:space="preserve"> </w:t>
      </w:r>
      <w:r>
        <w:t>a party is not</w:t>
      </w:r>
      <w:r w:rsidRPr="00354E1C">
        <w:t xml:space="preserve"> liable for any </w:t>
      </w:r>
      <w:r w:rsidR="003F46B7">
        <w:t>L</w:t>
      </w:r>
      <w:r w:rsidRPr="00354E1C">
        <w:t>oss</w:t>
      </w:r>
      <w:r w:rsidR="003F46B7">
        <w:t xml:space="preserve"> or</w:t>
      </w:r>
      <w:r w:rsidR="003F46B7" w:rsidRPr="00354E1C">
        <w:t xml:space="preserve"> </w:t>
      </w:r>
      <w:r w:rsidRPr="00354E1C">
        <w:t xml:space="preserve">liability arising in connection with the exercise or attempted exercise of, failure to exercise, or delay in exercising, a right, power or remedy in connection with </w:t>
      </w:r>
      <w:r>
        <w:t>this agreement.</w:t>
      </w:r>
    </w:p>
    <w:p w14:paraId="2D34EA4B" w14:textId="77777777" w:rsidR="00AE2787" w:rsidRDefault="2C388DF0" w:rsidP="0058045D">
      <w:pPr>
        <w:pStyle w:val="Heading2"/>
      </w:pPr>
      <w:bookmarkStart w:id="5356" w:name="_Toc104305782"/>
      <w:bookmarkStart w:id="5357" w:name="_Toc207309758"/>
      <w:r>
        <w:t>Rules of construction</w:t>
      </w:r>
      <w:bookmarkEnd w:id="5356"/>
      <w:bookmarkEnd w:id="5357"/>
    </w:p>
    <w:p w14:paraId="620CF8A4" w14:textId="77777777" w:rsidR="00AE2787" w:rsidRPr="007F6AB9" w:rsidRDefault="00AE2787" w:rsidP="00AE2787">
      <w:pPr>
        <w:pStyle w:val="Indent2"/>
      </w:pPr>
      <w:r w:rsidRPr="00354E1C">
        <w:t>No rule of construction applies to the disadvantage of a party because that party was responsible for the preparation of</w:t>
      </w:r>
      <w:r>
        <w:t>, or seeks to rely on,</w:t>
      </w:r>
      <w:r w:rsidRPr="00354E1C">
        <w:t xml:space="preserve"> </w:t>
      </w:r>
      <w:r>
        <w:t>this agreement</w:t>
      </w:r>
      <w:r w:rsidRPr="00354E1C">
        <w:t xml:space="preserve"> or any part of it</w:t>
      </w:r>
      <w:r>
        <w:t>.</w:t>
      </w:r>
    </w:p>
    <w:p w14:paraId="26AB8AAA" w14:textId="77777777" w:rsidR="00AE2787" w:rsidRDefault="2C388DF0" w:rsidP="0058045D">
      <w:pPr>
        <w:pStyle w:val="Heading2"/>
      </w:pPr>
      <w:bookmarkStart w:id="5358" w:name="_Toc104305783"/>
      <w:bookmarkStart w:id="5359" w:name="_Toc207309759"/>
      <w:r>
        <w:t>Severability</w:t>
      </w:r>
      <w:bookmarkEnd w:id="5358"/>
      <w:bookmarkEnd w:id="5359"/>
    </w:p>
    <w:p w14:paraId="1DF3627E" w14:textId="20D847B9" w:rsidR="00AE2787" w:rsidRPr="00B005FE" w:rsidRDefault="00AE2787" w:rsidP="00AE2787">
      <w:pPr>
        <w:pStyle w:val="Indent2"/>
      </w:pPr>
      <w:r>
        <w:t>If the whole or any part of a provision of this agreement is void, unenforceable or illegal in a jurisdiction</w:t>
      </w:r>
      <w:r w:rsidR="006C2A01">
        <w:t>,</w:t>
      </w:r>
      <w:r>
        <w:t xml:space="preserve"> </w:t>
      </w:r>
      <w:r w:rsidR="006C3237">
        <w:t xml:space="preserve">then </w:t>
      </w:r>
      <w:r>
        <w:t>it is severed for that jurisdiction. The remainder of this agreement has full force and effect and the validity or enforceability of that provision in any other jurisdiction is not affected. This clause has no effect if the severance alters the basic nature of this agreement or is contrary to public policy.</w:t>
      </w:r>
    </w:p>
    <w:p w14:paraId="1D16413C" w14:textId="77777777" w:rsidR="00AE2787" w:rsidRDefault="2C388DF0" w:rsidP="0058045D">
      <w:pPr>
        <w:pStyle w:val="Heading2"/>
      </w:pPr>
      <w:bookmarkStart w:id="5360" w:name="_Toc104305784"/>
      <w:bookmarkStart w:id="5361" w:name="_Toc207309760"/>
      <w:r>
        <w:t>Governing Law and jurisdiction</w:t>
      </w:r>
      <w:bookmarkEnd w:id="5360"/>
      <w:bookmarkEnd w:id="5361"/>
    </w:p>
    <w:p w14:paraId="77E66493" w14:textId="77777777" w:rsidR="002068D0" w:rsidRDefault="00AE2787" w:rsidP="002068D0">
      <w:pPr>
        <w:pStyle w:val="Heading3"/>
      </w:pPr>
      <w:r w:rsidRPr="001A1F29">
        <w:t xml:space="preserve">The </w:t>
      </w:r>
      <w:r w:rsidR="004A73AB">
        <w:t>L</w:t>
      </w:r>
      <w:r w:rsidRPr="001A1F29">
        <w:t xml:space="preserve">aw in force in </w:t>
      </w:r>
      <w:r w:rsidR="001117F7">
        <w:t xml:space="preserve">the </w:t>
      </w:r>
      <w:r w:rsidR="00B12BEB">
        <w:t>Relevant Jurisdiction</w:t>
      </w:r>
      <w:r>
        <w:t xml:space="preserve"> </w:t>
      </w:r>
      <w:r w:rsidRPr="001A1F29">
        <w:t xml:space="preserve">governs </w:t>
      </w:r>
      <w:r>
        <w:t>this agreement.</w:t>
      </w:r>
    </w:p>
    <w:p w14:paraId="79D15CE1" w14:textId="3BA6A7DF" w:rsidR="00AE2787" w:rsidRDefault="00AE2787" w:rsidP="008F660B">
      <w:pPr>
        <w:pStyle w:val="Heading3"/>
        <w:numPr>
          <w:ilvl w:val="2"/>
          <w:numId w:val="84"/>
        </w:numPr>
      </w:pPr>
      <w:r>
        <w:t xml:space="preserve">The parties submit to the exclusive jurisdiction of the courts of </w:t>
      </w:r>
      <w:r w:rsidR="001117F7">
        <w:t xml:space="preserve">the </w:t>
      </w:r>
      <w:r w:rsidR="00B12BEB">
        <w:t>Relevant Jurisdiction</w:t>
      </w:r>
      <w:r>
        <w:t>.</w:t>
      </w:r>
    </w:p>
    <w:p w14:paraId="6FE52BE1" w14:textId="77777777" w:rsidR="00AE2787" w:rsidRDefault="2C388DF0" w:rsidP="0058045D">
      <w:pPr>
        <w:pStyle w:val="Heading2"/>
      </w:pPr>
      <w:bookmarkStart w:id="5362" w:name="_Toc104305785"/>
      <w:bookmarkStart w:id="5363" w:name="_Toc207309761"/>
      <w:r>
        <w:t>Electronic execution</w:t>
      </w:r>
      <w:bookmarkEnd w:id="5352"/>
      <w:bookmarkEnd w:id="5353"/>
      <w:bookmarkEnd w:id="5362"/>
      <w:bookmarkEnd w:id="5363"/>
      <w:r>
        <w:t xml:space="preserve"> </w:t>
      </w:r>
    </w:p>
    <w:p w14:paraId="45D15897" w14:textId="061D1EAE" w:rsidR="00AE2787" w:rsidRDefault="00AE2787" w:rsidP="0058045D">
      <w:pPr>
        <w:pStyle w:val="Heading3"/>
      </w:pPr>
      <w:r>
        <w:t xml:space="preserve">A party may execute this agreement as well as modifications to it by electronic means (including by electronic signature or by </w:t>
      </w:r>
      <w:r w:rsidR="003F46B7">
        <w:t xml:space="preserve">an </w:t>
      </w:r>
      <w:r>
        <w:t xml:space="preserve">email </w:t>
      </w:r>
      <w:r w:rsidR="003F46B7">
        <w:t xml:space="preserve">attaching </w:t>
      </w:r>
      <w:r>
        <w:t xml:space="preserve">a signed document in PDF or scanned format). </w:t>
      </w:r>
    </w:p>
    <w:p w14:paraId="0B406A75" w14:textId="262EAD70" w:rsidR="00AE2787" w:rsidRPr="00531AB8" w:rsidRDefault="00AE2787" w:rsidP="0058045D">
      <w:pPr>
        <w:pStyle w:val="Heading3"/>
      </w:pPr>
      <w:r w:rsidRPr="00531AB8">
        <w:t xml:space="preserve">The parties agree and intend that such signature by electronic means or by email </w:t>
      </w:r>
      <w:r w:rsidR="003F46B7">
        <w:t>attaching</w:t>
      </w:r>
      <w:r w:rsidRPr="00531AB8">
        <w:t xml:space="preserve"> </w:t>
      </w:r>
      <w:r w:rsidR="003F46B7">
        <w:t xml:space="preserve">a signed document in </w:t>
      </w:r>
      <w:r w:rsidRPr="00531AB8">
        <w:t xml:space="preserve">PDF or scanned format </w:t>
      </w:r>
      <w:r>
        <w:t>will</w:t>
      </w:r>
      <w:r w:rsidRPr="00531AB8">
        <w:t xml:space="preserve"> bind the party so signing with the same effect as though the signature were an original signature. </w:t>
      </w:r>
    </w:p>
    <w:p w14:paraId="6AA884A8" w14:textId="77777777" w:rsidR="00AE2787" w:rsidRPr="00531AB8" w:rsidRDefault="00AE2787" w:rsidP="00314F33">
      <w:pPr>
        <w:pStyle w:val="Heading3"/>
        <w:keepNext/>
      </w:pPr>
      <w:r w:rsidRPr="00531AB8">
        <w:t xml:space="preserve">The parties to </w:t>
      </w:r>
      <w:r>
        <w:t>this agreement</w:t>
      </w:r>
      <w:r w:rsidRPr="00531AB8">
        <w:t xml:space="preserve"> acknowledge and agree that: </w:t>
      </w:r>
    </w:p>
    <w:p w14:paraId="5DF612C5" w14:textId="77777777" w:rsidR="00AE2787" w:rsidRPr="00531AB8" w:rsidRDefault="2C388DF0" w:rsidP="0058045D">
      <w:pPr>
        <w:pStyle w:val="Heading4"/>
      </w:pPr>
      <w:r>
        <w:t>they consent to the use of the electronic signatures and to the agreement proceeding by electronic means; and</w:t>
      </w:r>
    </w:p>
    <w:p w14:paraId="443B056E" w14:textId="77777777" w:rsidR="00222857" w:rsidRDefault="2C388DF0" w:rsidP="0058045D">
      <w:pPr>
        <w:pStyle w:val="Heading4"/>
      </w:pPr>
      <w:r>
        <w:t xml:space="preserve">they intend to be legally bound by the terms of the agreement on which the electronic signature(s) has or have been placed. </w:t>
      </w:r>
    </w:p>
    <w:p w14:paraId="274C1C16" w14:textId="77777777" w:rsidR="0021175C" w:rsidRDefault="0021175C" w:rsidP="0058045D">
      <w:pPr>
        <w:pStyle w:val="Heading2"/>
      </w:pPr>
      <w:bookmarkStart w:id="5364" w:name="_Toc164887518"/>
      <w:bookmarkStart w:id="5365" w:name="_Ref172461684"/>
      <w:bookmarkStart w:id="5366" w:name="_Ref204075815"/>
      <w:bookmarkStart w:id="5367" w:name="_Ref204075826"/>
      <w:bookmarkStart w:id="5368" w:name="_Toc207309762"/>
      <w:r>
        <w:t>Directions as to management of this agreement</w:t>
      </w:r>
      <w:bookmarkEnd w:id="5364"/>
      <w:bookmarkEnd w:id="5365"/>
      <w:bookmarkEnd w:id="5366"/>
      <w:bookmarkEnd w:id="5367"/>
      <w:bookmarkEnd w:id="5368"/>
    </w:p>
    <w:p w14:paraId="2DDE4AA4" w14:textId="77777777" w:rsidR="009F2125" w:rsidRDefault="0021175C" w:rsidP="0058045D">
      <w:pPr>
        <w:pStyle w:val="Heading3"/>
        <w:numPr>
          <w:ilvl w:val="0"/>
          <w:numId w:val="0"/>
        </w:numPr>
        <w:ind w:left="737"/>
      </w:pPr>
      <w:r>
        <w:t xml:space="preserve">The Commonwealth may, from time to time, provide to Project Operator reasonable </w:t>
      </w:r>
      <w:r w:rsidRPr="00744B16">
        <w:t xml:space="preserve">guidance in relation to </w:t>
      </w:r>
      <w:r>
        <w:t>the management of this agreement, including</w:t>
      </w:r>
      <w:r w:rsidR="009F2125">
        <w:t>:</w:t>
      </w:r>
    </w:p>
    <w:p w14:paraId="43E23677" w14:textId="77777777" w:rsidR="009F2125" w:rsidRDefault="0021175C" w:rsidP="0058045D">
      <w:pPr>
        <w:pStyle w:val="Heading3"/>
      </w:pPr>
      <w:r>
        <w:t xml:space="preserve">information </w:t>
      </w:r>
      <w:r w:rsidRPr="00744B16">
        <w:t>required</w:t>
      </w:r>
      <w:r>
        <w:t xml:space="preserve"> to be provided to the Commonwealth pursuant to this agreement</w:t>
      </w:r>
      <w:r w:rsidR="009F2125">
        <w:t xml:space="preserve">; and </w:t>
      </w:r>
    </w:p>
    <w:p w14:paraId="5850589B" w14:textId="77777777" w:rsidR="009F2125" w:rsidRDefault="009F2125" w:rsidP="0058045D">
      <w:pPr>
        <w:pStyle w:val="Heading3"/>
      </w:pPr>
      <w:r>
        <w:t>clarifications on the requirements of this agreement</w:t>
      </w:r>
      <w:r w:rsidR="0021175C">
        <w:t>,</w:t>
      </w:r>
      <w:r>
        <w:t xml:space="preserve"> </w:t>
      </w:r>
    </w:p>
    <w:p w14:paraId="1D64294C" w14:textId="77777777" w:rsidR="0021175C" w:rsidRDefault="0021175C" w:rsidP="0058045D">
      <w:pPr>
        <w:pStyle w:val="Heading3"/>
        <w:numPr>
          <w:ilvl w:val="0"/>
          <w:numId w:val="0"/>
        </w:numPr>
        <w:ind w:left="737"/>
      </w:pPr>
      <w:r>
        <w:t>in order to comply with the terms of this agreement and Australian Government policy, and Project Operator must comply with that guidance provided that:</w:t>
      </w:r>
    </w:p>
    <w:p w14:paraId="26910D2C" w14:textId="77777777" w:rsidR="0021175C" w:rsidRDefault="0021175C" w:rsidP="0058045D">
      <w:pPr>
        <w:pStyle w:val="Heading3"/>
      </w:pPr>
      <w:r>
        <w:t>it does not have a material cost impact for Project Operator; or</w:t>
      </w:r>
    </w:p>
    <w:p w14:paraId="25B30C2E" w14:textId="77777777" w:rsidR="0021175C" w:rsidRPr="00531AB8" w:rsidRDefault="0021175C" w:rsidP="0058045D">
      <w:pPr>
        <w:pStyle w:val="Heading3"/>
      </w:pPr>
      <w:r>
        <w:t>if Project Operator can substantiate to the reasonable satisfaction of the Commonwealth that it will have a material cost impact for Project Operator, the Commonwealth agrees to meet that additional cost.</w:t>
      </w:r>
    </w:p>
    <w:p w14:paraId="1A0CC643" w14:textId="77777777" w:rsidR="00062B48" w:rsidRDefault="00062B48" w:rsidP="002D6D4F"/>
    <w:p w14:paraId="191EEDA3" w14:textId="77777777" w:rsidR="009637B7" w:rsidRDefault="009637B7" w:rsidP="002D6D4F"/>
    <w:p w14:paraId="5CA93308" w14:textId="77777777" w:rsidR="009637B7" w:rsidRPr="003D756B" w:rsidRDefault="009637B7" w:rsidP="009637B7"/>
    <w:p w14:paraId="4EDC16EE" w14:textId="77777777" w:rsidR="009637B7" w:rsidRPr="00A31077" w:rsidRDefault="009637B7" w:rsidP="002D6D4F"/>
    <w:p w14:paraId="104D921A" w14:textId="4C4DB8D3" w:rsidR="00653028" w:rsidRPr="00653028" w:rsidRDefault="0039486E" w:rsidP="00653028">
      <w:pPr>
        <w:pStyle w:val="SchedulePageHeading"/>
        <w:numPr>
          <w:ilvl w:val="0"/>
          <w:numId w:val="42"/>
        </w:numPr>
      </w:pPr>
      <w:bookmarkStart w:id="5369" w:name="_Toc108021072"/>
      <w:bookmarkStart w:id="5370" w:name="_Toc108089447"/>
      <w:bookmarkStart w:id="5371" w:name="_Toc108098172"/>
      <w:bookmarkStart w:id="5372" w:name="_Toc108425569"/>
      <w:bookmarkStart w:id="5373" w:name="_Ref_ContractCompanion_9kb9Ur3BH"/>
      <w:bookmarkEnd w:id="5369"/>
      <w:bookmarkEnd w:id="5370"/>
      <w:bookmarkEnd w:id="5371"/>
      <w:bookmarkEnd w:id="5372"/>
      <w:r>
        <w:rPr>
          <w:highlight w:val="green"/>
        </w:rPr>
        <w:br w:type="column"/>
      </w:r>
      <w:bookmarkStart w:id="5374" w:name="_Toc94781428"/>
      <w:bookmarkStart w:id="5375" w:name="_Toc94782338"/>
      <w:bookmarkStart w:id="5376" w:name="_Toc94782660"/>
      <w:bookmarkStart w:id="5377" w:name="_Toc94798412"/>
      <w:bookmarkStart w:id="5378" w:name="_Toc94872338"/>
      <w:bookmarkStart w:id="5379" w:name="_Toc94885636"/>
      <w:bookmarkStart w:id="5380" w:name="_Toc94886071"/>
      <w:bookmarkStart w:id="5381" w:name="_Toc94886516"/>
      <w:bookmarkStart w:id="5382" w:name="_Toc99721882"/>
      <w:bookmarkStart w:id="5383" w:name="_Toc99723642"/>
      <w:bookmarkStart w:id="5384" w:name="Schedule"/>
      <w:bookmarkStart w:id="5385" w:name="Schedule2"/>
      <w:bookmarkStart w:id="5386" w:name="_Ref103257737"/>
      <w:bookmarkStart w:id="5387" w:name="_Ref467052756"/>
      <w:bookmarkStart w:id="5388" w:name="_Ref467052757"/>
      <w:bookmarkStart w:id="5389" w:name="_Ref467052758"/>
      <w:bookmarkStart w:id="5390" w:name="_Ref467052759"/>
      <w:bookmarkStart w:id="5391" w:name="_Ref467052760"/>
      <w:bookmarkStart w:id="5392" w:name="_Ref467052763"/>
      <w:bookmarkStart w:id="5393" w:name="_Toc492504906"/>
      <w:bookmarkStart w:id="5394" w:name="_Toc515470317"/>
      <w:bookmarkStart w:id="5395" w:name="_Toc207309763"/>
      <w:bookmarkEnd w:id="5374"/>
      <w:bookmarkEnd w:id="5375"/>
      <w:bookmarkEnd w:id="5376"/>
      <w:bookmarkEnd w:id="5377"/>
      <w:bookmarkEnd w:id="5378"/>
      <w:bookmarkEnd w:id="5379"/>
      <w:bookmarkEnd w:id="5380"/>
      <w:bookmarkEnd w:id="5381"/>
      <w:bookmarkEnd w:id="5382"/>
      <w:bookmarkEnd w:id="5383"/>
      <w:bookmarkEnd w:id="5384"/>
      <w:bookmarkEnd w:id="5385"/>
      <w:r w:rsidR="005D76CA">
        <w:t>Support</w:t>
      </w:r>
      <w:r w:rsidR="003767A6">
        <w:t xml:space="preserve"> terms</w:t>
      </w:r>
      <w:bookmarkEnd w:id="5373"/>
      <w:bookmarkEnd w:id="5386"/>
      <w:bookmarkEnd w:id="5387"/>
      <w:bookmarkEnd w:id="5388"/>
      <w:bookmarkEnd w:id="5389"/>
      <w:bookmarkEnd w:id="5390"/>
      <w:bookmarkEnd w:id="5391"/>
      <w:bookmarkEnd w:id="5392"/>
      <w:bookmarkEnd w:id="5393"/>
      <w:bookmarkEnd w:id="5394"/>
      <w:bookmarkEnd w:id="5395"/>
    </w:p>
    <w:p w14:paraId="4FDA14B7" w14:textId="77777777" w:rsidR="0024371D" w:rsidRDefault="0024371D" w:rsidP="008F660B">
      <w:pPr>
        <w:pStyle w:val="SchedH1"/>
        <w:numPr>
          <w:ilvl w:val="1"/>
          <w:numId w:val="91"/>
        </w:numPr>
        <w:ind w:left="737" w:hanging="737"/>
      </w:pPr>
      <w:r>
        <w:t>Application and interpretation</w:t>
      </w:r>
    </w:p>
    <w:p w14:paraId="7C598346" w14:textId="77777777" w:rsidR="0024371D" w:rsidRDefault="0024371D" w:rsidP="005820DA">
      <w:pPr>
        <w:pStyle w:val="SchedH2"/>
        <w:keepNext w:val="0"/>
        <w:numPr>
          <w:ilvl w:val="2"/>
          <w:numId w:val="91"/>
        </w:numPr>
      </w:pPr>
      <w:r>
        <w:t>Application to the Support Receipt Period</w:t>
      </w:r>
    </w:p>
    <w:p w14:paraId="110E099F" w14:textId="6CB7739E" w:rsidR="0024371D" w:rsidRDefault="0024371D" w:rsidP="008F660B">
      <w:pPr>
        <w:pStyle w:val="SchedH3"/>
        <w:numPr>
          <w:ilvl w:val="3"/>
          <w:numId w:val="91"/>
        </w:numPr>
      </w:pPr>
      <w:bookmarkStart w:id="5396" w:name="_Ref199504860"/>
      <w:r>
        <w:t xml:space="preserve">The terms contained in this </w:t>
      </w:r>
      <w:r>
        <w:fldChar w:fldCharType="begin"/>
      </w:r>
      <w:r>
        <w:instrText xml:space="preserve"> REF _Ref103257737 \r \h  \* MERGEFORMAT </w:instrText>
      </w:r>
      <w:r>
        <w:fldChar w:fldCharType="separate"/>
      </w:r>
      <w:r w:rsidR="002E5C6A">
        <w:t>Schedule 1</w:t>
      </w:r>
      <w:r>
        <w:fldChar w:fldCharType="end"/>
      </w:r>
      <w:r>
        <w:t xml:space="preserve"> apply to each Support Year (or part thereof) occurring during the Support Receipt Period separately.</w:t>
      </w:r>
      <w:bookmarkEnd w:id="5396"/>
      <w:r>
        <w:t xml:space="preserve"> </w:t>
      </w:r>
    </w:p>
    <w:p w14:paraId="6293CF88" w14:textId="017CB0A0" w:rsidR="0024371D" w:rsidRDefault="0024371D" w:rsidP="008F660B">
      <w:pPr>
        <w:pStyle w:val="SchedH3"/>
        <w:numPr>
          <w:ilvl w:val="3"/>
          <w:numId w:val="91"/>
        </w:numPr>
      </w:pPr>
      <w:r>
        <w:t xml:space="preserve">In interpreting this </w:t>
      </w:r>
      <w:r>
        <w:fldChar w:fldCharType="begin"/>
      </w:r>
      <w:r>
        <w:instrText xml:space="preserve"> REF _Ref103257737 \r \h  \* MERGEFORMAT </w:instrText>
      </w:r>
      <w:r>
        <w:fldChar w:fldCharType="separate"/>
      </w:r>
      <w:r w:rsidR="002E5C6A">
        <w:t>Schedule 1</w:t>
      </w:r>
      <w:r>
        <w:fldChar w:fldCharType="end"/>
      </w:r>
      <w:r>
        <w:t xml:space="preserve"> in respect of a Support Year, a reference to “the Support Year” is a reference to that Support Year (including the First Support Year and Final Support Year as relevant).</w:t>
      </w:r>
    </w:p>
    <w:p w14:paraId="5B8D8C24" w14:textId="77777777" w:rsidR="0024371D" w:rsidRDefault="0024371D" w:rsidP="005820DA">
      <w:pPr>
        <w:pStyle w:val="SchedH2"/>
        <w:keepNext w:val="0"/>
        <w:numPr>
          <w:ilvl w:val="2"/>
          <w:numId w:val="91"/>
        </w:numPr>
      </w:pPr>
      <w:r>
        <w:t>Schedule items</w:t>
      </w:r>
    </w:p>
    <w:p w14:paraId="604624F5" w14:textId="02A31076" w:rsidR="0024371D" w:rsidRDefault="0024371D" w:rsidP="0024371D">
      <w:pPr>
        <w:pStyle w:val="Indent2"/>
      </w:pPr>
      <w:r>
        <w:t xml:space="preserve">A reference in this </w:t>
      </w:r>
      <w:r>
        <w:fldChar w:fldCharType="begin"/>
      </w:r>
      <w:r>
        <w:instrText xml:space="preserve"> REF _Ref103257737 \n \h  \* MERGEFORMAT </w:instrText>
      </w:r>
      <w:r>
        <w:fldChar w:fldCharType="separate"/>
      </w:r>
      <w:r w:rsidR="002E5C6A">
        <w:t>Schedule 1</w:t>
      </w:r>
      <w:r>
        <w:fldChar w:fldCharType="end"/>
      </w:r>
      <w:r>
        <w:t xml:space="preserve"> to an “item” is a reference to an item of this </w:t>
      </w:r>
      <w:r>
        <w:fldChar w:fldCharType="begin"/>
      </w:r>
      <w:r>
        <w:instrText xml:space="preserve"> REF _Ref103257737 \n \h  \* MERGEFORMAT </w:instrText>
      </w:r>
      <w:r>
        <w:fldChar w:fldCharType="separate"/>
      </w:r>
      <w:r w:rsidR="002E5C6A">
        <w:t>Schedule 1</w:t>
      </w:r>
      <w:r>
        <w:fldChar w:fldCharType="end"/>
      </w:r>
      <w:r>
        <w:t>.</w:t>
      </w:r>
    </w:p>
    <w:p w14:paraId="7E04A9B6" w14:textId="77777777" w:rsidR="0024371D" w:rsidRDefault="0024371D" w:rsidP="0024371D">
      <w:pPr>
        <w:pStyle w:val="Indent2"/>
      </w:pPr>
      <w:r>
        <w:t>[</w:t>
      </w:r>
      <w:r>
        <w:rPr>
          <w:b/>
          <w:bCs/>
          <w:i/>
          <w:iCs/>
          <w:highlight w:val="lightGray"/>
        </w:rPr>
        <w:t>Note: the formulae in this Schedule 1 will be reviewed and revised as required in relation to the provision of support to any Non-Storage Projects.</w:t>
      </w:r>
      <w:r>
        <w:t>]</w:t>
      </w:r>
    </w:p>
    <w:p w14:paraId="59075E1E" w14:textId="77777777" w:rsidR="00760981" w:rsidRDefault="00760981" w:rsidP="008F660B">
      <w:pPr>
        <w:pStyle w:val="SchedH1"/>
        <w:numPr>
          <w:ilvl w:val="1"/>
          <w:numId w:val="91"/>
        </w:numPr>
        <w:ind w:left="737" w:hanging="737"/>
      </w:pPr>
      <w:r>
        <w:t>Support payments and adjustments</w:t>
      </w:r>
    </w:p>
    <w:p w14:paraId="0AB2820A" w14:textId="77777777" w:rsidR="00760981" w:rsidRDefault="00760981" w:rsidP="005820DA">
      <w:pPr>
        <w:pStyle w:val="SchedH2"/>
        <w:numPr>
          <w:ilvl w:val="2"/>
          <w:numId w:val="91"/>
        </w:numPr>
      </w:pPr>
      <w:r>
        <w:t>Support payments</w:t>
      </w:r>
    </w:p>
    <w:p w14:paraId="7D3364A3" w14:textId="77777777" w:rsidR="00760981" w:rsidRDefault="00760981" w:rsidP="00760981">
      <w:pPr>
        <w:pStyle w:val="Indent2"/>
      </w:pPr>
      <w:r>
        <w:t>In respect of each Support Year, each party agrees to pay:</w:t>
      </w:r>
    </w:p>
    <w:p w14:paraId="37A8CB75" w14:textId="77777777" w:rsidR="00760981" w:rsidRDefault="00760981" w:rsidP="008F660B">
      <w:pPr>
        <w:pStyle w:val="SchedH3"/>
        <w:numPr>
          <w:ilvl w:val="3"/>
          <w:numId w:val="91"/>
        </w:numPr>
      </w:pPr>
      <w:r>
        <w:t xml:space="preserve">any Quarterly Payment Amount; and </w:t>
      </w:r>
    </w:p>
    <w:p w14:paraId="61922649" w14:textId="77777777" w:rsidR="00760981" w:rsidRDefault="00760981" w:rsidP="008F660B">
      <w:pPr>
        <w:pStyle w:val="SchedH3"/>
        <w:numPr>
          <w:ilvl w:val="3"/>
          <w:numId w:val="91"/>
        </w:numPr>
      </w:pPr>
      <w:r>
        <w:t>any Annual Reconciliation Payment,</w:t>
      </w:r>
    </w:p>
    <w:p w14:paraId="3ED3B61B" w14:textId="5D3C437E" w:rsidR="00760981" w:rsidRDefault="00760981" w:rsidP="00760981">
      <w:pPr>
        <w:pStyle w:val="Indent2"/>
      </w:pPr>
      <w:r>
        <w:t xml:space="preserve">that it is required to pay under this </w:t>
      </w:r>
      <w:r>
        <w:fldChar w:fldCharType="begin"/>
      </w:r>
      <w:r>
        <w:instrText xml:space="preserve"> REF _Ref103257737 \r \h  \* MERGEFORMAT </w:instrText>
      </w:r>
      <w:r>
        <w:fldChar w:fldCharType="separate"/>
      </w:r>
      <w:r w:rsidR="002E5C6A">
        <w:t>Schedule 1</w:t>
      </w:r>
      <w:r>
        <w:fldChar w:fldCharType="end"/>
      </w:r>
      <w:r>
        <w:t xml:space="preserve"> on the terms and conditions contained in this agreement.</w:t>
      </w:r>
    </w:p>
    <w:p w14:paraId="5AFDFFC0" w14:textId="77777777" w:rsidR="00760981" w:rsidRDefault="00760981" w:rsidP="008F660B">
      <w:pPr>
        <w:pStyle w:val="SchedH2"/>
        <w:numPr>
          <w:ilvl w:val="2"/>
          <w:numId w:val="91"/>
        </w:numPr>
      </w:pPr>
      <w:bookmarkStart w:id="5397" w:name="_Ref206360044"/>
      <w:bookmarkStart w:id="5398" w:name="_Ref206532029"/>
      <w:r>
        <w:t>Adjustment to Annual Floor and Annual Ceiling</w:t>
      </w:r>
      <w:bookmarkEnd w:id="5397"/>
      <w:bookmarkEnd w:id="5398"/>
    </w:p>
    <w:p w14:paraId="5D494FB3" w14:textId="5074A414" w:rsidR="00760981" w:rsidRDefault="00760981" w:rsidP="008F660B">
      <w:pPr>
        <w:pStyle w:val="SchedH3"/>
        <w:numPr>
          <w:ilvl w:val="3"/>
          <w:numId w:val="91"/>
        </w:numPr>
      </w:pPr>
      <w:r w:rsidRPr="000E468E">
        <w:tab/>
        <w:t xml:space="preserve">Subject to paragraph </w:t>
      </w:r>
      <w:r>
        <w:fldChar w:fldCharType="begin"/>
      </w:r>
      <w:r>
        <w:instrText xml:space="preserve"> REF _Ref206491725 \n \h </w:instrText>
      </w:r>
      <w:r>
        <w:fldChar w:fldCharType="separate"/>
      </w:r>
      <w:r w:rsidR="002E5C6A">
        <w:t>(b)</w:t>
      </w:r>
      <w:r>
        <w:fldChar w:fldCharType="end"/>
      </w:r>
      <w:r w:rsidRPr="000E468E">
        <w:t xml:space="preserve"> of this </w:t>
      </w:r>
      <w:r>
        <w:t>item</w:t>
      </w:r>
      <w:r w:rsidRPr="000E468E">
        <w:t xml:space="preserve"> </w:t>
      </w:r>
      <w:r>
        <w:fldChar w:fldCharType="begin"/>
      </w:r>
      <w:r>
        <w:instrText xml:space="preserve"> REF _Ref206360044 \n \h </w:instrText>
      </w:r>
      <w:r>
        <w:fldChar w:fldCharType="separate"/>
      </w:r>
      <w:r w:rsidR="002E5C6A">
        <w:t>2.2</w:t>
      </w:r>
      <w:r>
        <w:fldChar w:fldCharType="end"/>
      </w:r>
      <w:r w:rsidRPr="000E468E">
        <w:t>, if the ESROD</w:t>
      </w:r>
      <w:r w:rsidRPr="0033496A">
        <w:rPr>
          <w:vertAlign w:val="subscript"/>
        </w:rPr>
        <w:t>SY</w:t>
      </w:r>
      <w:r w:rsidRPr="000E468E">
        <w:t xml:space="preserve"> (as defined in </w:t>
      </w:r>
      <w:r>
        <w:t xml:space="preserve">item </w:t>
      </w:r>
      <w:r>
        <w:fldChar w:fldCharType="begin"/>
      </w:r>
      <w:r>
        <w:instrText xml:space="preserve"> REF _Ref206491756 \n \h </w:instrText>
      </w:r>
      <w:r>
        <w:fldChar w:fldCharType="separate"/>
      </w:r>
      <w:r w:rsidR="002E5C6A">
        <w:t>2.3</w:t>
      </w:r>
      <w:r>
        <w:fldChar w:fldCharType="end"/>
      </w:r>
      <w:r>
        <w:fldChar w:fldCharType="begin"/>
      </w:r>
      <w:r>
        <w:instrText xml:space="preserve"> REF _Ref206491758 \n \h </w:instrText>
      </w:r>
      <w:r>
        <w:fldChar w:fldCharType="separate"/>
      </w:r>
      <w:r w:rsidR="002E5C6A">
        <w:t>(b)</w:t>
      </w:r>
      <w:r>
        <w:fldChar w:fldCharType="end"/>
      </w:r>
      <w:r w:rsidRPr="000E468E">
        <w:t>) for a Support Year is greater than the Reference Duration</w:t>
      </w:r>
      <w:r>
        <w:rPr>
          <w:vertAlign w:val="subscript"/>
        </w:rPr>
        <w:t>TD</w:t>
      </w:r>
      <w:r w:rsidRPr="000E468E">
        <w:t xml:space="preserve"> (as defined in </w:t>
      </w:r>
      <w:r>
        <w:t>item</w:t>
      </w:r>
      <w:r w:rsidRPr="000E468E">
        <w:t xml:space="preserve"> </w:t>
      </w:r>
      <w:r>
        <w:fldChar w:fldCharType="begin"/>
      </w:r>
      <w:r>
        <w:instrText xml:space="preserve"> REF _Ref206491756 \n \h </w:instrText>
      </w:r>
      <w:r>
        <w:fldChar w:fldCharType="separate"/>
      </w:r>
      <w:r w:rsidR="002E5C6A">
        <w:t>2.3</w:t>
      </w:r>
      <w:r>
        <w:fldChar w:fldCharType="end"/>
      </w:r>
      <w:r>
        <w:fldChar w:fldCharType="begin"/>
      </w:r>
      <w:r>
        <w:instrText xml:space="preserve"> REF _Ref206491779 \n \h </w:instrText>
      </w:r>
      <w:r>
        <w:fldChar w:fldCharType="separate"/>
      </w:r>
      <w:r w:rsidR="002E5C6A">
        <w:t>(a)</w:t>
      </w:r>
      <w:r>
        <w:fldChar w:fldCharType="end"/>
      </w:r>
      <w:r w:rsidRPr="000E468E">
        <w:t xml:space="preserve">), then each of the Annual Floor and Annual Ceiling </w:t>
      </w:r>
      <w:r>
        <w:t xml:space="preserve">for that Support Year </w:t>
      </w:r>
      <w:r w:rsidRPr="000E468E">
        <w:t>will be adjusted in accordance with the following formula:</w:t>
      </w:r>
    </w:p>
    <w:p w14:paraId="608375E5" w14:textId="77777777" w:rsidR="00760981" w:rsidRPr="00507B20" w:rsidRDefault="0057509B" w:rsidP="00760981">
      <w:pPr>
        <w:pStyle w:val="Indent2"/>
        <w:keepNext/>
        <w:ind w:left="0"/>
        <w:jc w:val="center"/>
      </w:pPr>
      <m:oMathPara>
        <m:oMathParaPr>
          <m:jc m:val="center"/>
        </m:oMathParaPr>
        <m:oMath>
          <m:sSub>
            <m:sSubPr>
              <m:ctrlPr>
                <w:rPr>
                  <w:rFonts w:ascii="Cambria Math" w:hAnsi="Cambria Math"/>
                  <w:i/>
                </w:rPr>
              </m:ctrlPr>
            </m:sSubPr>
            <m:e>
              <m:r>
                <w:rPr>
                  <w:rFonts w:ascii="Cambria Math" w:hAnsi="Cambria Math"/>
                </w:rPr>
                <m:t>AA</m:t>
              </m:r>
            </m:e>
            <m:sub>
              <m:r>
                <w:rPr>
                  <w:rFonts w:ascii="Cambria Math" w:hAnsi="Cambria Math"/>
                </w:rPr>
                <m:t>SY</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SY</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ELDC</m:t>
                  </m:r>
                </m:e>
                <m:sub>
                  <m:r>
                    <w:rPr>
                      <w:rFonts w:ascii="Cambria Math" w:hAnsi="Cambria Math"/>
                    </w:rPr>
                    <m:t>TD</m:t>
                  </m:r>
                </m:sub>
              </m:sSub>
            </m:num>
            <m:den>
              <m:r>
                <w:rPr>
                  <w:rFonts w:ascii="Cambria Math" w:hAnsi="Cambria Math"/>
                </w:rPr>
                <m:t>E</m:t>
              </m:r>
              <m:sSub>
                <m:sSubPr>
                  <m:ctrlPr>
                    <w:rPr>
                      <w:rFonts w:ascii="Cambria Math" w:hAnsi="Cambria Math"/>
                      <w:i/>
                    </w:rPr>
                  </m:ctrlPr>
                </m:sSubPr>
                <m:e>
                  <m:r>
                    <w:rPr>
                      <w:rFonts w:ascii="Cambria Math" w:hAnsi="Cambria Math"/>
                    </w:rPr>
                    <m:t>LDC</m:t>
                  </m:r>
                </m:e>
                <m:sub>
                  <m:r>
                    <w:rPr>
                      <w:rFonts w:ascii="Cambria Math" w:hAnsi="Cambria Math"/>
                    </w:rPr>
                    <m:t>SY</m:t>
                  </m:r>
                </m:sub>
              </m:sSub>
            </m:den>
          </m:f>
        </m:oMath>
      </m:oMathPara>
    </w:p>
    <w:p w14:paraId="2E4EB34D" w14:textId="45B9CAAB" w:rsidR="00760981" w:rsidRDefault="00597F22" w:rsidP="00143457">
      <w:pPr>
        <w:pStyle w:val="Indent2"/>
        <w:keepNext/>
        <w:ind w:left="1418"/>
      </w:pPr>
      <w:r>
        <w:t>w</w:t>
      </w:r>
      <w:r w:rsidR="00760981">
        <w:t>here:</w:t>
      </w:r>
    </w:p>
    <w:p w14:paraId="1C415409" w14:textId="185F9EA7" w:rsidR="00760981" w:rsidRDefault="00760981" w:rsidP="003E5DAD">
      <w:pPr>
        <w:pStyle w:val="Indent2"/>
        <w:tabs>
          <w:tab w:val="left" w:pos="2268"/>
        </w:tabs>
        <w:ind w:left="2552" w:hanging="1134"/>
      </w:pPr>
      <w:r>
        <w:rPr>
          <w:b/>
          <w:bCs/>
        </w:rPr>
        <w:t>AA</w:t>
      </w:r>
      <w:r>
        <w:rPr>
          <w:b/>
          <w:bCs/>
          <w:vertAlign w:val="subscript"/>
        </w:rPr>
        <w:t>SY</w:t>
      </w:r>
      <w:r>
        <w:rPr>
          <w:b/>
          <w:bCs/>
          <w:vertAlign w:val="subscript"/>
        </w:rPr>
        <w:tab/>
      </w:r>
      <w:r w:rsidRPr="00982398">
        <w:t>=</w:t>
      </w:r>
      <w:r>
        <w:rPr>
          <w:b/>
          <w:bCs/>
        </w:rPr>
        <w:tab/>
      </w:r>
      <w:r>
        <w:t>the adjusted Annual Floor or Annual Ceiling (as applicable)</w:t>
      </w:r>
      <w:r w:rsidRPr="00857F2A">
        <w:t xml:space="preserve"> </w:t>
      </w:r>
      <w:r>
        <w:t>for the Support Year;</w:t>
      </w:r>
    </w:p>
    <w:p w14:paraId="1141A68D" w14:textId="6FE228C5" w:rsidR="00760981" w:rsidRDefault="00760981" w:rsidP="003E5DAD">
      <w:pPr>
        <w:pStyle w:val="Indent2"/>
        <w:tabs>
          <w:tab w:val="left" w:pos="2268"/>
        </w:tabs>
        <w:ind w:left="2552" w:hanging="1134"/>
      </w:pPr>
      <w:r>
        <w:rPr>
          <w:b/>
          <w:bCs/>
        </w:rPr>
        <w:t>A</w:t>
      </w:r>
      <w:r>
        <w:rPr>
          <w:b/>
          <w:bCs/>
          <w:vertAlign w:val="subscript"/>
        </w:rPr>
        <w:t>SY</w:t>
      </w:r>
      <w:r>
        <w:rPr>
          <w:b/>
          <w:bCs/>
        </w:rPr>
        <w:tab/>
      </w:r>
      <w:r w:rsidRPr="00982398">
        <w:t>=</w:t>
      </w:r>
      <w:r>
        <w:rPr>
          <w:b/>
          <w:bCs/>
        </w:rPr>
        <w:tab/>
      </w:r>
      <w:r>
        <w:t xml:space="preserve">the Annual Floor or Annual Ceiling (as applicable) for the Support Year, prior to adjustment under this item </w:t>
      </w:r>
      <w:r>
        <w:fldChar w:fldCharType="begin"/>
      </w:r>
      <w:r>
        <w:instrText xml:space="preserve"> REF _Ref206360044 \n \h </w:instrText>
      </w:r>
      <w:r>
        <w:fldChar w:fldCharType="separate"/>
      </w:r>
      <w:r w:rsidR="002E5C6A">
        <w:t>2.2</w:t>
      </w:r>
      <w:r>
        <w:fldChar w:fldCharType="end"/>
      </w:r>
      <w:r>
        <w:t>;</w:t>
      </w:r>
    </w:p>
    <w:p w14:paraId="1E9F3B6D" w14:textId="7208BC25" w:rsidR="00760981" w:rsidRDefault="00760981" w:rsidP="003E5DAD">
      <w:pPr>
        <w:pStyle w:val="Indent2"/>
        <w:tabs>
          <w:tab w:val="left" w:pos="2268"/>
        </w:tabs>
        <w:ind w:left="2552" w:hanging="1134"/>
      </w:pPr>
      <w:r>
        <w:rPr>
          <w:b/>
          <w:bCs/>
        </w:rPr>
        <w:t>ELDC</w:t>
      </w:r>
      <w:r>
        <w:rPr>
          <w:b/>
          <w:bCs/>
          <w:vertAlign w:val="subscript"/>
        </w:rPr>
        <w:t>TD</w:t>
      </w:r>
      <w:r>
        <w:tab/>
        <w:t>=</w:t>
      </w:r>
      <w:r>
        <w:rPr>
          <w:b/>
          <w:bCs/>
        </w:rPr>
        <w:tab/>
      </w:r>
      <w:r>
        <w:t xml:space="preserve">the Estimated Linearly Derating Capacity of the Project as at the Tender Date, calculated in with item </w:t>
      </w:r>
      <w:r>
        <w:fldChar w:fldCharType="begin"/>
      </w:r>
      <w:r>
        <w:instrText xml:space="preserve"> REF _Ref206491756 \n \h </w:instrText>
      </w:r>
      <w:r>
        <w:fldChar w:fldCharType="separate"/>
      </w:r>
      <w:r w:rsidR="002E5C6A">
        <w:t>2.3</w:t>
      </w:r>
      <w:r>
        <w:fldChar w:fldCharType="end"/>
      </w:r>
      <w:r>
        <w:fldChar w:fldCharType="begin"/>
      </w:r>
      <w:r>
        <w:instrText xml:space="preserve"> REF _Ref206491779 \n \h </w:instrText>
      </w:r>
      <w:r>
        <w:fldChar w:fldCharType="separate"/>
      </w:r>
      <w:r w:rsidR="002E5C6A">
        <w:t>(a)</w:t>
      </w:r>
      <w:r>
        <w:fldChar w:fldCharType="end"/>
      </w:r>
      <w:r>
        <w:t xml:space="preserve"> (“</w:t>
      </w:r>
      <w:r>
        <w:fldChar w:fldCharType="begin"/>
      </w:r>
      <w:r>
        <w:instrText xml:space="preserve"> REF _Ref206491756 \h </w:instrText>
      </w:r>
      <w:r>
        <w:fldChar w:fldCharType="separate"/>
      </w:r>
      <w:r w:rsidR="002E5C6A">
        <w:t>Calculation of Estimated Linearly Derating Capacity</w:t>
      </w:r>
      <w:r>
        <w:fldChar w:fldCharType="end"/>
      </w:r>
      <w:r>
        <w:t>”); and</w:t>
      </w:r>
    </w:p>
    <w:p w14:paraId="5DB79405" w14:textId="1D5739EA" w:rsidR="00760981" w:rsidRDefault="00760981" w:rsidP="003E5DAD">
      <w:pPr>
        <w:pStyle w:val="Indent2"/>
        <w:tabs>
          <w:tab w:val="left" w:pos="2268"/>
        </w:tabs>
        <w:ind w:left="2552" w:hanging="1134"/>
      </w:pPr>
      <w:r>
        <w:rPr>
          <w:b/>
          <w:bCs/>
        </w:rPr>
        <w:t>ELDC</w:t>
      </w:r>
      <w:r>
        <w:rPr>
          <w:b/>
          <w:bCs/>
          <w:vertAlign w:val="subscript"/>
        </w:rPr>
        <w:t>SY</w:t>
      </w:r>
      <w:r>
        <w:rPr>
          <w:b/>
          <w:bCs/>
          <w:vertAlign w:val="subscript"/>
        </w:rPr>
        <w:tab/>
      </w:r>
      <w:r w:rsidRPr="00982398">
        <w:t>=</w:t>
      </w:r>
      <w:r>
        <w:rPr>
          <w:b/>
          <w:bCs/>
        </w:rPr>
        <w:tab/>
      </w:r>
      <w:r>
        <w:t xml:space="preserve">the Estimated Linearly Derating Capacity of the Project for the relevant Support Year, calculated in accordance with item </w:t>
      </w:r>
      <w:r>
        <w:fldChar w:fldCharType="begin"/>
      </w:r>
      <w:r>
        <w:instrText xml:space="preserve"> REF _Ref206491756 \n \h </w:instrText>
      </w:r>
      <w:r>
        <w:fldChar w:fldCharType="separate"/>
      </w:r>
      <w:r w:rsidR="002E5C6A">
        <w:t>2.3</w:t>
      </w:r>
      <w:r>
        <w:fldChar w:fldCharType="end"/>
      </w:r>
      <w:r>
        <w:fldChar w:fldCharType="begin"/>
      </w:r>
      <w:r>
        <w:instrText xml:space="preserve"> REF _Ref206491758 \n \h </w:instrText>
      </w:r>
      <w:r>
        <w:fldChar w:fldCharType="separate"/>
      </w:r>
      <w:r w:rsidR="002E5C6A">
        <w:t>(b)</w:t>
      </w:r>
      <w:r>
        <w:fldChar w:fldCharType="end"/>
      </w:r>
      <w:r>
        <w:t xml:space="preserve"> (“</w:t>
      </w:r>
      <w:r>
        <w:fldChar w:fldCharType="begin"/>
      </w:r>
      <w:r>
        <w:instrText xml:space="preserve"> REF _Ref206491756 \h </w:instrText>
      </w:r>
      <w:r>
        <w:fldChar w:fldCharType="separate"/>
      </w:r>
      <w:r w:rsidR="002E5C6A">
        <w:t>Calculation of Estimated Linearly Derating Capacity</w:t>
      </w:r>
      <w:r>
        <w:fldChar w:fldCharType="end"/>
      </w:r>
      <w:r>
        <w:t>”).</w:t>
      </w:r>
    </w:p>
    <w:p w14:paraId="66B67255" w14:textId="449C6BC3" w:rsidR="00760981" w:rsidRDefault="00760981" w:rsidP="008F660B">
      <w:pPr>
        <w:pStyle w:val="SchedH3"/>
        <w:numPr>
          <w:ilvl w:val="3"/>
          <w:numId w:val="91"/>
        </w:numPr>
      </w:pPr>
      <w:bookmarkStart w:id="5399" w:name="_Ref206491725"/>
      <w:r>
        <w:t xml:space="preserve">If the Support Year being adjusted under this item </w:t>
      </w:r>
      <w:r>
        <w:fldChar w:fldCharType="begin"/>
      </w:r>
      <w:r>
        <w:instrText xml:space="preserve"> REF _Ref206360044 \n \h </w:instrText>
      </w:r>
      <w:r>
        <w:fldChar w:fldCharType="separate"/>
      </w:r>
      <w:r w:rsidR="002E5C6A">
        <w:t>2.2</w:t>
      </w:r>
      <w:r>
        <w:fldChar w:fldCharType="end"/>
      </w:r>
      <w:r>
        <w:t xml:space="preserve"> is the First Support </w:t>
      </w:r>
      <w:r w:rsidRPr="00336E89">
        <w:t xml:space="preserve">Year, and that First Support Year has been adjusted in accordance with clause </w:t>
      </w:r>
      <w:r w:rsidR="00336E89" w:rsidRPr="00336E89">
        <w:fldChar w:fldCharType="begin"/>
      </w:r>
      <w:r w:rsidR="00336E89" w:rsidRPr="00336E89">
        <w:instrText xml:space="preserve"> REF _Ref206691349 \n \h </w:instrText>
      </w:r>
      <w:r w:rsidR="00336E89">
        <w:instrText xml:space="preserve"> \* MERGEFORMAT </w:instrText>
      </w:r>
      <w:r w:rsidR="00336E89" w:rsidRPr="00336E89">
        <w:fldChar w:fldCharType="separate"/>
      </w:r>
      <w:r w:rsidR="002E5C6A">
        <w:t>1.14</w:t>
      </w:r>
      <w:r w:rsidR="00336E89" w:rsidRPr="00336E89">
        <w:fldChar w:fldCharType="end"/>
      </w:r>
      <w:r w:rsidRPr="00336E89">
        <w:t xml:space="preserve"> (“</w:t>
      </w:r>
      <w:r w:rsidR="00336E89" w:rsidRPr="00336E89">
        <w:fldChar w:fldCharType="begin"/>
      </w:r>
      <w:r w:rsidR="00336E89" w:rsidRPr="00336E89">
        <w:instrText xml:space="preserve"> REF _Ref206691349 \h </w:instrText>
      </w:r>
      <w:r w:rsidR="00336E89">
        <w:instrText xml:space="preserve"> \* MERGEFORMAT </w:instrText>
      </w:r>
      <w:r w:rsidR="00336E89" w:rsidRPr="00336E89">
        <w:fldChar w:fldCharType="separate"/>
      </w:r>
      <w:r w:rsidR="002E5C6A">
        <w:t>Early commencement of the First Support Year</w:t>
      </w:r>
      <w:r w:rsidR="00336E89" w:rsidRPr="00336E89">
        <w:fldChar w:fldCharType="end"/>
      </w:r>
      <w:r w:rsidRPr="00336E89">
        <w:t>”) to be a period exceeding 12 calendar months, then, for the purposes of determining ESROD</w:t>
      </w:r>
      <w:r w:rsidRPr="00336E89">
        <w:rPr>
          <w:vertAlign w:val="subscript"/>
        </w:rPr>
        <w:t>SY</w:t>
      </w:r>
      <w:r w:rsidRPr="00336E89">
        <w:t xml:space="preserve"> for that First Support Year (as defined in item </w:t>
      </w:r>
      <w:r w:rsidRPr="00336E89">
        <w:fldChar w:fldCharType="begin"/>
      </w:r>
      <w:r w:rsidRPr="00336E89">
        <w:instrText xml:space="preserve"> REF _Ref206491756 \n \h </w:instrText>
      </w:r>
      <w:r w:rsidR="00336E89">
        <w:instrText xml:space="preserve"> \* MERGEFORMAT </w:instrText>
      </w:r>
      <w:r w:rsidRPr="00336E89">
        <w:fldChar w:fldCharType="separate"/>
      </w:r>
      <w:r w:rsidR="002E5C6A">
        <w:t>2.3</w:t>
      </w:r>
      <w:r w:rsidRPr="00336E89">
        <w:fldChar w:fldCharType="end"/>
      </w:r>
      <w:r w:rsidRPr="00336E89">
        <w:fldChar w:fldCharType="begin"/>
      </w:r>
      <w:r w:rsidRPr="00336E89">
        <w:instrText xml:space="preserve"> REF _Ref206491758 \n \h </w:instrText>
      </w:r>
      <w:r w:rsidR="00336E89">
        <w:instrText xml:space="preserve"> \* MERGEFORMAT </w:instrText>
      </w:r>
      <w:r w:rsidRPr="00336E89">
        <w:fldChar w:fldCharType="separate"/>
      </w:r>
      <w:r w:rsidR="002E5C6A">
        <w:t>(b)</w:t>
      </w:r>
      <w:r w:rsidRPr="00336E89">
        <w:fldChar w:fldCharType="end"/>
      </w:r>
      <w:r w:rsidRPr="00336E89">
        <w:t xml:space="preserve">), the First Support Year will be deemed to be a Support Year within the meaning of paragraph </w:t>
      </w:r>
      <w:r w:rsidR="00336E89" w:rsidRPr="00336E89">
        <w:fldChar w:fldCharType="begin"/>
      </w:r>
      <w:r w:rsidR="00336E89" w:rsidRPr="00336E89">
        <w:instrText xml:space="preserve"> REF _Ref171518640 \n \h </w:instrText>
      </w:r>
      <w:r w:rsidR="00336E89">
        <w:instrText xml:space="preserve"> \* MERGEFORMAT </w:instrText>
      </w:r>
      <w:r w:rsidR="00336E89" w:rsidRPr="00336E89">
        <w:fldChar w:fldCharType="separate"/>
      </w:r>
      <w:r w:rsidR="002E5C6A">
        <w:t>(b)</w:t>
      </w:r>
      <w:r w:rsidR="00336E89" w:rsidRPr="00336E89">
        <w:fldChar w:fldCharType="end"/>
      </w:r>
      <w:r w:rsidRPr="00336E89">
        <w:t xml:space="preserve"> of the definition of Support Year.</w:t>
      </w:r>
      <w:bookmarkEnd w:id="5399"/>
    </w:p>
    <w:p w14:paraId="004D2403" w14:textId="729E7978" w:rsidR="00760981" w:rsidRDefault="00760981" w:rsidP="008F660B">
      <w:pPr>
        <w:pStyle w:val="SchedH3"/>
        <w:numPr>
          <w:ilvl w:val="3"/>
          <w:numId w:val="91"/>
        </w:numPr>
      </w:pPr>
      <w:r>
        <w:t>If the ESROD</w:t>
      </w:r>
      <w:r>
        <w:rPr>
          <w:vertAlign w:val="subscript"/>
        </w:rPr>
        <w:t>SY</w:t>
      </w:r>
      <w:r>
        <w:t xml:space="preserve"> (as defined in item </w:t>
      </w:r>
      <w:r>
        <w:fldChar w:fldCharType="begin"/>
      </w:r>
      <w:r>
        <w:instrText xml:space="preserve"> REF _Ref206491756 \n \h </w:instrText>
      </w:r>
      <w:r>
        <w:fldChar w:fldCharType="separate"/>
      </w:r>
      <w:r w:rsidR="002E5C6A">
        <w:t>2.3</w:t>
      </w:r>
      <w:r>
        <w:fldChar w:fldCharType="end"/>
      </w:r>
      <w:r>
        <w:fldChar w:fldCharType="begin"/>
      </w:r>
      <w:r>
        <w:instrText xml:space="preserve"> REF _Ref206491758 \n \h </w:instrText>
      </w:r>
      <w:r>
        <w:fldChar w:fldCharType="separate"/>
      </w:r>
      <w:r w:rsidR="002E5C6A">
        <w:t>(b)</w:t>
      </w:r>
      <w:r>
        <w:fldChar w:fldCharType="end"/>
      </w:r>
      <w:r>
        <w:t>) for a given Support Year is less than or equal to the Reference Duration</w:t>
      </w:r>
      <w:r>
        <w:rPr>
          <w:vertAlign w:val="subscript"/>
        </w:rPr>
        <w:t xml:space="preserve">TD </w:t>
      </w:r>
      <w:r>
        <w:t>(as defined in item</w:t>
      </w:r>
      <w:r w:rsidR="00143457">
        <w:t> </w:t>
      </w:r>
      <w:r>
        <w:fldChar w:fldCharType="begin"/>
      </w:r>
      <w:r>
        <w:instrText xml:space="preserve"> REF _Ref206491756 \n \h </w:instrText>
      </w:r>
      <w:r>
        <w:fldChar w:fldCharType="separate"/>
      </w:r>
      <w:r w:rsidR="002E5C6A">
        <w:t>2.3</w:t>
      </w:r>
      <w:r>
        <w:fldChar w:fldCharType="end"/>
      </w:r>
      <w:r>
        <w:fldChar w:fldCharType="begin"/>
      </w:r>
      <w:r>
        <w:instrText xml:space="preserve"> REF _Ref206491779 \n \h </w:instrText>
      </w:r>
      <w:r>
        <w:fldChar w:fldCharType="separate"/>
      </w:r>
      <w:r w:rsidR="002E5C6A">
        <w:t>(a)</w:t>
      </w:r>
      <w:r>
        <w:fldChar w:fldCharType="end"/>
      </w:r>
      <w:r>
        <w:t xml:space="preserve">), no adjustment to either the Annual Floor or Annual Ceiling will be made for that Support Year. </w:t>
      </w:r>
    </w:p>
    <w:p w14:paraId="2A6B479B" w14:textId="77777777" w:rsidR="00760981" w:rsidRPr="00FE1D26" w:rsidRDefault="00760981" w:rsidP="008F660B">
      <w:pPr>
        <w:pStyle w:val="SchedH2"/>
        <w:numPr>
          <w:ilvl w:val="2"/>
          <w:numId w:val="91"/>
        </w:numPr>
      </w:pPr>
      <w:bookmarkStart w:id="5400" w:name="_Ref206491756"/>
      <w:r>
        <w:t>Calculation of Estimated Linearly Derating Capacity</w:t>
      </w:r>
      <w:bookmarkEnd w:id="5400"/>
    </w:p>
    <w:p w14:paraId="70A6C7D8" w14:textId="77777777" w:rsidR="00760981" w:rsidRDefault="00760981" w:rsidP="008F660B">
      <w:pPr>
        <w:pStyle w:val="SchedH3"/>
        <w:numPr>
          <w:ilvl w:val="3"/>
          <w:numId w:val="91"/>
        </w:numPr>
      </w:pPr>
      <w:bookmarkStart w:id="5401" w:name="_Ref206491779"/>
      <w:r>
        <w:t>The Estimated Linearly Derating Capacity as at the Tender Date is calculated in accordance with the following formula:</w:t>
      </w:r>
      <w:bookmarkEnd w:id="5401"/>
    </w:p>
    <w:p w14:paraId="494D9D15" w14:textId="77777777" w:rsidR="00760981" w:rsidRPr="0003581D" w:rsidRDefault="0057509B" w:rsidP="008F660B">
      <w:pPr>
        <w:pStyle w:val="SchedH3"/>
        <w:numPr>
          <w:ilvl w:val="0"/>
          <w:numId w:val="0"/>
        </w:numPr>
        <w:ind w:left="737"/>
      </w:pPr>
      <m:oMathPara>
        <m:oMath>
          <m:sSub>
            <m:sSubPr>
              <m:ctrlPr>
                <w:rPr>
                  <w:rFonts w:ascii="Cambria Math" w:hAnsi="Cambria Math"/>
                  <w:i/>
                </w:rPr>
              </m:ctrlPr>
            </m:sSubPr>
            <m:e>
              <m:r>
                <w:rPr>
                  <w:rFonts w:ascii="Cambria Math" w:hAnsi="Cambria Math"/>
                </w:rPr>
                <m:t>ELDC</m:t>
              </m:r>
            </m:e>
            <m:sub>
              <m:r>
                <w:rPr>
                  <w:rFonts w:ascii="Cambria Math" w:hAnsi="Cambria Math"/>
                </w:rPr>
                <m:t>TD</m:t>
              </m:r>
            </m:sub>
          </m:sSub>
          <m:r>
            <w:rPr>
              <w:rFonts w:ascii="Cambria Math" w:hAnsi="Cambria Math"/>
            </w:rPr>
            <m:t>=Export Capacity* Min(</m:t>
          </m:r>
          <m:f>
            <m:fPr>
              <m:ctrlPr>
                <w:rPr>
                  <w:rFonts w:ascii="Cambria Math" w:hAnsi="Cambria Math"/>
                  <w:i/>
                </w:rPr>
              </m:ctrlPr>
            </m:fPr>
            <m:num>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Storage Capacity</m:t>
                          </m:r>
                        </m:e>
                        <m:sub>
                          <m:r>
                            <w:rPr>
                              <w:rFonts w:ascii="Cambria Math" w:hAnsi="Cambria Math"/>
                            </w:rPr>
                            <m:t>COD</m:t>
                          </m:r>
                        </m:sub>
                      </m:sSub>
                    </m:num>
                    <m:den>
                      <m:r>
                        <w:rPr>
                          <w:rFonts w:ascii="Cambria Math" w:hAnsi="Cambria Math"/>
                        </w:rPr>
                        <m:t>Export Capacity</m:t>
                      </m:r>
                    </m:den>
                  </m:f>
                </m:e>
              </m:d>
            </m:num>
            <m:den>
              <m:sSub>
                <m:sSubPr>
                  <m:ctrlPr>
                    <w:rPr>
                      <w:rFonts w:ascii="Cambria Math" w:hAnsi="Cambria Math"/>
                      <w:i/>
                    </w:rPr>
                  </m:ctrlPr>
                </m:sSubPr>
                <m:e>
                  <m:r>
                    <w:rPr>
                      <w:rFonts w:ascii="Cambria Math" w:hAnsi="Cambria Math"/>
                    </w:rPr>
                    <m:t>Reference Duration</m:t>
                  </m:r>
                </m:e>
                <m:sub>
                  <m:r>
                    <w:rPr>
                      <w:rFonts w:ascii="Cambria Math" w:hAnsi="Cambria Math"/>
                    </w:rPr>
                    <m:t>TD</m:t>
                  </m:r>
                </m:sub>
              </m:sSub>
            </m:den>
          </m:f>
          <m:r>
            <w:rPr>
              <w:rFonts w:ascii="Cambria Math" w:hAnsi="Cambria Math"/>
            </w:rPr>
            <m:t>,1)</m:t>
          </m:r>
        </m:oMath>
      </m:oMathPara>
    </w:p>
    <w:p w14:paraId="419012F5" w14:textId="213A8068" w:rsidR="00760981" w:rsidRDefault="00760981" w:rsidP="003E5DAD">
      <w:pPr>
        <w:ind w:left="1474"/>
      </w:pPr>
      <w:r>
        <w:t>w</w:t>
      </w:r>
      <w:r w:rsidRPr="000774AC">
        <w:t>here:</w:t>
      </w:r>
    </w:p>
    <w:p w14:paraId="4F342329" w14:textId="77777777" w:rsidR="00760981" w:rsidRPr="000774AC" w:rsidRDefault="00760981" w:rsidP="00760981"/>
    <w:p w14:paraId="1E35B3CA" w14:textId="44AAAF6B" w:rsidR="00760981" w:rsidRPr="000774AC" w:rsidRDefault="00760981" w:rsidP="008F660B">
      <w:pPr>
        <w:pStyle w:val="SchedH3"/>
        <w:numPr>
          <w:ilvl w:val="0"/>
          <w:numId w:val="0"/>
        </w:numPr>
        <w:ind w:left="1474"/>
      </w:pPr>
      <w:r w:rsidRPr="00BA5A9F">
        <w:rPr>
          <w:b/>
          <w:bCs/>
        </w:rPr>
        <w:t>E</w:t>
      </w:r>
      <w:r w:rsidRPr="000774AC">
        <w:rPr>
          <w:b/>
          <w:bCs/>
        </w:rPr>
        <w:t>LDC</w:t>
      </w:r>
      <w:r>
        <w:rPr>
          <w:b/>
          <w:bCs/>
          <w:vertAlign w:val="subscript"/>
        </w:rPr>
        <w:t>TD</w:t>
      </w:r>
      <w:r w:rsidRPr="000774AC">
        <w:tab/>
      </w:r>
      <w:r w:rsidRPr="000774AC">
        <w:rPr>
          <w:b/>
          <w:bCs/>
        </w:rPr>
        <w:t>=</w:t>
      </w:r>
      <w:r w:rsidRPr="000774AC">
        <w:t xml:space="preserve"> the </w:t>
      </w:r>
      <w:r>
        <w:t xml:space="preserve">Estimated </w:t>
      </w:r>
      <w:r w:rsidRPr="000774AC">
        <w:t>Linearly Derating Capacity</w:t>
      </w:r>
      <w:r>
        <w:t xml:space="preserve"> of the Project as at the Tender Date; </w:t>
      </w:r>
    </w:p>
    <w:p w14:paraId="0D3F0256" w14:textId="3C9A5F26" w:rsidR="00760981" w:rsidRPr="006174FB" w:rsidRDefault="00760981" w:rsidP="008F660B">
      <w:pPr>
        <w:pStyle w:val="SchedH3"/>
        <w:numPr>
          <w:ilvl w:val="0"/>
          <w:numId w:val="0"/>
        </w:numPr>
        <w:ind w:left="1474"/>
      </w:pPr>
      <w:r w:rsidRPr="000774AC">
        <w:rPr>
          <w:b/>
          <w:bCs/>
        </w:rPr>
        <w:t xml:space="preserve">Export </w:t>
      </w:r>
      <w:r w:rsidRPr="006174FB">
        <w:rPr>
          <w:b/>
          <w:bCs/>
        </w:rPr>
        <w:t>Capacity</w:t>
      </w:r>
      <w:r w:rsidRPr="006174FB">
        <w:t xml:space="preserve"> = the Export Capacity for the Project as defined in item</w:t>
      </w:r>
      <w:r w:rsidR="003E5DAD">
        <w:t> </w:t>
      </w:r>
      <w:r w:rsidR="00336E89" w:rsidRPr="006174FB">
        <w:fldChar w:fldCharType="begin"/>
      </w:r>
      <w:r w:rsidR="00336E89" w:rsidRPr="006174FB">
        <w:instrText xml:space="preserve"> REF _Ref172454687 \n \h </w:instrText>
      </w:r>
      <w:r w:rsidR="006174FB">
        <w:instrText xml:space="preserve"> \* MERGEFORMAT </w:instrText>
      </w:r>
      <w:r w:rsidR="00336E89" w:rsidRPr="006174FB">
        <w:fldChar w:fldCharType="separate"/>
      </w:r>
      <w:r w:rsidR="002E5C6A">
        <w:t>3</w:t>
      </w:r>
      <w:r w:rsidR="00336E89" w:rsidRPr="006174FB">
        <w:fldChar w:fldCharType="end"/>
      </w:r>
      <w:r w:rsidRPr="006174FB">
        <w:t xml:space="preserve"> of the Reference Details;</w:t>
      </w:r>
    </w:p>
    <w:p w14:paraId="45494853" w14:textId="109DC2D6" w:rsidR="00760981" w:rsidRPr="006174FB" w:rsidRDefault="00760981" w:rsidP="008F660B">
      <w:pPr>
        <w:pStyle w:val="SchedH3"/>
        <w:numPr>
          <w:ilvl w:val="0"/>
          <w:numId w:val="0"/>
        </w:numPr>
        <w:ind w:left="1474"/>
      </w:pPr>
      <w:r w:rsidRPr="006174FB">
        <w:rPr>
          <w:b/>
          <w:bCs/>
        </w:rPr>
        <w:t>Storage Capacity</w:t>
      </w:r>
      <w:r w:rsidRPr="006174FB">
        <w:rPr>
          <w:b/>
          <w:bCs/>
          <w:vertAlign w:val="subscript"/>
        </w:rPr>
        <w:t>COD</w:t>
      </w:r>
      <w:r w:rsidRPr="006174FB">
        <w:rPr>
          <w:b/>
          <w:bCs/>
        </w:rPr>
        <w:t xml:space="preserve"> = </w:t>
      </w:r>
      <w:r w:rsidRPr="006174FB">
        <w:t xml:space="preserve">the Storage Capacity (in MWh) of the Project as at the Commercial Operations Date, as defined in item </w:t>
      </w:r>
      <w:r w:rsidR="00336E89" w:rsidRPr="006174FB">
        <w:fldChar w:fldCharType="begin"/>
      </w:r>
      <w:r w:rsidR="00336E89" w:rsidRPr="006174FB">
        <w:instrText xml:space="preserve"> REF _Ref172454712 \n \h </w:instrText>
      </w:r>
      <w:r w:rsidR="006174FB">
        <w:instrText xml:space="preserve"> \* MERGEFORMAT </w:instrText>
      </w:r>
      <w:r w:rsidR="00336E89" w:rsidRPr="006174FB">
        <w:fldChar w:fldCharType="separate"/>
      </w:r>
      <w:r w:rsidR="002E5C6A">
        <w:t>4</w:t>
      </w:r>
      <w:r w:rsidR="00336E89" w:rsidRPr="006174FB">
        <w:fldChar w:fldCharType="end"/>
      </w:r>
      <w:r w:rsidRPr="006174FB">
        <w:t xml:space="preserve"> of the Reference Details; and</w:t>
      </w:r>
    </w:p>
    <w:p w14:paraId="27688300" w14:textId="77777777" w:rsidR="00760981" w:rsidRPr="006174FB" w:rsidRDefault="00760981" w:rsidP="008F660B">
      <w:pPr>
        <w:pStyle w:val="SchedH3"/>
        <w:numPr>
          <w:ilvl w:val="0"/>
          <w:numId w:val="0"/>
        </w:numPr>
        <w:ind w:left="1474"/>
      </w:pPr>
      <w:r w:rsidRPr="006174FB">
        <w:rPr>
          <w:b/>
          <w:bCs/>
        </w:rPr>
        <w:t>Reference Duration</w:t>
      </w:r>
      <w:r w:rsidRPr="006174FB">
        <w:rPr>
          <w:b/>
          <w:bCs/>
          <w:vertAlign w:val="subscript"/>
        </w:rPr>
        <w:t>TD</w:t>
      </w:r>
      <w:r w:rsidRPr="006174FB">
        <w:rPr>
          <w:b/>
          <w:bCs/>
        </w:rPr>
        <w:t xml:space="preserve"> </w:t>
      </w:r>
      <w:r w:rsidRPr="006174FB">
        <w:t>= the reference duration as at the Tender Date, being 6 hours.</w:t>
      </w:r>
    </w:p>
    <w:p w14:paraId="6F767196" w14:textId="77777777" w:rsidR="00760981" w:rsidRPr="006174FB" w:rsidRDefault="00760981" w:rsidP="008F660B">
      <w:pPr>
        <w:pStyle w:val="SchedH3"/>
        <w:numPr>
          <w:ilvl w:val="3"/>
          <w:numId w:val="91"/>
        </w:numPr>
      </w:pPr>
      <w:bookmarkStart w:id="5402" w:name="_Ref206491758"/>
      <w:r w:rsidRPr="006174FB">
        <w:t>The Estimated Linearly Derating Capacity of the Project for the relevant Support Year is calculated in accordance with the following formula:</w:t>
      </w:r>
      <w:bookmarkEnd w:id="5402"/>
    </w:p>
    <w:p w14:paraId="2DF0787C" w14:textId="77777777" w:rsidR="00760981" w:rsidRPr="006174FB" w:rsidRDefault="0057509B" w:rsidP="008F660B">
      <w:pPr>
        <w:pStyle w:val="SchedH3"/>
        <w:numPr>
          <w:ilvl w:val="0"/>
          <w:numId w:val="0"/>
        </w:numPr>
        <w:ind w:left="737"/>
      </w:pPr>
      <m:oMathPara>
        <m:oMath>
          <m:sSub>
            <m:sSubPr>
              <m:ctrlPr>
                <w:rPr>
                  <w:rFonts w:ascii="Cambria Math" w:hAnsi="Cambria Math"/>
                  <w:i/>
                </w:rPr>
              </m:ctrlPr>
            </m:sSubPr>
            <m:e>
              <m:r>
                <w:rPr>
                  <w:rFonts w:ascii="Cambria Math" w:hAnsi="Cambria Math"/>
                </w:rPr>
                <m:t>ELDC</m:t>
              </m:r>
            </m:e>
            <m:sub>
              <m:r>
                <w:rPr>
                  <w:rFonts w:ascii="Cambria Math" w:hAnsi="Cambria Math"/>
                </w:rPr>
                <m:t>SY</m:t>
              </m:r>
            </m:sub>
          </m:sSub>
          <m:r>
            <w:rPr>
              <w:rFonts w:ascii="Cambria Math" w:hAnsi="Cambria Math"/>
            </w:rPr>
            <m:t>=Export Capacity* Min(</m:t>
          </m:r>
          <m:f>
            <m:fPr>
              <m:ctrlPr>
                <w:rPr>
                  <w:rFonts w:ascii="Cambria Math" w:hAnsi="Cambria Math"/>
                  <w:i/>
                </w:rPr>
              </m:ctrlPr>
            </m:fPr>
            <m:num>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Storage Capacity</m:t>
                          </m:r>
                        </m:e>
                        <m:sub>
                          <m:r>
                            <w:rPr>
                              <w:rFonts w:ascii="Cambria Math" w:hAnsi="Cambria Math"/>
                            </w:rPr>
                            <m:t>COD</m:t>
                          </m:r>
                        </m:sub>
                      </m:sSub>
                    </m:num>
                    <m:den>
                      <m:r>
                        <w:rPr>
                          <w:rFonts w:ascii="Cambria Math" w:hAnsi="Cambria Math"/>
                        </w:rPr>
                        <m:t>Export Capacity</m:t>
                      </m:r>
                    </m:den>
                  </m:f>
                </m:e>
              </m:d>
            </m:num>
            <m:den>
              <m:sSub>
                <m:sSubPr>
                  <m:ctrlPr>
                    <w:rPr>
                      <w:rFonts w:ascii="Cambria Math" w:hAnsi="Cambria Math"/>
                      <w:i/>
                    </w:rPr>
                  </m:ctrlPr>
                </m:sSubPr>
                <m:e>
                  <m:r>
                    <w:rPr>
                      <w:rFonts w:ascii="Cambria Math" w:hAnsi="Cambria Math"/>
                    </w:rPr>
                    <m:t>ESROD</m:t>
                  </m:r>
                </m:e>
                <m:sub>
                  <m:r>
                    <w:rPr>
                      <w:rFonts w:ascii="Cambria Math" w:hAnsi="Cambria Math"/>
                    </w:rPr>
                    <m:t>SY</m:t>
                  </m:r>
                </m:sub>
              </m:sSub>
            </m:den>
          </m:f>
          <m:r>
            <w:rPr>
              <w:rFonts w:ascii="Cambria Math" w:hAnsi="Cambria Math"/>
            </w:rPr>
            <m:t>,1)</m:t>
          </m:r>
        </m:oMath>
      </m:oMathPara>
    </w:p>
    <w:p w14:paraId="7D4B0396" w14:textId="1D2A92E1" w:rsidR="00760981" w:rsidRPr="006174FB" w:rsidRDefault="00597F22" w:rsidP="003E5DAD">
      <w:pPr>
        <w:ind w:left="1474"/>
      </w:pPr>
      <w:r>
        <w:t>w</w:t>
      </w:r>
      <w:r w:rsidR="00760981" w:rsidRPr="006174FB">
        <w:t>here:</w:t>
      </w:r>
    </w:p>
    <w:p w14:paraId="41D589D4" w14:textId="77777777" w:rsidR="00760981" w:rsidRPr="006174FB" w:rsidRDefault="00760981" w:rsidP="00760981"/>
    <w:p w14:paraId="38155911" w14:textId="67A78C4A" w:rsidR="00760981" w:rsidRPr="006174FB" w:rsidRDefault="00760981" w:rsidP="008F660B">
      <w:pPr>
        <w:pStyle w:val="SchedH3"/>
        <w:numPr>
          <w:ilvl w:val="0"/>
          <w:numId w:val="0"/>
        </w:numPr>
        <w:ind w:left="1474"/>
      </w:pPr>
      <w:r w:rsidRPr="006174FB">
        <w:rPr>
          <w:b/>
          <w:bCs/>
        </w:rPr>
        <w:t>ELDC</w:t>
      </w:r>
      <w:r w:rsidRPr="006174FB">
        <w:rPr>
          <w:b/>
          <w:bCs/>
          <w:vertAlign w:val="subscript"/>
        </w:rPr>
        <w:t>SY</w:t>
      </w:r>
      <w:r w:rsidRPr="006174FB">
        <w:tab/>
        <w:t>= the Estimated Linearly Derating Capacity of the Project for the relevant Support Year;</w:t>
      </w:r>
    </w:p>
    <w:p w14:paraId="2606ACDB" w14:textId="275DF635" w:rsidR="00760981" w:rsidRPr="006174FB" w:rsidRDefault="00760981" w:rsidP="008F660B">
      <w:pPr>
        <w:pStyle w:val="SchedH3"/>
        <w:numPr>
          <w:ilvl w:val="0"/>
          <w:numId w:val="0"/>
        </w:numPr>
        <w:ind w:left="1474"/>
      </w:pPr>
      <w:r w:rsidRPr="006174FB">
        <w:rPr>
          <w:b/>
          <w:bCs/>
        </w:rPr>
        <w:t>Export Capacity</w:t>
      </w:r>
      <w:r w:rsidRPr="006174FB">
        <w:t xml:space="preserve"> = the Export Capacity of the Project as defined in item</w:t>
      </w:r>
      <w:r w:rsidR="00143457">
        <w:t> </w:t>
      </w:r>
      <w:r w:rsidR="00336E89" w:rsidRPr="006174FB">
        <w:fldChar w:fldCharType="begin"/>
      </w:r>
      <w:r w:rsidR="00336E89" w:rsidRPr="006174FB">
        <w:instrText xml:space="preserve"> REF _Ref172454687 \n \h </w:instrText>
      </w:r>
      <w:r w:rsidR="006174FB">
        <w:instrText xml:space="preserve"> \* MERGEFORMAT </w:instrText>
      </w:r>
      <w:r w:rsidR="00336E89" w:rsidRPr="006174FB">
        <w:fldChar w:fldCharType="separate"/>
      </w:r>
      <w:r w:rsidR="002E5C6A">
        <w:t>3</w:t>
      </w:r>
      <w:r w:rsidR="00336E89" w:rsidRPr="006174FB">
        <w:fldChar w:fldCharType="end"/>
      </w:r>
      <w:r w:rsidRPr="006174FB">
        <w:t xml:space="preserve"> of the Reference Details;</w:t>
      </w:r>
    </w:p>
    <w:p w14:paraId="69221291" w14:textId="45B24655" w:rsidR="00760981" w:rsidRDefault="00760981" w:rsidP="008F660B">
      <w:pPr>
        <w:pStyle w:val="SchedH3"/>
        <w:numPr>
          <w:ilvl w:val="0"/>
          <w:numId w:val="0"/>
        </w:numPr>
        <w:ind w:left="1474"/>
      </w:pPr>
      <w:r w:rsidRPr="006174FB">
        <w:rPr>
          <w:b/>
          <w:bCs/>
        </w:rPr>
        <w:t>Storage Capacity</w:t>
      </w:r>
      <w:r w:rsidRPr="006174FB">
        <w:rPr>
          <w:b/>
          <w:bCs/>
          <w:vertAlign w:val="subscript"/>
        </w:rPr>
        <w:t>COD</w:t>
      </w:r>
      <w:r w:rsidRPr="006174FB">
        <w:rPr>
          <w:b/>
          <w:bCs/>
        </w:rPr>
        <w:t xml:space="preserve"> </w:t>
      </w:r>
      <w:r w:rsidRPr="006174FB">
        <w:t>=</w:t>
      </w:r>
      <w:r w:rsidRPr="006174FB">
        <w:rPr>
          <w:b/>
          <w:bCs/>
        </w:rPr>
        <w:t xml:space="preserve"> </w:t>
      </w:r>
      <w:r w:rsidRPr="006174FB">
        <w:t xml:space="preserve">the Storage Capacity (in MWh) of the Project as at the Commercial Operations Date, as defined in item </w:t>
      </w:r>
      <w:r w:rsidR="00336E89" w:rsidRPr="006174FB">
        <w:fldChar w:fldCharType="begin"/>
      </w:r>
      <w:r w:rsidR="00336E89" w:rsidRPr="006174FB">
        <w:instrText xml:space="preserve"> REF _Ref172454712 \n \h </w:instrText>
      </w:r>
      <w:r w:rsidR="006174FB">
        <w:instrText xml:space="preserve"> \* MERGEFORMAT </w:instrText>
      </w:r>
      <w:r w:rsidR="00336E89" w:rsidRPr="006174FB">
        <w:fldChar w:fldCharType="separate"/>
      </w:r>
      <w:r w:rsidR="002E5C6A">
        <w:t>4</w:t>
      </w:r>
      <w:r w:rsidR="00336E89" w:rsidRPr="006174FB">
        <w:fldChar w:fldCharType="end"/>
      </w:r>
      <w:r w:rsidRPr="006174FB">
        <w:t xml:space="preserve"> of the Reference Details; and</w:t>
      </w:r>
    </w:p>
    <w:p w14:paraId="5B2F29AE" w14:textId="77777777" w:rsidR="00760981" w:rsidRDefault="00760981" w:rsidP="008F660B">
      <w:pPr>
        <w:pStyle w:val="SchedH3"/>
        <w:numPr>
          <w:ilvl w:val="0"/>
          <w:numId w:val="0"/>
        </w:numPr>
        <w:ind w:left="1474"/>
      </w:pPr>
      <w:r w:rsidRPr="000774AC">
        <w:rPr>
          <w:b/>
          <w:bCs/>
        </w:rPr>
        <w:t>ESR</w:t>
      </w:r>
      <w:r>
        <w:rPr>
          <w:b/>
          <w:bCs/>
        </w:rPr>
        <w:t>OD</w:t>
      </w:r>
      <w:r w:rsidRPr="000774AC">
        <w:rPr>
          <w:b/>
          <w:bCs/>
          <w:vertAlign w:val="subscript"/>
        </w:rPr>
        <w:t>S</w:t>
      </w:r>
      <w:r>
        <w:rPr>
          <w:b/>
          <w:bCs/>
          <w:vertAlign w:val="subscript"/>
        </w:rPr>
        <w:t>Y</w:t>
      </w:r>
      <w:r w:rsidRPr="000774AC">
        <w:rPr>
          <w:b/>
          <w:bCs/>
        </w:rPr>
        <w:t xml:space="preserve"> </w:t>
      </w:r>
      <w:r w:rsidRPr="000774AC">
        <w:t xml:space="preserve">= </w:t>
      </w:r>
      <w:r>
        <w:t>t</w:t>
      </w:r>
      <w:r w:rsidRPr="000774AC">
        <w:t xml:space="preserve">he Electric Storage Resource </w:t>
      </w:r>
      <w:r>
        <w:t xml:space="preserve">Obligation </w:t>
      </w:r>
      <w:r w:rsidRPr="000774AC">
        <w:t>Duration (as defined in the ESM Rules) (</w:t>
      </w:r>
      <w:r>
        <w:t xml:space="preserve">expressed </w:t>
      </w:r>
      <w:r w:rsidRPr="000774AC">
        <w:t xml:space="preserve">in hours) </w:t>
      </w:r>
      <w:r>
        <w:t>of</w:t>
      </w:r>
      <w:r w:rsidRPr="000774AC">
        <w:t xml:space="preserve"> the Project </w:t>
      </w:r>
      <w:r>
        <w:t>for</w:t>
      </w:r>
      <w:r w:rsidRPr="000774AC">
        <w:t xml:space="preserve"> the relevant Support Year</w:t>
      </w:r>
      <w:r>
        <w:t>.</w:t>
      </w:r>
    </w:p>
    <w:p w14:paraId="3B5ECC5B" w14:textId="77777777" w:rsidR="00760981" w:rsidRDefault="00760981" w:rsidP="008F660B">
      <w:pPr>
        <w:pStyle w:val="SchedH1"/>
        <w:numPr>
          <w:ilvl w:val="1"/>
          <w:numId w:val="91"/>
        </w:numPr>
        <w:ind w:left="737" w:hanging="737"/>
      </w:pPr>
      <w:r>
        <w:t>Quarterly Payment Amounts</w:t>
      </w:r>
    </w:p>
    <w:p w14:paraId="3ED29839" w14:textId="77777777" w:rsidR="00760981" w:rsidRDefault="00760981" w:rsidP="005820DA">
      <w:pPr>
        <w:pStyle w:val="SchedH2"/>
        <w:numPr>
          <w:ilvl w:val="2"/>
          <w:numId w:val="91"/>
        </w:numPr>
      </w:pPr>
      <w:bookmarkStart w:id="5403" w:name="_Hlk200047679"/>
      <w:r>
        <w:t xml:space="preserve">Payment of Quarterly Payment Amount </w:t>
      </w:r>
    </w:p>
    <w:p w14:paraId="3026A264" w14:textId="4DB54E84" w:rsidR="00760981" w:rsidRDefault="00760981" w:rsidP="008F660B">
      <w:pPr>
        <w:pStyle w:val="SchedH3"/>
        <w:numPr>
          <w:ilvl w:val="3"/>
          <w:numId w:val="91"/>
        </w:numPr>
      </w:pPr>
      <w:r>
        <w:t xml:space="preserve">The Quarterly Payment Amount is payable for each Quarter (other than the last Quarter) of the Support Year, in accordance with clause </w:t>
      </w:r>
      <w:r>
        <w:fldChar w:fldCharType="begin"/>
      </w:r>
      <w:r>
        <w:instrText xml:space="preserve"> REF _Ref467049795 \w \h  \* MERGEFORMAT </w:instrText>
      </w:r>
      <w:r>
        <w:fldChar w:fldCharType="separate"/>
      </w:r>
      <w:r w:rsidR="002E5C6A">
        <w:t>16</w:t>
      </w:r>
      <w:r>
        <w:fldChar w:fldCharType="end"/>
      </w:r>
      <w:r>
        <w:t xml:space="preserve"> </w:t>
      </w:r>
      <w:r w:rsidRPr="008129EB">
        <w:t>(“</w:t>
      </w:r>
      <w:r w:rsidRPr="008129EB">
        <w:fldChar w:fldCharType="begin"/>
      </w:r>
      <w:r w:rsidRPr="008129EB">
        <w:instrText xml:space="preserve"> REF _Ref467049795 \h </w:instrText>
      </w:r>
      <w:r w:rsidRPr="008129EB">
        <w:fldChar w:fldCharType="separate"/>
      </w:r>
      <w:r w:rsidR="002E5C6A">
        <w:t>Billing and payment</w:t>
      </w:r>
      <w:r w:rsidRPr="008129EB">
        <w:fldChar w:fldCharType="end"/>
      </w:r>
      <w:r>
        <w:t>”</w:t>
      </w:r>
      <w:r w:rsidRPr="008129EB">
        <w:t>)</w:t>
      </w:r>
      <w:r>
        <w:t xml:space="preserve"> and is calculated as follows:</w:t>
      </w:r>
    </w:p>
    <w:p w14:paraId="5530AE71" w14:textId="546C7E76" w:rsidR="00760981" w:rsidRDefault="00760981" w:rsidP="00143457">
      <w:pPr>
        <w:pStyle w:val="SchedH4"/>
        <w:numPr>
          <w:ilvl w:val="4"/>
          <w:numId w:val="91"/>
        </w:numPr>
      </w:pPr>
      <w:r>
        <w:t xml:space="preserve">if the Net Operational Revenue for the relevant Quarter is less than the Quarterly Revenue Floor, then the Commonwealth must pay to Project Operator the Quarterly Payment Amount calculated in accordance with item </w:t>
      </w:r>
      <w:r>
        <w:fldChar w:fldCharType="begin"/>
      </w:r>
      <w:r>
        <w:instrText xml:space="preserve"> REF _Ref201783757 \n \h </w:instrText>
      </w:r>
      <w:r>
        <w:fldChar w:fldCharType="separate"/>
      </w:r>
      <w:r w:rsidR="002E5C6A">
        <w:t>3.2</w:t>
      </w:r>
      <w:r>
        <w:fldChar w:fldCharType="end"/>
      </w:r>
      <w:r>
        <w:fldChar w:fldCharType="begin"/>
      </w:r>
      <w:r>
        <w:instrText xml:space="preserve"> REF _Ref202207129 \n \h </w:instrText>
      </w:r>
      <w:r>
        <w:fldChar w:fldCharType="separate"/>
      </w:r>
      <w:r w:rsidR="002E5C6A">
        <w:t>(a)</w:t>
      </w:r>
      <w:r>
        <w:fldChar w:fldCharType="end"/>
      </w:r>
      <w:r>
        <w:t xml:space="preserve"> (“</w:t>
      </w:r>
      <w:r>
        <w:fldChar w:fldCharType="begin"/>
      </w:r>
      <w:r>
        <w:instrText xml:space="preserve"> REF _Ref201783757 \h </w:instrText>
      </w:r>
      <w:r>
        <w:fldChar w:fldCharType="separate"/>
      </w:r>
      <w:r w:rsidR="002E5C6A">
        <w:t>Calculation of Quarterly Payment Amount</w:t>
      </w:r>
      <w:r>
        <w:fldChar w:fldCharType="end"/>
      </w:r>
      <w:r>
        <w:t xml:space="preserve">”); </w:t>
      </w:r>
    </w:p>
    <w:p w14:paraId="47A11644" w14:textId="65B6DFB6" w:rsidR="00760981" w:rsidRDefault="00760981" w:rsidP="00143457">
      <w:pPr>
        <w:pStyle w:val="SchedH4"/>
        <w:numPr>
          <w:ilvl w:val="4"/>
          <w:numId w:val="91"/>
        </w:numPr>
      </w:pPr>
      <w:r>
        <w:t xml:space="preserve">if the Net Operational Revenue for the relevant Quarter is greater than the Quarterly Revenue Ceiling, then Project Operator must pay to the Commonwealth the Quarterly Payment Amount calculated in accordance with item </w:t>
      </w:r>
      <w:r>
        <w:fldChar w:fldCharType="begin"/>
      </w:r>
      <w:r>
        <w:instrText xml:space="preserve"> REF _Ref201783757 \n \h </w:instrText>
      </w:r>
      <w:r>
        <w:fldChar w:fldCharType="separate"/>
      </w:r>
      <w:r w:rsidR="002E5C6A">
        <w:t>3.2</w:t>
      </w:r>
      <w:r>
        <w:fldChar w:fldCharType="end"/>
      </w:r>
      <w:r>
        <w:fldChar w:fldCharType="begin"/>
      </w:r>
      <w:r>
        <w:instrText xml:space="preserve"> REF _Ref202207178 \n \h </w:instrText>
      </w:r>
      <w:r>
        <w:fldChar w:fldCharType="separate"/>
      </w:r>
      <w:r w:rsidR="002E5C6A">
        <w:t>(b)</w:t>
      </w:r>
      <w:r>
        <w:fldChar w:fldCharType="end"/>
      </w:r>
      <w:r>
        <w:t xml:space="preserve"> (“</w:t>
      </w:r>
      <w:r>
        <w:fldChar w:fldCharType="begin"/>
      </w:r>
      <w:r>
        <w:instrText xml:space="preserve"> REF _Ref201783757 \h </w:instrText>
      </w:r>
      <w:r>
        <w:fldChar w:fldCharType="separate"/>
      </w:r>
      <w:r w:rsidR="002E5C6A">
        <w:t>Calculation of Quarterly Payment Amount</w:t>
      </w:r>
      <w:r>
        <w:fldChar w:fldCharType="end"/>
      </w:r>
      <w:r>
        <w:t>”); and</w:t>
      </w:r>
    </w:p>
    <w:p w14:paraId="09E01A27" w14:textId="38FE77CA" w:rsidR="00760981" w:rsidRDefault="00760981" w:rsidP="00143457">
      <w:pPr>
        <w:pStyle w:val="SchedH4"/>
        <w:numPr>
          <w:ilvl w:val="4"/>
          <w:numId w:val="91"/>
        </w:numPr>
      </w:pPr>
      <w:r>
        <w:t>i</w:t>
      </w:r>
      <w:r w:rsidRPr="00857F2A">
        <w:t xml:space="preserve">f the Net Operational Revenue for the relevant Quarter is equal to or greater than the Quarterly Revenue Floor and equal to or less than the Quarterly Revenue Ceiling, then </w:t>
      </w:r>
      <w:r>
        <w:t xml:space="preserve">no </w:t>
      </w:r>
      <w:r w:rsidRPr="00857F2A">
        <w:t>Quarterly Payment Amount</w:t>
      </w:r>
      <w:r>
        <w:t xml:space="preserve"> is</w:t>
      </w:r>
      <w:r w:rsidRPr="00857F2A">
        <w:t xml:space="preserve"> payable </w:t>
      </w:r>
      <w:r>
        <w:t xml:space="preserve">by either party in accordance with item </w:t>
      </w:r>
      <w:r>
        <w:fldChar w:fldCharType="begin"/>
      </w:r>
      <w:r>
        <w:instrText xml:space="preserve"> REF _Ref201783757 \n \h </w:instrText>
      </w:r>
      <w:r>
        <w:fldChar w:fldCharType="separate"/>
      </w:r>
      <w:r w:rsidR="002E5C6A">
        <w:t>3.2</w:t>
      </w:r>
      <w:r>
        <w:fldChar w:fldCharType="end"/>
      </w:r>
      <w:r>
        <w:fldChar w:fldCharType="begin"/>
      </w:r>
      <w:r>
        <w:instrText xml:space="preserve"> REF _Ref206360454 \n \h </w:instrText>
      </w:r>
      <w:r>
        <w:fldChar w:fldCharType="separate"/>
      </w:r>
      <w:r w:rsidR="002E5C6A">
        <w:t>(c)</w:t>
      </w:r>
      <w:r>
        <w:fldChar w:fldCharType="end"/>
      </w:r>
      <w:r>
        <w:t xml:space="preserve"> (“</w:t>
      </w:r>
      <w:r>
        <w:fldChar w:fldCharType="begin"/>
      </w:r>
      <w:r>
        <w:instrText xml:space="preserve"> REF _Ref201783757 \h </w:instrText>
      </w:r>
      <w:r>
        <w:fldChar w:fldCharType="separate"/>
      </w:r>
      <w:r w:rsidR="002E5C6A">
        <w:t>Calculation of Quarterly Payment Amount</w:t>
      </w:r>
      <w:r>
        <w:fldChar w:fldCharType="end"/>
      </w:r>
      <w:r>
        <w:t>”),</w:t>
      </w:r>
    </w:p>
    <w:p w14:paraId="75580FC6" w14:textId="1C39EBD5" w:rsidR="00760981" w:rsidRDefault="00760981" w:rsidP="00760981">
      <w:pPr>
        <w:pStyle w:val="Indent3"/>
      </w:pPr>
      <w:r>
        <w:t xml:space="preserve">in each case subject to item </w:t>
      </w:r>
      <w:r>
        <w:fldChar w:fldCharType="begin"/>
      </w:r>
      <w:r>
        <w:instrText xml:space="preserve"> REF _Ref202207184 \n \h </w:instrText>
      </w:r>
      <w:r>
        <w:fldChar w:fldCharType="separate"/>
      </w:r>
      <w:r w:rsidR="002E5C6A">
        <w:t>3.11</w:t>
      </w:r>
      <w:r>
        <w:fldChar w:fldCharType="end"/>
      </w:r>
      <w:r>
        <w:t xml:space="preserve"> (“</w:t>
      </w:r>
      <w:r>
        <w:fldChar w:fldCharType="begin"/>
      </w:r>
      <w:r>
        <w:instrText xml:space="preserve"> REF _Ref202207184 \h </w:instrText>
      </w:r>
      <w:r>
        <w:fldChar w:fldCharType="separate"/>
      </w:r>
      <w:r w:rsidR="002E5C6A">
        <w:t>Cap and other limits on Quarterly Payment Amounts</w:t>
      </w:r>
      <w:r>
        <w:fldChar w:fldCharType="end"/>
      </w:r>
      <w:r>
        <w:t>”).</w:t>
      </w:r>
    </w:p>
    <w:p w14:paraId="4E621551" w14:textId="77777777" w:rsidR="00760981" w:rsidRDefault="00760981" w:rsidP="008F660B">
      <w:pPr>
        <w:pStyle w:val="SchedH3"/>
        <w:numPr>
          <w:ilvl w:val="3"/>
          <w:numId w:val="91"/>
        </w:numPr>
      </w:pPr>
      <w:r>
        <w:t xml:space="preserve">No amount is payable on account of the Quarterly Payment Amount in respect of the last Quarter in the Support Year. </w:t>
      </w:r>
    </w:p>
    <w:p w14:paraId="23D89DF8" w14:textId="77777777" w:rsidR="00760981" w:rsidRDefault="00760981" w:rsidP="005820DA">
      <w:pPr>
        <w:pStyle w:val="SchedH2"/>
        <w:numPr>
          <w:ilvl w:val="2"/>
          <w:numId w:val="91"/>
        </w:numPr>
      </w:pPr>
      <w:bookmarkStart w:id="5404" w:name="_Ref201783757"/>
      <w:r>
        <w:t>Calculation of Quarterly Payment Amount</w:t>
      </w:r>
      <w:bookmarkEnd w:id="5404"/>
      <w:r>
        <w:t xml:space="preserve"> </w:t>
      </w:r>
    </w:p>
    <w:p w14:paraId="4830E8E4" w14:textId="77777777" w:rsidR="00760981" w:rsidRDefault="00760981" w:rsidP="008F660B">
      <w:pPr>
        <w:pStyle w:val="SchedH3"/>
        <w:keepNext/>
        <w:numPr>
          <w:ilvl w:val="3"/>
          <w:numId w:val="91"/>
        </w:numPr>
      </w:pPr>
      <w:bookmarkStart w:id="5405" w:name="_Ref202207129"/>
      <w:r>
        <w:t>If the Net Operational Revenue for the relevant Quarter is less than the Quarterly Revenue Floor, then the “</w:t>
      </w:r>
      <w:r>
        <w:rPr>
          <w:b/>
          <w:bCs/>
        </w:rPr>
        <w:t>Quarterly Payment Amount</w:t>
      </w:r>
      <w:r>
        <w:t>” payable in respect of a Quarter is calculated as follows:</w:t>
      </w:r>
      <w:bookmarkEnd w:id="5405"/>
    </w:p>
    <w:p w14:paraId="17635CB4" w14:textId="4D754509" w:rsidR="00760981" w:rsidRPr="00343AF3" w:rsidRDefault="0057509B" w:rsidP="00760981">
      <w:pPr>
        <w:pStyle w:val="Indent2"/>
        <w:keepNext/>
        <w:tabs>
          <w:tab w:val="left" w:pos="2325"/>
          <w:tab w:val="left" w:pos="2665"/>
        </w:tabs>
        <w:ind w:left="0"/>
      </w:pPr>
      <m:oMathPara>
        <m:oMathParaPr>
          <m:jc m:val="center"/>
        </m:oMathParaPr>
        <m:oMath>
          <m:sSub>
            <m:sSubPr>
              <m:ctrlPr>
                <w:rPr>
                  <w:rFonts w:ascii="Cambria Math" w:hAnsi="Cambria Math"/>
                </w:rPr>
              </m:ctrlPr>
            </m:sSubPr>
            <m:e>
              <m:r>
                <w:rPr>
                  <w:rFonts w:ascii="Cambria Math" w:hAnsi="Cambria Math"/>
                </w:rPr>
                <m:t>QPA</m:t>
              </m:r>
            </m:e>
            <m:sub>
              <m:r>
                <w:rPr>
                  <w:rFonts w:ascii="Cambria Math" w:hAnsi="Cambria Math"/>
                </w:rPr>
                <m:t>Q</m:t>
              </m:r>
            </m:sub>
          </m:sSub>
          <m:r>
            <m:rPr>
              <m:sty m:val="p"/>
            </m:rPr>
            <w:rPr>
              <w:rFonts w:ascii="Cambria Math" w:hAnsi="Cambria Math"/>
            </w:rPr>
            <m:t>=J×(</m:t>
          </m:r>
          <m:sSub>
            <m:sSubPr>
              <m:ctrlPr>
                <w:rPr>
                  <w:rFonts w:ascii="Cambria Math" w:hAnsi="Cambria Math"/>
                </w:rPr>
              </m:ctrlPr>
            </m:sSubPr>
            <m:e>
              <m:r>
                <w:rPr>
                  <w:rFonts w:ascii="Cambria Math" w:hAnsi="Cambria Math"/>
                </w:rPr>
                <m:t>QRF</m:t>
              </m:r>
            </m:e>
            <m:sub>
              <m:r>
                <w:rPr>
                  <w:rFonts w:ascii="Cambria Math" w:hAnsi="Cambria Math"/>
                </w:rPr>
                <m:t>Q</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QNOR</m:t>
              </m:r>
            </m:e>
            <m:sub>
              <m:r>
                <w:rPr>
                  <w:rFonts w:ascii="Cambria Math" w:hAnsi="Cambria Math"/>
                </w:rPr>
                <m:t>Q</m:t>
              </m:r>
            </m:sub>
          </m:sSub>
          <m:r>
            <m:rPr>
              <m:sty m:val="p"/>
            </m:rPr>
            <w:rPr>
              <w:rFonts w:ascii="Cambria Math" w:hAnsi="Cambria Math"/>
            </w:rPr>
            <m:t>)</m:t>
          </m:r>
        </m:oMath>
      </m:oMathPara>
    </w:p>
    <w:p w14:paraId="59E8321E" w14:textId="77777777" w:rsidR="00760981" w:rsidRDefault="00760981" w:rsidP="00143457">
      <w:pPr>
        <w:pStyle w:val="Indent2"/>
        <w:keepNext/>
        <w:ind w:left="1474"/>
      </w:pPr>
      <w:r>
        <w:t>where:</w:t>
      </w:r>
    </w:p>
    <w:p w14:paraId="3BD782BD" w14:textId="77777777" w:rsidR="00760981" w:rsidRDefault="00760981" w:rsidP="00143457">
      <w:pPr>
        <w:pStyle w:val="Indent2"/>
        <w:tabs>
          <w:tab w:val="left" w:pos="1276"/>
          <w:tab w:val="left" w:pos="1701"/>
        </w:tabs>
        <w:ind w:left="2438" w:hanging="964"/>
      </w:pPr>
      <w:r>
        <w:rPr>
          <w:b/>
          <w:bCs/>
        </w:rPr>
        <w:t>J</w:t>
      </w:r>
      <w:r>
        <w:rPr>
          <w:b/>
          <w:bCs/>
        </w:rPr>
        <w:tab/>
      </w:r>
      <w:r>
        <w:rPr>
          <w:b/>
          <w:bCs/>
        </w:rPr>
        <w:tab/>
      </w:r>
      <w:r>
        <w:t>= the Revenue Floor Support Percentage for the Support Year in which the relevant Quarter arises, being 90%;</w:t>
      </w:r>
    </w:p>
    <w:p w14:paraId="55BF5E55" w14:textId="77777777" w:rsidR="00760981" w:rsidRDefault="00760981" w:rsidP="00143457">
      <w:pPr>
        <w:pStyle w:val="Indent2"/>
        <w:tabs>
          <w:tab w:val="left" w:pos="1560"/>
          <w:tab w:val="left" w:pos="1843"/>
        </w:tabs>
        <w:ind w:left="2580" w:hanging="1106"/>
      </w:pPr>
      <w:r>
        <w:rPr>
          <w:b/>
          <w:bCs/>
        </w:rPr>
        <w:t>QPA</w:t>
      </w:r>
      <w:r>
        <w:rPr>
          <w:b/>
          <w:bCs/>
          <w:vertAlign w:val="subscript"/>
        </w:rPr>
        <w:t>Q</w:t>
      </w:r>
      <w:r>
        <w:tab/>
        <w:t>=</w:t>
      </w:r>
      <w:r>
        <w:tab/>
        <w:t>the Quarterly Payment Amount for the Quarter payable by the Commonwealth;</w:t>
      </w:r>
    </w:p>
    <w:p w14:paraId="2992BC45" w14:textId="4BE642FD" w:rsidR="00760981" w:rsidRDefault="00760981" w:rsidP="00143457">
      <w:pPr>
        <w:pStyle w:val="Indent2"/>
        <w:tabs>
          <w:tab w:val="left" w:pos="1560"/>
          <w:tab w:val="left" w:pos="1843"/>
        </w:tabs>
        <w:ind w:left="2580" w:hanging="1106"/>
      </w:pPr>
      <w:r>
        <w:rPr>
          <w:b/>
          <w:bCs/>
        </w:rPr>
        <w:t>QRF</w:t>
      </w:r>
      <w:r>
        <w:rPr>
          <w:b/>
          <w:bCs/>
          <w:vertAlign w:val="subscript"/>
        </w:rPr>
        <w:t>Q</w:t>
      </w:r>
      <w:r>
        <w:tab/>
        <w:t>=</w:t>
      </w:r>
      <w:r>
        <w:tab/>
        <w:t xml:space="preserve">the Quarterly Revenue Floor for the Quarter calculated in accordance with item </w:t>
      </w:r>
      <w:r>
        <w:fldChar w:fldCharType="begin"/>
      </w:r>
      <w:r>
        <w:instrText xml:space="preserve"> REF _Ref199763889 \n \h </w:instrText>
      </w:r>
      <w:r>
        <w:fldChar w:fldCharType="separate"/>
      </w:r>
      <w:r w:rsidR="002E5C6A">
        <w:t>3.3</w:t>
      </w:r>
      <w:r>
        <w:fldChar w:fldCharType="end"/>
      </w:r>
      <w:r>
        <w:t xml:space="preserve"> (“</w:t>
      </w:r>
      <w:r>
        <w:fldChar w:fldCharType="begin"/>
      </w:r>
      <w:r>
        <w:instrText xml:space="preserve"> REF _Ref199763889 \h </w:instrText>
      </w:r>
      <w:r>
        <w:fldChar w:fldCharType="separate"/>
      </w:r>
      <w:r w:rsidR="002E5C6A">
        <w:t>Calculation of Quarterly Revenue Floor</w:t>
      </w:r>
      <w:r>
        <w:fldChar w:fldCharType="end"/>
      </w:r>
      <w:r>
        <w:t>”); and</w:t>
      </w:r>
    </w:p>
    <w:p w14:paraId="7D4D714A" w14:textId="77777777" w:rsidR="00760981" w:rsidRDefault="00760981" w:rsidP="00143457">
      <w:pPr>
        <w:pStyle w:val="Indent2"/>
        <w:tabs>
          <w:tab w:val="left" w:pos="1560"/>
          <w:tab w:val="left" w:pos="1843"/>
        </w:tabs>
        <w:ind w:left="1474"/>
      </w:pPr>
      <w:r>
        <w:rPr>
          <w:b/>
          <w:bCs/>
        </w:rPr>
        <w:t>QNOR</w:t>
      </w:r>
      <w:r>
        <w:rPr>
          <w:b/>
          <w:bCs/>
          <w:vertAlign w:val="subscript"/>
        </w:rPr>
        <w:t>Q</w:t>
      </w:r>
      <w:r>
        <w:tab/>
        <w:t>=</w:t>
      </w:r>
      <w:r>
        <w:tab/>
        <w:t>the Net Operational Revenue for the Quarter.</w:t>
      </w:r>
    </w:p>
    <w:p w14:paraId="1F001600" w14:textId="77777777" w:rsidR="00760981" w:rsidRDefault="00760981" w:rsidP="008F660B">
      <w:pPr>
        <w:pStyle w:val="SchedH3"/>
        <w:keepNext/>
        <w:numPr>
          <w:ilvl w:val="3"/>
          <w:numId w:val="91"/>
        </w:numPr>
      </w:pPr>
      <w:bookmarkStart w:id="5406" w:name="_Ref202207178"/>
      <w:r>
        <w:t xml:space="preserve">If the Net Operational Revenue for the relevant Quarter is </w:t>
      </w:r>
      <w:bookmarkStart w:id="5407" w:name="_Ref163503082"/>
      <w:r>
        <w:t>greater than the Quarterly Revenue Ceiling, then the “</w:t>
      </w:r>
      <w:r>
        <w:rPr>
          <w:b/>
        </w:rPr>
        <w:t>Quarterly Payment Amount</w:t>
      </w:r>
      <w:r>
        <w:t>” payable in respect of the Quarter is calculated as follows</w:t>
      </w:r>
      <w:bookmarkEnd w:id="5407"/>
      <w:r>
        <w:t>:</w:t>
      </w:r>
      <w:bookmarkEnd w:id="5406"/>
    </w:p>
    <w:p w14:paraId="6158CA0D" w14:textId="51CC8845" w:rsidR="00760981" w:rsidRPr="00343AF3" w:rsidRDefault="0057509B" w:rsidP="00760981">
      <w:pPr>
        <w:pStyle w:val="Indent2"/>
        <w:keepNext/>
        <w:ind w:left="0"/>
      </w:pPr>
      <m:oMathPara>
        <m:oMathParaPr>
          <m:jc m:val="center"/>
        </m:oMathParaPr>
        <m:oMath>
          <m:sSub>
            <m:sSubPr>
              <m:ctrlPr>
                <w:rPr>
                  <w:rFonts w:ascii="Cambria Math" w:hAnsi="Cambria Math"/>
                </w:rPr>
              </m:ctrlPr>
            </m:sSubPr>
            <m:e>
              <m:r>
                <w:rPr>
                  <w:rFonts w:ascii="Cambria Math" w:hAnsi="Cambria Math"/>
                </w:rPr>
                <m:t>QPA</m:t>
              </m:r>
            </m:e>
            <m:sub>
              <m:r>
                <w:rPr>
                  <w:rFonts w:ascii="Cambria Math" w:hAnsi="Cambria Math"/>
                </w:rPr>
                <m:t>Q</m:t>
              </m:r>
            </m:sub>
          </m:sSub>
          <m:r>
            <m:rPr>
              <m:sty m:val="p"/>
            </m:rPr>
            <w:rPr>
              <w:rFonts w:ascii="Cambria Math" w:hAnsi="Cambria Math"/>
            </w:rPr>
            <m:t>=L×(</m:t>
          </m:r>
          <m:sSub>
            <m:sSubPr>
              <m:ctrlPr>
                <w:rPr>
                  <w:rFonts w:ascii="Cambria Math" w:hAnsi="Cambria Math"/>
                </w:rPr>
              </m:ctrlPr>
            </m:sSubPr>
            <m:e>
              <m:r>
                <w:rPr>
                  <w:rFonts w:ascii="Cambria Math" w:hAnsi="Cambria Math"/>
                </w:rPr>
                <m:t>QNOR</m:t>
              </m:r>
            </m:e>
            <m:sub>
              <m:r>
                <w:rPr>
                  <w:rFonts w:ascii="Cambria Math" w:hAnsi="Cambria Math"/>
                </w:rPr>
                <m:t>Q</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QRC</m:t>
              </m:r>
            </m:e>
            <m:sub>
              <m:r>
                <w:rPr>
                  <w:rFonts w:ascii="Cambria Math" w:hAnsi="Cambria Math"/>
                </w:rPr>
                <m:t>Q</m:t>
              </m:r>
            </m:sub>
          </m:sSub>
          <m:r>
            <m:rPr>
              <m:sty m:val="p"/>
            </m:rPr>
            <w:rPr>
              <w:rFonts w:ascii="Cambria Math" w:hAnsi="Cambria Math"/>
            </w:rPr>
            <m:t>)</m:t>
          </m:r>
        </m:oMath>
      </m:oMathPara>
    </w:p>
    <w:p w14:paraId="264C3C93" w14:textId="77777777" w:rsidR="00760981" w:rsidRDefault="00760981" w:rsidP="00143457">
      <w:pPr>
        <w:pStyle w:val="Indent2"/>
        <w:keepNext/>
        <w:ind w:left="1474"/>
      </w:pPr>
      <w:r>
        <w:t>where:</w:t>
      </w:r>
    </w:p>
    <w:p w14:paraId="55BCA3CD" w14:textId="0DFB7CBB" w:rsidR="00760981" w:rsidRDefault="00760981" w:rsidP="003E5DAD">
      <w:pPr>
        <w:pStyle w:val="Indent2"/>
        <w:tabs>
          <w:tab w:val="left" w:pos="1276"/>
          <w:tab w:val="left" w:pos="2694"/>
        </w:tabs>
        <w:ind w:left="2835" w:hanging="1275"/>
      </w:pPr>
      <w:r>
        <w:rPr>
          <w:b/>
          <w:bCs/>
        </w:rPr>
        <w:t>L</w:t>
      </w:r>
      <w:r>
        <w:rPr>
          <w:b/>
          <w:bCs/>
        </w:rPr>
        <w:tab/>
      </w:r>
      <w:r>
        <w:t>= the Revenue Ceiling Sharing Percentage for the Support Year in which the relevant Quarter arises, being 50%;</w:t>
      </w:r>
    </w:p>
    <w:p w14:paraId="40E4C57E" w14:textId="77777777" w:rsidR="00760981" w:rsidRDefault="00760981" w:rsidP="003E5DAD">
      <w:pPr>
        <w:pStyle w:val="Indent2"/>
        <w:tabs>
          <w:tab w:val="left" w:pos="1560"/>
          <w:tab w:val="left" w:pos="1985"/>
          <w:tab w:val="left" w:pos="2694"/>
        </w:tabs>
        <w:ind w:left="2835" w:hanging="1248"/>
      </w:pPr>
      <w:r>
        <w:rPr>
          <w:b/>
          <w:bCs/>
        </w:rPr>
        <w:t>QPA</w:t>
      </w:r>
      <w:r>
        <w:rPr>
          <w:b/>
          <w:bCs/>
          <w:vertAlign w:val="subscript"/>
        </w:rPr>
        <w:t>Q</w:t>
      </w:r>
      <w:r>
        <w:tab/>
        <w:t>=</w:t>
      </w:r>
      <w:r>
        <w:tab/>
        <w:t>the Quarterly Payment Amount for the Quarter payable by Project Operator;</w:t>
      </w:r>
    </w:p>
    <w:p w14:paraId="23793A55" w14:textId="77777777" w:rsidR="00760981" w:rsidRDefault="00760981" w:rsidP="003E5DAD">
      <w:pPr>
        <w:pStyle w:val="Indent2"/>
        <w:tabs>
          <w:tab w:val="left" w:pos="1560"/>
          <w:tab w:val="left" w:pos="1985"/>
          <w:tab w:val="left" w:pos="2694"/>
        </w:tabs>
        <w:ind w:left="2835" w:hanging="1248"/>
      </w:pPr>
      <w:r>
        <w:rPr>
          <w:b/>
          <w:bCs/>
        </w:rPr>
        <w:t>QNOR</w:t>
      </w:r>
      <w:r>
        <w:rPr>
          <w:b/>
          <w:bCs/>
          <w:vertAlign w:val="subscript"/>
        </w:rPr>
        <w:t>Q</w:t>
      </w:r>
      <w:r>
        <w:tab/>
        <w:t>=</w:t>
      </w:r>
      <w:r>
        <w:tab/>
        <w:t>the Net Operational Revenue for the Quarter; and</w:t>
      </w:r>
    </w:p>
    <w:p w14:paraId="7CBF9442" w14:textId="60688BD1" w:rsidR="00760981" w:rsidRDefault="00760981" w:rsidP="003E5DAD">
      <w:pPr>
        <w:pStyle w:val="Indent2"/>
        <w:tabs>
          <w:tab w:val="left" w:pos="1560"/>
          <w:tab w:val="left" w:pos="1985"/>
          <w:tab w:val="left" w:pos="2694"/>
        </w:tabs>
        <w:ind w:left="2835" w:hanging="1248"/>
      </w:pPr>
      <w:r>
        <w:rPr>
          <w:b/>
          <w:bCs/>
        </w:rPr>
        <w:t>QRC</w:t>
      </w:r>
      <w:r>
        <w:rPr>
          <w:b/>
          <w:bCs/>
          <w:vertAlign w:val="subscript"/>
        </w:rPr>
        <w:t>Q</w:t>
      </w:r>
      <w:r>
        <w:tab/>
        <w:t>=</w:t>
      </w:r>
      <w:r>
        <w:tab/>
        <w:t xml:space="preserve">the Quarterly Revenue Ceiling for the Quarter calculated in accordance with item </w:t>
      </w:r>
      <w:r>
        <w:fldChar w:fldCharType="begin"/>
      </w:r>
      <w:r>
        <w:instrText xml:space="preserve"> REF _Ref199763897 \n \h </w:instrText>
      </w:r>
      <w:r>
        <w:fldChar w:fldCharType="separate"/>
      </w:r>
      <w:r w:rsidR="002E5C6A">
        <w:t>3.4</w:t>
      </w:r>
      <w:r>
        <w:fldChar w:fldCharType="end"/>
      </w:r>
      <w:r>
        <w:t xml:space="preserve"> (“</w:t>
      </w:r>
      <w:r>
        <w:fldChar w:fldCharType="begin"/>
      </w:r>
      <w:r>
        <w:instrText xml:space="preserve"> REF _Ref199763897 \h </w:instrText>
      </w:r>
      <w:r>
        <w:fldChar w:fldCharType="separate"/>
      </w:r>
      <w:r w:rsidR="002E5C6A">
        <w:t>Calculation of Quarterly Revenue Ceiling</w:t>
      </w:r>
      <w:r>
        <w:fldChar w:fldCharType="end"/>
      </w:r>
      <w:r>
        <w:t>”).</w:t>
      </w:r>
    </w:p>
    <w:p w14:paraId="5CA7AFD2" w14:textId="77777777" w:rsidR="00760981" w:rsidRDefault="00760981" w:rsidP="008F660B">
      <w:pPr>
        <w:pStyle w:val="SchedH3"/>
        <w:numPr>
          <w:ilvl w:val="3"/>
          <w:numId w:val="91"/>
        </w:numPr>
        <w:spacing w:before="240"/>
      </w:pPr>
      <w:bookmarkStart w:id="5408" w:name="_Ref206360454"/>
      <w:r>
        <w:t>If the Net Operational Revenue for the relevant Quarter is equal to or greater than the Quarterly Revenue Floor and equal to or less than the Quarterly Revenue Ceiling, then the “</w:t>
      </w:r>
      <w:r>
        <w:rPr>
          <w:b/>
          <w:bCs/>
        </w:rPr>
        <w:t>Quarterly Payment Amount</w:t>
      </w:r>
      <w:r>
        <w:t>” payable in respect of the Quarter is deemed to be zero.</w:t>
      </w:r>
      <w:bookmarkEnd w:id="5408"/>
    </w:p>
    <w:p w14:paraId="2810F145" w14:textId="77777777" w:rsidR="00760981" w:rsidRDefault="00760981" w:rsidP="005820DA">
      <w:pPr>
        <w:pStyle w:val="SchedH2"/>
        <w:numPr>
          <w:ilvl w:val="2"/>
          <w:numId w:val="91"/>
        </w:numPr>
      </w:pPr>
      <w:bookmarkStart w:id="5409" w:name="_Ref199763889"/>
      <w:r>
        <w:t>Calculation of Quarterly Revenue Floor</w:t>
      </w:r>
      <w:bookmarkEnd w:id="5409"/>
      <w:r>
        <w:t xml:space="preserve"> </w:t>
      </w:r>
    </w:p>
    <w:p w14:paraId="2D049FB6" w14:textId="77777777" w:rsidR="00760981" w:rsidRDefault="00760981" w:rsidP="00760981">
      <w:pPr>
        <w:pStyle w:val="Indent2"/>
        <w:keepNext/>
      </w:pPr>
      <w:r>
        <w:t>The “</w:t>
      </w:r>
      <w:r>
        <w:rPr>
          <w:b/>
          <w:bCs/>
        </w:rPr>
        <w:t>Quarterly Revenue Floor</w:t>
      </w:r>
      <w:r>
        <w:t xml:space="preserve">” in respect of a Quarter is calculated as follows: </w:t>
      </w:r>
    </w:p>
    <w:p w14:paraId="256FD313" w14:textId="171DE3C8" w:rsidR="00760981" w:rsidRPr="008F660B" w:rsidRDefault="0057509B" w:rsidP="00760981">
      <w:pPr>
        <w:pStyle w:val="Indent2"/>
        <w:keepNext/>
        <w:ind w:left="0"/>
      </w:pPr>
      <m:oMathPara>
        <m:oMathParaPr>
          <m:jc m:val="center"/>
        </m:oMathParaPr>
        <m:oMath>
          <m:sSub>
            <m:sSubPr>
              <m:ctrlPr>
                <w:rPr>
                  <w:rFonts w:ascii="Cambria Math" w:hAnsi="Cambria Math"/>
                </w:rPr>
              </m:ctrlPr>
            </m:sSubPr>
            <m:e>
              <m:r>
                <w:rPr>
                  <w:rFonts w:ascii="Cambria Math" w:hAnsi="Cambria Math"/>
                </w:rPr>
                <m:t>QRF</m:t>
              </m:r>
            </m:e>
            <m:sub>
              <m:r>
                <w:rPr>
                  <w:rFonts w:ascii="Cambria Math" w:hAnsi="Cambria Math"/>
                </w:rPr>
                <m:t>Q</m:t>
              </m:r>
            </m:sub>
          </m:sSub>
          <m:r>
            <w:rPr>
              <w:rFonts w:ascii="Cambria Math" w:hAnsi="Cambria Math"/>
            </w:rPr>
            <m:t xml:space="preserve">= </m:t>
          </m:r>
          <m:f>
            <m:fPr>
              <m:ctrlPr>
                <w:rPr>
                  <w:rFonts w:ascii="Cambria Math" w:hAnsi="Cambria Math"/>
                  <w:i/>
                </w:rPr>
              </m:ctrlPr>
            </m:fPr>
            <m:num>
              <m:sSub>
                <m:sSubPr>
                  <m:ctrlPr>
                    <w:rPr>
                      <w:rFonts w:ascii="Cambria Math" w:hAnsi="Cambria Math"/>
                    </w:rPr>
                  </m:ctrlPr>
                </m:sSubPr>
                <m:e>
                  <m:r>
                    <w:rPr>
                      <w:rFonts w:ascii="Cambria Math" w:hAnsi="Cambria Math"/>
                    </w:rPr>
                    <m:t>PCC</m:t>
                  </m:r>
                </m:e>
                <m:sub>
                  <m:r>
                    <w:rPr>
                      <w:rFonts w:ascii="Cambria Math" w:hAnsi="Cambria Math"/>
                    </w:rPr>
                    <m:t>SY</m:t>
                  </m:r>
                </m:sub>
              </m:sSub>
            </m:num>
            <m:den>
              <m:r>
                <w:rPr>
                  <w:rFonts w:ascii="Cambria Math" w:hAnsi="Cambria Math"/>
                </w:rPr>
                <m:t>4</m:t>
              </m:r>
            </m:den>
          </m:f>
          <m:r>
            <w:rPr>
              <w:rFonts w:ascii="Cambria Math" w:hAnsi="Cambria Math"/>
            </w:rPr>
            <m:t xml:space="preserve">× </m:t>
          </m:r>
          <m:sSub>
            <m:sSubPr>
              <m:ctrlPr>
                <w:rPr>
                  <w:rFonts w:ascii="Cambria Math" w:hAnsi="Cambria Math"/>
                </w:rPr>
              </m:ctrlPr>
            </m:sSubPr>
            <m:e>
              <m:r>
                <w:rPr>
                  <w:rFonts w:ascii="Cambria Math" w:hAnsi="Cambria Math"/>
                </w:rPr>
                <m:t>AF</m:t>
              </m:r>
            </m:e>
            <m:sub>
              <m:r>
                <w:rPr>
                  <w:rFonts w:ascii="Cambria Math" w:hAnsi="Cambria Math"/>
                </w:rPr>
                <m:t>FY</m:t>
              </m:r>
            </m:sub>
          </m:sSub>
        </m:oMath>
      </m:oMathPara>
    </w:p>
    <w:p w14:paraId="4E013E18" w14:textId="77777777" w:rsidR="00760981" w:rsidRDefault="00760981" w:rsidP="00760981">
      <w:pPr>
        <w:pStyle w:val="Indent2"/>
        <w:keepNext/>
        <w:tabs>
          <w:tab w:val="left" w:pos="1418"/>
          <w:tab w:val="left" w:pos="1843"/>
        </w:tabs>
      </w:pPr>
      <w:r>
        <w:t>where:</w:t>
      </w:r>
    </w:p>
    <w:p w14:paraId="20B7EF6B" w14:textId="77777777" w:rsidR="00760981" w:rsidRDefault="00760981" w:rsidP="00760981">
      <w:pPr>
        <w:pStyle w:val="Indent2"/>
        <w:tabs>
          <w:tab w:val="left" w:pos="1418"/>
          <w:tab w:val="left" w:pos="1843"/>
        </w:tabs>
      </w:pPr>
      <w:r>
        <w:rPr>
          <w:b/>
          <w:bCs/>
        </w:rPr>
        <w:t>QRF</w:t>
      </w:r>
      <w:r>
        <w:rPr>
          <w:b/>
          <w:bCs/>
          <w:vertAlign w:val="subscript"/>
        </w:rPr>
        <w:t>Q</w:t>
      </w:r>
      <w:r>
        <w:tab/>
        <w:t>=</w:t>
      </w:r>
      <w:r>
        <w:tab/>
        <w:t>the Quarterly Revenue Floor for the Quarter;</w:t>
      </w:r>
    </w:p>
    <w:p w14:paraId="4B68A766" w14:textId="77777777" w:rsidR="00760981" w:rsidRDefault="00760981" w:rsidP="00760981">
      <w:pPr>
        <w:pStyle w:val="Indent2"/>
        <w:tabs>
          <w:tab w:val="left" w:pos="1418"/>
          <w:tab w:val="left" w:pos="1843"/>
        </w:tabs>
        <w:ind w:left="1843" w:hanging="1106"/>
      </w:pPr>
      <w:r>
        <w:rPr>
          <w:b/>
          <w:bCs/>
        </w:rPr>
        <w:t>PCC</w:t>
      </w:r>
      <w:r>
        <w:rPr>
          <w:b/>
          <w:bCs/>
          <w:vertAlign w:val="subscript"/>
        </w:rPr>
        <w:t>SY</w:t>
      </w:r>
      <w:r>
        <w:tab/>
        <w:t>=</w:t>
      </w:r>
      <w:r>
        <w:tab/>
        <w:t>the number of Peak Capacity Credits assigned to the Project by AEMO in accordance with the ESM Rules for the Support Year in which the relevant Quarter falls; and</w:t>
      </w:r>
    </w:p>
    <w:p w14:paraId="08EAD17E" w14:textId="49A223F3" w:rsidR="00760981" w:rsidRDefault="00760981" w:rsidP="00760981">
      <w:pPr>
        <w:pStyle w:val="Indent2"/>
        <w:tabs>
          <w:tab w:val="left" w:pos="1418"/>
          <w:tab w:val="left" w:pos="1843"/>
        </w:tabs>
        <w:ind w:left="1843" w:hanging="1106"/>
      </w:pPr>
      <w:r>
        <w:rPr>
          <w:b/>
          <w:bCs/>
        </w:rPr>
        <w:t>AF</w:t>
      </w:r>
      <w:r>
        <w:rPr>
          <w:b/>
          <w:bCs/>
          <w:vertAlign w:val="subscript"/>
        </w:rPr>
        <w:t>FY</w:t>
      </w:r>
      <w:r>
        <w:tab/>
        <w:t>=</w:t>
      </w:r>
      <w:r>
        <w:tab/>
        <w:t xml:space="preserve">the Annual Floor (as adjusted in accordance with item </w:t>
      </w:r>
      <w:r>
        <w:fldChar w:fldCharType="begin"/>
      </w:r>
      <w:r>
        <w:instrText xml:space="preserve"> REF _Ref206360044 \n \h </w:instrText>
      </w:r>
      <w:r>
        <w:fldChar w:fldCharType="separate"/>
      </w:r>
      <w:r w:rsidR="002E5C6A">
        <w:t>2.2</w:t>
      </w:r>
      <w:r>
        <w:fldChar w:fldCharType="end"/>
      </w:r>
      <w:r>
        <w:t xml:space="preserve"> (“</w:t>
      </w:r>
      <w:r>
        <w:fldChar w:fldCharType="begin"/>
      </w:r>
      <w:r>
        <w:instrText xml:space="preserve"> REF _Ref206360044 \h </w:instrText>
      </w:r>
      <w:r>
        <w:fldChar w:fldCharType="separate"/>
      </w:r>
      <w:r w:rsidR="002E5C6A">
        <w:t>Adjustment to Annual Floor and Annual Ceiling</w:t>
      </w:r>
      <w:r>
        <w:fldChar w:fldCharType="end"/>
      </w:r>
      <w:r>
        <w:t xml:space="preserve">”)) for the Support Year, calculated in accordance with item </w:t>
      </w:r>
      <w:r>
        <w:fldChar w:fldCharType="begin"/>
      </w:r>
      <w:r>
        <w:instrText xml:space="preserve"> REF _Ref182216613 \n \h </w:instrText>
      </w:r>
      <w:r>
        <w:fldChar w:fldCharType="separate"/>
      </w:r>
      <w:r w:rsidR="002E5C6A">
        <w:t>11.1</w:t>
      </w:r>
      <w:r>
        <w:fldChar w:fldCharType="end"/>
      </w:r>
      <w:r>
        <w:t xml:space="preserve"> (“</w:t>
      </w:r>
      <w:r>
        <w:fldChar w:fldCharType="begin"/>
      </w:r>
      <w:r>
        <w:instrText xml:space="preserve"> REF _Ref182216613 \h </w:instrText>
      </w:r>
      <w:r>
        <w:fldChar w:fldCharType="separate"/>
      </w:r>
      <w:r w:rsidR="002E5C6A">
        <w:t>Annual Floor Calculation</w:t>
      </w:r>
      <w:r>
        <w:fldChar w:fldCharType="end"/>
      </w:r>
      <w:r>
        <w:t>”).</w:t>
      </w:r>
    </w:p>
    <w:p w14:paraId="337395A8" w14:textId="77777777" w:rsidR="00760981" w:rsidRDefault="00760981" w:rsidP="005820DA">
      <w:pPr>
        <w:pStyle w:val="SchedH2"/>
        <w:numPr>
          <w:ilvl w:val="2"/>
          <w:numId w:val="91"/>
        </w:numPr>
      </w:pPr>
      <w:bookmarkStart w:id="5410" w:name="_Ref199763897"/>
      <w:r>
        <w:t>Calculation of Quarterly Revenue Ceiling</w:t>
      </w:r>
      <w:bookmarkEnd w:id="5410"/>
      <w:r>
        <w:t xml:space="preserve"> </w:t>
      </w:r>
    </w:p>
    <w:p w14:paraId="7441216C" w14:textId="77777777" w:rsidR="00760981" w:rsidRDefault="00760981" w:rsidP="00760981">
      <w:pPr>
        <w:pStyle w:val="Indent2"/>
        <w:keepNext/>
      </w:pPr>
      <w:r>
        <w:t>The “</w:t>
      </w:r>
      <w:r>
        <w:rPr>
          <w:b/>
          <w:bCs/>
        </w:rPr>
        <w:t>Quarterly Revenue Ceiling</w:t>
      </w:r>
      <w:r>
        <w:t xml:space="preserve">” in respect of a Quarter is calculated as follows: </w:t>
      </w:r>
    </w:p>
    <w:p w14:paraId="01AC32CF" w14:textId="1E307D19" w:rsidR="00760981" w:rsidRPr="008F660B" w:rsidRDefault="0057509B" w:rsidP="00760981">
      <w:pPr>
        <w:pStyle w:val="Indent2"/>
        <w:keepNext/>
        <w:ind w:left="0"/>
      </w:pPr>
      <m:oMathPara>
        <m:oMathParaPr>
          <m:jc m:val="center"/>
        </m:oMathParaPr>
        <m:oMath>
          <m:sSub>
            <m:sSubPr>
              <m:ctrlPr>
                <w:rPr>
                  <w:rFonts w:ascii="Cambria Math" w:hAnsi="Cambria Math"/>
                </w:rPr>
              </m:ctrlPr>
            </m:sSubPr>
            <m:e>
              <m:r>
                <w:rPr>
                  <w:rFonts w:ascii="Cambria Math" w:hAnsi="Cambria Math"/>
                </w:rPr>
                <m:t>QRC</m:t>
              </m:r>
            </m:e>
            <m:sub>
              <m:r>
                <w:rPr>
                  <w:rFonts w:ascii="Cambria Math" w:hAnsi="Cambria Math"/>
                </w:rPr>
                <m:t>Q</m:t>
              </m:r>
            </m:sub>
          </m:sSub>
          <m:r>
            <w:rPr>
              <w:rFonts w:ascii="Cambria Math" w:hAnsi="Cambria Math"/>
            </w:rPr>
            <m:t xml:space="preserve">= </m:t>
          </m:r>
          <m:f>
            <m:fPr>
              <m:ctrlPr>
                <w:rPr>
                  <w:rFonts w:ascii="Cambria Math" w:hAnsi="Cambria Math"/>
                  <w:i/>
                </w:rPr>
              </m:ctrlPr>
            </m:fPr>
            <m:num>
              <m:sSub>
                <m:sSubPr>
                  <m:ctrlPr>
                    <w:rPr>
                      <w:rFonts w:ascii="Cambria Math" w:hAnsi="Cambria Math"/>
                    </w:rPr>
                  </m:ctrlPr>
                </m:sSubPr>
                <m:e>
                  <m:r>
                    <w:rPr>
                      <w:rFonts w:ascii="Cambria Math" w:hAnsi="Cambria Math"/>
                    </w:rPr>
                    <m:t>PCC</m:t>
                  </m:r>
                </m:e>
                <m:sub>
                  <m:r>
                    <w:rPr>
                      <w:rFonts w:ascii="Cambria Math" w:hAnsi="Cambria Math"/>
                    </w:rPr>
                    <m:t>SY</m:t>
                  </m:r>
                </m:sub>
              </m:sSub>
            </m:num>
            <m:den>
              <m:r>
                <w:rPr>
                  <w:rFonts w:ascii="Cambria Math" w:hAnsi="Cambria Math"/>
                </w:rPr>
                <m:t>4</m:t>
              </m:r>
            </m:den>
          </m:f>
          <m:r>
            <w:rPr>
              <w:rFonts w:ascii="Cambria Math" w:hAnsi="Cambria Math"/>
            </w:rPr>
            <m:t xml:space="preserve">× </m:t>
          </m:r>
          <m:sSub>
            <m:sSubPr>
              <m:ctrlPr>
                <w:rPr>
                  <w:rFonts w:ascii="Cambria Math" w:hAnsi="Cambria Math"/>
                </w:rPr>
              </m:ctrlPr>
            </m:sSubPr>
            <m:e>
              <m:r>
                <w:rPr>
                  <w:rFonts w:ascii="Cambria Math" w:hAnsi="Cambria Math"/>
                </w:rPr>
                <m:t>AC</m:t>
              </m:r>
            </m:e>
            <m:sub>
              <m:r>
                <w:rPr>
                  <w:rFonts w:ascii="Cambria Math" w:hAnsi="Cambria Math"/>
                </w:rPr>
                <m:t>FY</m:t>
              </m:r>
            </m:sub>
          </m:sSub>
        </m:oMath>
      </m:oMathPara>
    </w:p>
    <w:p w14:paraId="4625EB5E" w14:textId="77777777" w:rsidR="00760981" w:rsidRDefault="00760981" w:rsidP="00760981">
      <w:pPr>
        <w:pStyle w:val="Indent2"/>
        <w:keepNext/>
      </w:pPr>
      <w:r>
        <w:t>where:</w:t>
      </w:r>
    </w:p>
    <w:p w14:paraId="37C34985" w14:textId="77777777" w:rsidR="00760981" w:rsidRDefault="00760981" w:rsidP="00760981">
      <w:pPr>
        <w:pStyle w:val="Indent2"/>
        <w:tabs>
          <w:tab w:val="left" w:pos="1418"/>
          <w:tab w:val="left" w:pos="1843"/>
        </w:tabs>
      </w:pPr>
      <w:r>
        <w:rPr>
          <w:b/>
          <w:bCs/>
        </w:rPr>
        <w:t>QRC</w:t>
      </w:r>
      <w:r>
        <w:rPr>
          <w:b/>
          <w:bCs/>
          <w:vertAlign w:val="subscript"/>
        </w:rPr>
        <w:t>Q</w:t>
      </w:r>
      <w:r>
        <w:tab/>
        <w:t>=</w:t>
      </w:r>
      <w:r>
        <w:tab/>
        <w:t>the Quarterly Revenue Ceiling for the Quarter;</w:t>
      </w:r>
    </w:p>
    <w:p w14:paraId="59E85206" w14:textId="77777777" w:rsidR="00760981" w:rsidRDefault="00760981" w:rsidP="00760981">
      <w:pPr>
        <w:pStyle w:val="Indent2"/>
        <w:tabs>
          <w:tab w:val="left" w:pos="1418"/>
          <w:tab w:val="left" w:pos="1843"/>
        </w:tabs>
        <w:ind w:left="1843" w:hanging="1106"/>
      </w:pPr>
      <w:r>
        <w:rPr>
          <w:b/>
          <w:bCs/>
        </w:rPr>
        <w:t>PCC</w:t>
      </w:r>
      <w:r>
        <w:rPr>
          <w:b/>
          <w:bCs/>
          <w:vertAlign w:val="subscript"/>
        </w:rPr>
        <w:t>SY</w:t>
      </w:r>
      <w:r>
        <w:tab/>
        <w:t>=</w:t>
      </w:r>
      <w:r>
        <w:tab/>
        <w:t>the number of Peak Capacity Credits assigned to the Project by AEMO in accordance with the ESM Rules for the Support Year in which the relevant Quarter falls; and</w:t>
      </w:r>
    </w:p>
    <w:p w14:paraId="409FA0CC" w14:textId="38CC52CD" w:rsidR="00760981" w:rsidRDefault="00760981" w:rsidP="00760981">
      <w:pPr>
        <w:pStyle w:val="Indent2"/>
        <w:tabs>
          <w:tab w:val="left" w:pos="1418"/>
          <w:tab w:val="left" w:pos="1843"/>
        </w:tabs>
        <w:ind w:left="1843" w:hanging="1106"/>
      </w:pPr>
      <w:r>
        <w:rPr>
          <w:b/>
          <w:bCs/>
        </w:rPr>
        <w:t>AC</w:t>
      </w:r>
      <w:r>
        <w:rPr>
          <w:b/>
          <w:bCs/>
          <w:vertAlign w:val="subscript"/>
        </w:rPr>
        <w:t>FY</w:t>
      </w:r>
      <w:r>
        <w:tab/>
        <w:t>=</w:t>
      </w:r>
      <w:r>
        <w:tab/>
        <w:t xml:space="preserve">the Annual Ceiling (as adjusted in accordance with item </w:t>
      </w:r>
      <w:r>
        <w:fldChar w:fldCharType="begin"/>
      </w:r>
      <w:r>
        <w:instrText xml:space="preserve"> REF _Ref206360044 \n \h </w:instrText>
      </w:r>
      <w:r>
        <w:fldChar w:fldCharType="separate"/>
      </w:r>
      <w:r w:rsidR="002E5C6A">
        <w:t>2.2</w:t>
      </w:r>
      <w:r>
        <w:fldChar w:fldCharType="end"/>
      </w:r>
      <w:r>
        <w:t xml:space="preserve"> (“</w:t>
      </w:r>
      <w:r>
        <w:fldChar w:fldCharType="begin"/>
      </w:r>
      <w:r>
        <w:instrText xml:space="preserve"> REF _Ref206360044 \h </w:instrText>
      </w:r>
      <w:r>
        <w:fldChar w:fldCharType="separate"/>
      </w:r>
      <w:r w:rsidR="002E5C6A">
        <w:t>Adjustment to Annual Floor and Annual Ceiling</w:t>
      </w:r>
      <w:r>
        <w:fldChar w:fldCharType="end"/>
      </w:r>
      <w:r>
        <w:t xml:space="preserve">”)) for the Support Year, calculated in accordance with item </w:t>
      </w:r>
      <w:r w:rsidR="00597F22">
        <w:fldChar w:fldCharType="begin"/>
      </w:r>
      <w:r w:rsidR="00597F22">
        <w:instrText xml:space="preserve"> REF _Ref182216697 \n \h </w:instrText>
      </w:r>
      <w:r w:rsidR="00597F22">
        <w:fldChar w:fldCharType="separate"/>
      </w:r>
      <w:r w:rsidR="002E5C6A">
        <w:t>11.2</w:t>
      </w:r>
      <w:r w:rsidR="00597F22">
        <w:fldChar w:fldCharType="end"/>
      </w:r>
      <w:r w:rsidR="00597F22">
        <w:t xml:space="preserve"> (“</w:t>
      </w:r>
      <w:r w:rsidR="00597F22">
        <w:fldChar w:fldCharType="begin"/>
      </w:r>
      <w:r w:rsidR="00597F22">
        <w:instrText xml:space="preserve"> REF _Ref182216697 \h </w:instrText>
      </w:r>
      <w:r w:rsidR="00597F22">
        <w:fldChar w:fldCharType="separate"/>
      </w:r>
      <w:r w:rsidR="002E5C6A">
        <w:t>Annual Ceiling Calculation</w:t>
      </w:r>
      <w:r w:rsidR="00597F22">
        <w:fldChar w:fldCharType="end"/>
      </w:r>
      <w:r w:rsidR="00597F22">
        <w:t>)</w:t>
      </w:r>
      <w:r>
        <w:t>.</w:t>
      </w:r>
    </w:p>
    <w:bookmarkEnd w:id="5403"/>
    <w:p w14:paraId="46E88C2C" w14:textId="77777777" w:rsidR="00760981" w:rsidRDefault="00760981" w:rsidP="005820DA">
      <w:pPr>
        <w:pStyle w:val="SchedH2"/>
        <w:numPr>
          <w:ilvl w:val="2"/>
          <w:numId w:val="91"/>
        </w:numPr>
      </w:pPr>
      <w:r>
        <w:t>Pro rata calculation</w:t>
      </w:r>
    </w:p>
    <w:p w14:paraId="62565A8F" w14:textId="17240FEB" w:rsidR="00760981" w:rsidRDefault="00760981" w:rsidP="00760981">
      <w:pPr>
        <w:pStyle w:val="SchedH3"/>
        <w:numPr>
          <w:ilvl w:val="3"/>
          <w:numId w:val="0"/>
        </w:numPr>
        <w:ind w:left="737"/>
      </w:pPr>
      <w:r>
        <w:t xml:space="preserve">Where any of paragraph </w:t>
      </w:r>
      <w:r w:rsidR="006220AC">
        <w:fldChar w:fldCharType="begin"/>
      </w:r>
      <w:r w:rsidR="006220AC">
        <w:instrText xml:space="preserve"> REF _Ref206757912 \n \h </w:instrText>
      </w:r>
      <w:r w:rsidR="006220AC">
        <w:fldChar w:fldCharType="separate"/>
      </w:r>
      <w:r w:rsidR="006C780B">
        <w:t>(a)</w:t>
      </w:r>
      <w:r w:rsidR="006220AC">
        <w:fldChar w:fldCharType="end"/>
      </w:r>
      <w:r>
        <w:t xml:space="preserve"> or </w:t>
      </w:r>
      <w:r w:rsidR="006220AC">
        <w:fldChar w:fldCharType="begin"/>
      </w:r>
      <w:r w:rsidR="006220AC">
        <w:instrText xml:space="preserve"> REF _Ref206757920 \n \h </w:instrText>
      </w:r>
      <w:r w:rsidR="006220AC">
        <w:fldChar w:fldCharType="separate"/>
      </w:r>
      <w:r w:rsidR="006C780B">
        <w:t>(b)</w:t>
      </w:r>
      <w:r w:rsidR="006220AC">
        <w:fldChar w:fldCharType="end"/>
      </w:r>
      <w:r>
        <w:t xml:space="preserve"> of the definition of Quarter applies, the Quarterly Payment Amount will be adjusted proportionally, having regard to the number of days in the relevant partial Quarter as a percentage of the total number of days in the full calendar quarter. </w:t>
      </w:r>
    </w:p>
    <w:p w14:paraId="25DD1357" w14:textId="77777777" w:rsidR="00760981" w:rsidRDefault="00760981" w:rsidP="005820DA">
      <w:pPr>
        <w:pStyle w:val="SchedH2"/>
        <w:numPr>
          <w:ilvl w:val="2"/>
          <w:numId w:val="91"/>
        </w:numPr>
      </w:pPr>
      <w:r>
        <w:t>Disputed Amounts</w:t>
      </w:r>
    </w:p>
    <w:p w14:paraId="2D3BBFF5" w14:textId="33F8BAA0" w:rsidR="00760981" w:rsidRDefault="00760981" w:rsidP="00760981">
      <w:pPr>
        <w:pStyle w:val="SchedH3"/>
        <w:numPr>
          <w:ilvl w:val="3"/>
          <w:numId w:val="0"/>
        </w:numPr>
        <w:ind w:left="737"/>
      </w:pPr>
      <w:r w:rsidRPr="005D4011">
        <w:t xml:space="preserve">If there is any Disputed Amount arising under this agreement (including in respect of any Quarterly Payment Amount or Annual </w:t>
      </w:r>
      <w:r>
        <w:t>Reconciliation Payment</w:t>
      </w:r>
      <w:r w:rsidRPr="005D4011">
        <w:t xml:space="preserve">), the parties must adhere to the procedure </w:t>
      </w:r>
      <w:r>
        <w:t xml:space="preserve">detailed </w:t>
      </w:r>
      <w:r w:rsidRPr="005D4011">
        <w:t xml:space="preserve">in clause </w:t>
      </w:r>
      <w:r>
        <w:fldChar w:fldCharType="begin"/>
      </w:r>
      <w:r>
        <w:instrText xml:space="preserve"> REF _Ref511737737 \n \h </w:instrText>
      </w:r>
      <w:r>
        <w:fldChar w:fldCharType="separate"/>
      </w:r>
      <w:r w:rsidR="002E5C6A">
        <w:t>16.4</w:t>
      </w:r>
      <w:r>
        <w:fldChar w:fldCharType="end"/>
      </w:r>
      <w:r w:rsidRPr="005D4011">
        <w:t xml:space="preserve"> (“</w:t>
      </w:r>
      <w:r>
        <w:fldChar w:fldCharType="begin"/>
      </w:r>
      <w:r>
        <w:instrText xml:space="preserve"> REF _Ref511737737 \h </w:instrText>
      </w:r>
      <w:r>
        <w:fldChar w:fldCharType="separate"/>
      </w:r>
      <w:r w:rsidR="002E5C6A" w:rsidRPr="00A016A2">
        <w:t>Disputed Invoice</w:t>
      </w:r>
      <w:r>
        <w:fldChar w:fldCharType="end"/>
      </w:r>
      <w:r w:rsidRPr="005D4011">
        <w:t>”).</w:t>
      </w:r>
    </w:p>
    <w:p w14:paraId="683FDB30" w14:textId="77777777" w:rsidR="00760981" w:rsidRDefault="00760981" w:rsidP="005820DA">
      <w:pPr>
        <w:pStyle w:val="SchedH2"/>
        <w:numPr>
          <w:ilvl w:val="2"/>
          <w:numId w:val="91"/>
        </w:numPr>
      </w:pPr>
      <w:bookmarkStart w:id="5411" w:name="_Ref206083108"/>
      <w:r>
        <w:t>Calculation of Deemed Bilateral Contract Energy Revenue</w:t>
      </w:r>
      <w:bookmarkEnd w:id="5411"/>
    </w:p>
    <w:p w14:paraId="74C8C1B0" w14:textId="77777777" w:rsidR="00760981" w:rsidRDefault="00760981" w:rsidP="00760981">
      <w:pPr>
        <w:pStyle w:val="SchedH3"/>
        <w:keepNext/>
        <w:numPr>
          <w:ilvl w:val="3"/>
          <w:numId w:val="0"/>
        </w:numPr>
        <w:ind w:left="737"/>
      </w:pPr>
      <w:r>
        <w:t xml:space="preserve">The </w:t>
      </w:r>
      <w:r>
        <w:rPr>
          <w:b/>
          <w:bCs/>
        </w:rPr>
        <w:t>Deemed Bilateral Contract Energy Revenue</w:t>
      </w:r>
      <w:r>
        <w:t xml:space="preserve"> in respect of a period means the sum of all amounts payable in respect of each Trading Interval arising during that period under each Bilateral Contract (insofar as it relates to energy exported by the Project [or the Staged Project (as applicable)], and is not an Eligible Bilateral Contract), where the amount payable under each such Bilateral Contract for each Trading Interval arising during that period is calculated as follows: </w:t>
      </w:r>
    </w:p>
    <w:p w14:paraId="54BB6370" w14:textId="77777777" w:rsidR="00760981" w:rsidRDefault="00760981" w:rsidP="00760981">
      <w:pPr>
        <w:pStyle w:val="SchedH3"/>
        <w:keepNext/>
        <w:numPr>
          <w:ilvl w:val="3"/>
          <w:numId w:val="0"/>
        </w:numPr>
        <w:ind w:left="737"/>
      </w:pPr>
      <w:r>
        <w:rPr>
          <w:highlight w:val="lightGray"/>
        </w:rPr>
        <w:t>[</w:t>
      </w:r>
      <w:r>
        <w:rPr>
          <w:b/>
          <w:bCs/>
          <w:i/>
          <w:iCs/>
          <w:highlight w:val="lightGray"/>
        </w:rPr>
        <w:t>Note: the words in square brackets are to be included for all Staged Projects.</w:t>
      </w:r>
      <w:r>
        <w:rPr>
          <w:highlight w:val="lightGray"/>
        </w:rPr>
        <w:t>]</w:t>
      </w:r>
    </w:p>
    <w:p w14:paraId="2AE97F46" w14:textId="205F032F" w:rsidR="006174FB" w:rsidRDefault="0057509B" w:rsidP="00760981">
      <w:pPr>
        <w:pStyle w:val="Indent2"/>
        <w:keepNext/>
        <w:ind w:left="0"/>
        <w:jc w:val="center"/>
        <w:rPr>
          <w:b/>
          <w:bCs/>
          <w:i/>
          <w:iCs/>
        </w:rPr>
      </w:pPr>
      <w:sdt>
        <w:sdtPr>
          <w:rPr>
            <w:rFonts w:ascii="Cambria Math" w:hAnsi="Cambria Math"/>
            <w:b/>
            <w:bCs/>
            <w:i/>
            <w:iCs/>
          </w:rPr>
          <w:id w:val="696200873"/>
          <w:placeholder>
            <w:docPart w:val="DefaultPlaceholder_2098659788"/>
          </w:placeholder>
          <w:temporary/>
          <w:equation/>
        </w:sdtPr>
        <w:sdtContent>
          <m:oMathPara>
            <m:oMath>
              <m:sSub>
                <m:sSubPr>
                  <m:ctrlPr>
                    <w:rPr>
                      <w:rFonts w:ascii="Cambria Math" w:hAnsi="Cambria Math"/>
                      <w:b/>
                      <w:bCs/>
                      <w:i/>
                      <w:iCs/>
                    </w:rPr>
                  </m:ctrlPr>
                </m:sSubPr>
                <m:e>
                  <m:r>
                    <m:rPr>
                      <m:sty m:val="p"/>
                    </m:rPr>
                    <w:rPr>
                      <w:rFonts w:ascii="Cambria Math" w:hAnsi="Cambria Math"/>
                    </w:rPr>
                    <m:t>DBE</m:t>
                  </m:r>
                </m:e>
                <m:sub>
                  <m:r>
                    <m:rPr>
                      <m:sty m:val="p"/>
                    </m:rPr>
                    <w:rPr>
                      <w:rFonts w:ascii="Cambria Math" w:hAnsi="Cambria Math"/>
                    </w:rPr>
                    <m:t>TI</m:t>
                  </m:r>
                </m:sub>
              </m:sSub>
              <m:r>
                <m:rPr>
                  <m:sty m:val="p"/>
                </m:rPr>
                <w:rPr>
                  <w:rFonts w:ascii="Cambria Math" w:hAnsi="Cambria Math"/>
                </w:rPr>
                <m:t xml:space="preserve"> = </m:t>
              </m:r>
              <m:sSub>
                <m:sSubPr>
                  <m:ctrlPr>
                    <w:rPr>
                      <w:rFonts w:ascii="Cambria Math" w:hAnsi="Cambria Math"/>
                      <w:b/>
                      <w:bCs/>
                      <w:i/>
                      <w:iCs/>
                    </w:rPr>
                  </m:ctrlPr>
                </m:sSubPr>
                <m:e>
                  <m:r>
                    <m:rPr>
                      <m:sty m:val="p"/>
                    </m:rPr>
                    <w:rPr>
                      <w:rFonts w:ascii="Cambria Math" w:hAnsi="Cambria Math"/>
                    </w:rPr>
                    <m:t>NQ</m:t>
                  </m:r>
                </m:e>
                <m:sub>
                  <m:r>
                    <m:rPr>
                      <m:sty m:val="p"/>
                    </m:rPr>
                    <w:rPr>
                      <w:rFonts w:ascii="Cambria Math" w:hAnsi="Cambria Math"/>
                    </w:rPr>
                    <m:t>TI</m:t>
                  </m:r>
                </m:sub>
              </m:sSub>
              <m:r>
                <m:rPr>
                  <m:sty m:val="p"/>
                </m:rPr>
                <w:rPr>
                  <w:rFonts w:ascii="Cambria Math" w:hAnsi="Cambria Math"/>
                </w:rPr>
                <m:t xml:space="preserve"> × </m:t>
              </m:r>
              <m:sSub>
                <m:sSubPr>
                  <m:ctrlPr>
                    <w:rPr>
                      <w:rFonts w:ascii="Cambria Math" w:hAnsi="Cambria Math"/>
                      <w:b/>
                      <w:bCs/>
                      <w:i/>
                      <w:iCs/>
                    </w:rPr>
                  </m:ctrlPr>
                </m:sSubPr>
                <m:e>
                  <m:r>
                    <m:rPr>
                      <m:sty m:val="p"/>
                    </m:rPr>
                    <w:rPr>
                      <w:rFonts w:ascii="Cambria Math" w:hAnsi="Cambria Math"/>
                    </w:rPr>
                    <m:t>EP</m:t>
                  </m:r>
                </m:e>
                <m:sub>
                  <m:r>
                    <m:rPr>
                      <m:sty m:val="p"/>
                    </m:rPr>
                    <w:rPr>
                      <w:rFonts w:ascii="Cambria Math" w:hAnsi="Cambria Math"/>
                    </w:rPr>
                    <m:t>TI</m:t>
                  </m:r>
                </m:sub>
              </m:sSub>
            </m:oMath>
          </m:oMathPara>
        </w:sdtContent>
      </w:sdt>
    </w:p>
    <w:p w14:paraId="19F181A5" w14:textId="77777777" w:rsidR="00760981" w:rsidRDefault="00760981" w:rsidP="00760981">
      <w:pPr>
        <w:pStyle w:val="Indent2"/>
        <w:keepNext/>
      </w:pPr>
      <w:r>
        <w:t>where:</w:t>
      </w:r>
    </w:p>
    <w:p w14:paraId="610757C1" w14:textId="77777777" w:rsidR="00760981" w:rsidRDefault="00760981" w:rsidP="00760981">
      <w:pPr>
        <w:pStyle w:val="Indent2"/>
        <w:tabs>
          <w:tab w:val="left" w:pos="1418"/>
          <w:tab w:val="left" w:pos="1843"/>
        </w:tabs>
        <w:ind w:left="1843" w:hanging="1106"/>
      </w:pPr>
      <w:r>
        <w:rPr>
          <w:b/>
          <w:bCs/>
          <w:i/>
          <w:iCs/>
        </w:rPr>
        <w:t>DBE</w:t>
      </w:r>
      <w:r>
        <w:rPr>
          <w:b/>
          <w:bCs/>
          <w:i/>
          <w:iCs/>
          <w:vertAlign w:val="subscript"/>
        </w:rPr>
        <w:t>TI</w:t>
      </w:r>
      <w:r>
        <w:rPr>
          <w:b/>
          <w:bCs/>
          <w:i/>
          <w:iCs/>
          <w:vertAlign w:val="subscript"/>
        </w:rPr>
        <w:tab/>
      </w:r>
      <w:r>
        <w:rPr>
          <w:i/>
          <w:iCs/>
        </w:rPr>
        <w:t>=</w:t>
      </w:r>
      <w:r>
        <w:tab/>
        <w:t>the Deemed Bilateral Contract Energy Revenue for the Bilateral Contract for that Trading Interval;</w:t>
      </w:r>
    </w:p>
    <w:p w14:paraId="71BE6585" w14:textId="127C4822" w:rsidR="00760981" w:rsidRDefault="00760981" w:rsidP="00760981">
      <w:pPr>
        <w:pStyle w:val="Indent2"/>
        <w:tabs>
          <w:tab w:val="left" w:pos="1418"/>
          <w:tab w:val="left" w:pos="1843"/>
        </w:tabs>
        <w:ind w:left="1843" w:hanging="1106"/>
      </w:pPr>
      <w:r>
        <w:rPr>
          <w:b/>
          <w:bCs/>
          <w:i/>
          <w:iCs/>
        </w:rPr>
        <w:t>NQ</w:t>
      </w:r>
      <w:r>
        <w:rPr>
          <w:b/>
          <w:bCs/>
          <w:i/>
          <w:iCs/>
          <w:vertAlign w:val="subscript"/>
        </w:rPr>
        <w:t>TI</w:t>
      </w:r>
      <w:r>
        <w:rPr>
          <w:b/>
          <w:bCs/>
          <w:i/>
          <w:iCs/>
          <w:vertAlign w:val="subscript"/>
        </w:rPr>
        <w:tab/>
      </w:r>
      <w:r>
        <w:rPr>
          <w:i/>
          <w:iCs/>
        </w:rPr>
        <w:t>=</w:t>
      </w:r>
      <w:r>
        <w:rPr>
          <w:b/>
          <w:bCs/>
          <w:i/>
          <w:iCs/>
        </w:rPr>
        <w:tab/>
      </w:r>
      <w:r>
        <w:t xml:space="preserve">the Notional Quantity for the Trading Interval (in MWh), calculated in accordance with item </w:t>
      </w:r>
      <w:r>
        <w:fldChar w:fldCharType="begin"/>
      </w:r>
      <w:r>
        <w:instrText xml:space="preserve"> REF _Ref204243867 \n \h </w:instrText>
      </w:r>
      <w:r>
        <w:fldChar w:fldCharType="separate"/>
      </w:r>
      <w:r w:rsidR="002E5C6A">
        <w:t>3.8</w:t>
      </w:r>
      <w:r>
        <w:fldChar w:fldCharType="end"/>
      </w:r>
      <w:r>
        <w:t xml:space="preserve"> (“</w:t>
      </w:r>
      <w:r>
        <w:fldChar w:fldCharType="begin"/>
      </w:r>
      <w:r>
        <w:instrText xml:space="preserve"> REF _Ref204243867 \h </w:instrText>
      </w:r>
      <w:r>
        <w:fldChar w:fldCharType="separate"/>
      </w:r>
      <w:r w:rsidR="002E5C6A">
        <w:t xml:space="preserve">Calculation of </w:t>
      </w:r>
      <w:r w:rsidR="002E5C6A" w:rsidRPr="00507B20">
        <w:t>Notional Quantity</w:t>
      </w:r>
      <w:r>
        <w:fldChar w:fldCharType="end"/>
      </w:r>
      <w:r>
        <w:t xml:space="preserve">”); </w:t>
      </w:r>
    </w:p>
    <w:p w14:paraId="30499A6D" w14:textId="77777777" w:rsidR="00760981" w:rsidRDefault="00760981" w:rsidP="00760981">
      <w:pPr>
        <w:pStyle w:val="Indent2"/>
        <w:tabs>
          <w:tab w:val="left" w:pos="1418"/>
          <w:tab w:val="left" w:pos="1843"/>
        </w:tabs>
        <w:ind w:left="1843" w:hanging="1106"/>
      </w:pPr>
      <w:r>
        <w:rPr>
          <w:b/>
          <w:i/>
          <w:iCs/>
        </w:rPr>
        <w:t>EP</w:t>
      </w:r>
      <w:r>
        <w:rPr>
          <w:b/>
          <w:i/>
          <w:iCs/>
          <w:vertAlign w:val="subscript"/>
        </w:rPr>
        <w:t>TI</w:t>
      </w:r>
      <w:r>
        <w:rPr>
          <w:b/>
          <w:i/>
          <w:iCs/>
          <w:vertAlign w:val="subscript"/>
        </w:rPr>
        <w:tab/>
      </w:r>
      <w:r>
        <w:rPr>
          <w:bCs/>
          <w:i/>
          <w:iCs/>
        </w:rPr>
        <w:t>=</w:t>
      </w:r>
      <w:r>
        <w:rPr>
          <w:bCs/>
          <w:i/>
          <w:iCs/>
        </w:rPr>
        <w:tab/>
      </w:r>
      <w:r>
        <w:t>the Final Reference Trading Price (in $/MWh) for the Trading Interval</w:t>
      </w:r>
      <w:bookmarkStart w:id="5412" w:name="_Ref199773668"/>
      <w:r>
        <w:t xml:space="preserve">. </w:t>
      </w:r>
      <w:bookmarkEnd w:id="5412"/>
    </w:p>
    <w:p w14:paraId="12B60BDC" w14:textId="77777777" w:rsidR="00760981" w:rsidRDefault="00760981" w:rsidP="005820DA">
      <w:pPr>
        <w:pStyle w:val="SchedH2"/>
        <w:numPr>
          <w:ilvl w:val="2"/>
          <w:numId w:val="91"/>
        </w:numPr>
      </w:pPr>
      <w:bookmarkStart w:id="5413" w:name="_Ref204243867"/>
      <w:r>
        <w:t xml:space="preserve">Calculation of </w:t>
      </w:r>
      <w:r w:rsidRPr="00507B20">
        <w:t>Notional Quantity</w:t>
      </w:r>
      <w:bookmarkEnd w:id="5413"/>
    </w:p>
    <w:p w14:paraId="6CF1BC9A" w14:textId="77777777" w:rsidR="00760981" w:rsidRDefault="00760981" w:rsidP="00760981">
      <w:pPr>
        <w:pStyle w:val="Indent2"/>
        <w:keepNext/>
      </w:pPr>
      <w:r>
        <w:t>The “</w:t>
      </w:r>
      <w:r>
        <w:rPr>
          <w:b/>
          <w:bCs/>
        </w:rPr>
        <w:t>Notional Quantity</w:t>
      </w:r>
      <w:r>
        <w:rPr>
          <w:bCs/>
        </w:rPr>
        <w:t>”</w:t>
      </w:r>
      <w:r>
        <w:t xml:space="preserve"> in respect of a Bilateral Contract for a Trading Interval is calculated as follows:</w:t>
      </w:r>
    </w:p>
    <w:p w14:paraId="10DD5D4E" w14:textId="2DDA800C" w:rsidR="00760981" w:rsidRPr="008F660B" w:rsidRDefault="0057509B" w:rsidP="00760981">
      <w:pPr>
        <w:pStyle w:val="Indent2"/>
        <w:keepNext/>
        <w:ind w:left="0"/>
      </w:pPr>
      <m:oMathPara>
        <m:oMathParaPr>
          <m:jc m:val="center"/>
        </m:oMathParaPr>
        <m:oMath>
          <m:sSub>
            <m:sSubPr>
              <m:ctrlPr>
                <w:rPr>
                  <w:rFonts w:ascii="Cambria Math" w:hAnsi="Cambria Math"/>
                </w:rPr>
              </m:ctrlPr>
            </m:sSubPr>
            <m:e>
              <m:r>
                <w:rPr>
                  <w:rFonts w:ascii="Cambria Math" w:hAnsi="Cambria Math"/>
                  <w:vertAlign w:val="subscript"/>
                </w:rPr>
                <m:t>NQ</m:t>
              </m:r>
            </m:e>
            <m:sub>
              <m:r>
                <w:rPr>
                  <w:rFonts w:ascii="Cambria Math" w:hAnsi="Cambria Math"/>
                  <w:vertAlign w:val="subscript"/>
                </w:rPr>
                <m:t>TI</m:t>
              </m:r>
            </m:sub>
          </m:sSub>
          <m:r>
            <w:rPr>
              <w:rFonts w:ascii="Cambria Math" w:hAnsi="Cambria Math"/>
              <w:vertAlign w:val="subscript"/>
            </w:rPr>
            <m:t xml:space="preserve">=P </m:t>
          </m:r>
          <m:sSub>
            <m:sSubPr>
              <m:ctrlPr>
                <w:rPr>
                  <w:rFonts w:ascii="Cambria Math" w:hAnsi="Cambria Math"/>
                </w:rPr>
              </m:ctrlPr>
            </m:sSubPr>
            <m:e>
              <m:r>
                <w:rPr>
                  <w:rFonts w:ascii="Cambria Math" w:hAnsi="Cambria Math"/>
                  <w:vertAlign w:val="subscript"/>
                </w:rPr>
                <m:t>×(SOG</m:t>
              </m:r>
            </m:e>
            <m:sub>
              <m:r>
                <w:rPr>
                  <w:rFonts w:ascii="Cambria Math" w:hAnsi="Cambria Math"/>
                  <w:vertAlign w:val="subscript"/>
                </w:rPr>
                <m:t>TI</m:t>
              </m:r>
            </m:sub>
          </m:sSub>
          <m:r>
            <w:rPr>
              <w:rFonts w:ascii="Cambria Math" w:hAnsi="Cambria Math"/>
              <w:vertAlign w:val="subscript"/>
            </w:rPr>
            <m:t>×</m:t>
          </m:r>
          <m:sSub>
            <m:sSubPr>
              <m:ctrlPr>
                <w:rPr>
                  <w:rFonts w:ascii="Cambria Math" w:hAnsi="Cambria Math"/>
                </w:rPr>
              </m:ctrlPr>
            </m:sSubPr>
            <m:e>
              <m:r>
                <w:rPr>
                  <w:rFonts w:ascii="Cambria Math" w:hAnsi="Cambria Math" w:cs="Cambria"/>
                  <w:vertAlign w:val="subscript"/>
                </w:rPr>
                <m:t>LF</m:t>
              </m:r>
            </m:e>
            <m:sub>
              <m:r>
                <w:rPr>
                  <w:rFonts w:ascii="Cambria Math" w:hAnsi="Cambria Math" w:cs="Cambria"/>
                  <w:vertAlign w:val="subscript"/>
                </w:rPr>
                <m:t xml:space="preserve">TI </m:t>
              </m:r>
            </m:sub>
          </m:sSub>
          <m:r>
            <w:rPr>
              <w:rFonts w:ascii="Cambria Math" w:hAnsi="Cambria Math"/>
            </w:rPr>
            <m:t>)</m:t>
          </m:r>
        </m:oMath>
      </m:oMathPara>
    </w:p>
    <w:p w14:paraId="17512878" w14:textId="77777777" w:rsidR="00760981" w:rsidRDefault="00760981" w:rsidP="00760981">
      <w:pPr>
        <w:pStyle w:val="Indent2"/>
        <w:keepNext/>
      </w:pPr>
      <w:r>
        <w:t>where:</w:t>
      </w:r>
    </w:p>
    <w:p w14:paraId="1F8A40BD" w14:textId="77777777" w:rsidR="00760981" w:rsidRDefault="00760981" w:rsidP="00760981">
      <w:pPr>
        <w:pStyle w:val="Indent2"/>
        <w:tabs>
          <w:tab w:val="left" w:pos="1418"/>
          <w:tab w:val="left" w:pos="1843"/>
        </w:tabs>
      </w:pPr>
      <w:r>
        <w:rPr>
          <w:b/>
          <w:bCs/>
        </w:rPr>
        <w:t>NQ</w:t>
      </w:r>
      <w:r>
        <w:rPr>
          <w:b/>
          <w:bCs/>
          <w:vertAlign w:val="subscript"/>
        </w:rPr>
        <w:t>TI</w:t>
      </w:r>
      <w:r>
        <w:tab/>
        <w:t>=</w:t>
      </w:r>
      <w:r>
        <w:tab/>
        <w:t>the Notional Quantity for the Trading Interval (in MWh);</w:t>
      </w:r>
    </w:p>
    <w:p w14:paraId="15E24E88" w14:textId="77777777" w:rsidR="00760981" w:rsidRDefault="00760981" w:rsidP="00143457">
      <w:pPr>
        <w:pStyle w:val="Indent2"/>
        <w:keepNext/>
        <w:tabs>
          <w:tab w:val="left" w:pos="1418"/>
          <w:tab w:val="left" w:pos="1843"/>
        </w:tabs>
      </w:pPr>
      <w:r w:rsidRPr="00982398">
        <w:rPr>
          <w:b/>
        </w:rPr>
        <w:t>P</w:t>
      </w:r>
      <w:r>
        <w:tab/>
        <w:t>=</w:t>
      </w:r>
      <w:r>
        <w:tab/>
        <w:t xml:space="preserve">is the lesser of: </w:t>
      </w:r>
    </w:p>
    <w:p w14:paraId="25EB6FE7" w14:textId="77777777" w:rsidR="00760981" w:rsidRDefault="00760981" w:rsidP="008F660B">
      <w:pPr>
        <w:pStyle w:val="ListNumber5"/>
        <w:numPr>
          <w:ilvl w:val="0"/>
          <w:numId w:val="116"/>
        </w:numPr>
        <w:spacing w:after="240"/>
        <w:contextualSpacing w:val="0"/>
      </w:pPr>
      <w:r>
        <w:t xml:space="preserve">the proportion (expressed as a decimal) of the [sum of the] Tested Storage Capacity of the Project [and the Tested EP Storage Capacity of the Existing Project] that is the subject of the relevant Bilateral Contract for that Trading Interval (other than any Eligible Bilateral Contract); and </w:t>
      </w:r>
      <w:r w:rsidRPr="00336E89">
        <w:t>[</w:t>
      </w:r>
      <w:r>
        <w:rPr>
          <w:b/>
          <w:bCs/>
          <w:i/>
          <w:iCs/>
          <w:highlight w:val="lightGray"/>
        </w:rPr>
        <w:t>Note: the words in square brackets are to be included for all Staged Projects.</w:t>
      </w:r>
      <w:r w:rsidRPr="00336E89">
        <w:t>]</w:t>
      </w:r>
    </w:p>
    <w:p w14:paraId="5430C91C" w14:textId="77777777" w:rsidR="00760981" w:rsidRDefault="00760981" w:rsidP="008F660B">
      <w:pPr>
        <w:pStyle w:val="ListNumber5"/>
        <w:numPr>
          <w:ilvl w:val="0"/>
          <w:numId w:val="116"/>
        </w:numPr>
        <w:spacing w:after="240"/>
        <w:contextualSpacing w:val="0"/>
      </w:pPr>
      <w:bookmarkStart w:id="5414" w:name="_Ref180679017"/>
      <w:r>
        <w:t>if the Commonwealth specifies a different proportion (which may be zero) (expressed as a decimal) of the [sum of the] Tested Storage Capacity of the Project[ and the Tested EP Storage Capacity of the Existing Project] that is deemed to be the subject of the relevant Bilateral Contract for that Trading Interval (other than any Eligible Bilateral Contract), then the proportion so specified by the Commonwealth;</w:t>
      </w:r>
      <w:bookmarkEnd w:id="5414"/>
      <w:r>
        <w:t xml:space="preserve"> </w:t>
      </w:r>
      <w:r w:rsidRPr="00336E89">
        <w:t>[</w:t>
      </w:r>
      <w:r>
        <w:rPr>
          <w:b/>
          <w:bCs/>
          <w:i/>
          <w:iCs/>
          <w:highlight w:val="lightGray"/>
        </w:rPr>
        <w:t>Note: the words in square brackets are to be included for all Staged Projects.</w:t>
      </w:r>
      <w:r w:rsidRPr="00336E89">
        <w:t>]</w:t>
      </w:r>
    </w:p>
    <w:p w14:paraId="6EA008FE" w14:textId="77777777" w:rsidR="00760981" w:rsidRDefault="00760981" w:rsidP="00760981">
      <w:pPr>
        <w:pStyle w:val="Indent2"/>
        <w:tabs>
          <w:tab w:val="left" w:pos="1418"/>
          <w:tab w:val="left" w:pos="1843"/>
        </w:tabs>
      </w:pPr>
      <w:r>
        <w:rPr>
          <w:b/>
          <w:bCs/>
        </w:rPr>
        <w:t>SOG</w:t>
      </w:r>
      <w:r>
        <w:rPr>
          <w:b/>
          <w:bCs/>
          <w:vertAlign w:val="subscript"/>
        </w:rPr>
        <w:t>TI</w:t>
      </w:r>
      <w:r>
        <w:tab/>
        <w:t>=</w:t>
      </w:r>
      <w:r>
        <w:tab/>
        <w:t>Sent Out Generation for the Trading Interval (in MWh); and</w:t>
      </w:r>
    </w:p>
    <w:p w14:paraId="0C85DF9A" w14:textId="77777777" w:rsidR="00760981" w:rsidRDefault="00760981" w:rsidP="00760981">
      <w:pPr>
        <w:pStyle w:val="Indent2"/>
        <w:tabs>
          <w:tab w:val="left" w:pos="1418"/>
          <w:tab w:val="left" w:pos="1843"/>
        </w:tabs>
      </w:pPr>
      <w:r>
        <w:rPr>
          <w:b/>
          <w:bCs/>
        </w:rPr>
        <w:t>LF</w:t>
      </w:r>
      <w:r>
        <w:rPr>
          <w:b/>
          <w:bCs/>
          <w:vertAlign w:val="subscript"/>
        </w:rPr>
        <w:t>TI</w:t>
      </w:r>
      <w:r>
        <w:tab/>
        <w:t>=</w:t>
      </w:r>
      <w:r>
        <w:tab/>
        <w:t>the Loss Factor for the Trading Interval.</w:t>
      </w:r>
    </w:p>
    <w:p w14:paraId="06DFDD02" w14:textId="77777777" w:rsidR="00760981" w:rsidRDefault="00760981" w:rsidP="005820DA">
      <w:pPr>
        <w:pStyle w:val="SchedH2"/>
        <w:numPr>
          <w:ilvl w:val="2"/>
          <w:numId w:val="91"/>
        </w:numPr>
      </w:pPr>
      <w:bookmarkStart w:id="5415" w:name="_Ref206083049"/>
      <w:r>
        <w:t>Calculation of Deemed Bilateral Contract Capacity Credit Revenue</w:t>
      </w:r>
      <w:bookmarkEnd w:id="5415"/>
    </w:p>
    <w:p w14:paraId="7707C8AC" w14:textId="77777777" w:rsidR="002B2128" w:rsidRDefault="002B2128" w:rsidP="002B2128">
      <w:pPr>
        <w:pStyle w:val="SchedH3"/>
        <w:keepNext/>
        <w:numPr>
          <w:ilvl w:val="3"/>
          <w:numId w:val="0"/>
        </w:numPr>
        <w:ind w:left="737"/>
      </w:pPr>
      <w:bookmarkStart w:id="5416" w:name="_Ref206083074"/>
      <w:r>
        <w:t xml:space="preserve">The </w:t>
      </w:r>
      <w:r>
        <w:rPr>
          <w:b/>
          <w:bCs/>
        </w:rPr>
        <w:t>Deemed Bilateral Contract Capacity Credit Revenue</w:t>
      </w:r>
      <w:r>
        <w:t xml:space="preserve"> in respect of a period means the sum of all amounts payable in respect of each Trading Day during that period under each Bilateral Contract (insofar as it relates to all Capacity Credits created by reference to the Project [or the Staged Project (as applicable)] and is not an Eligible Bilateral Contract), where the amount payable under each such Bilateral Contract for each Trading Day arising during that period is calculated as follows: </w:t>
      </w:r>
    </w:p>
    <w:p w14:paraId="00AA5F08" w14:textId="77777777" w:rsidR="002B2128" w:rsidRDefault="002B2128" w:rsidP="002B2128">
      <w:pPr>
        <w:pStyle w:val="SchedH3"/>
        <w:keepNext/>
        <w:numPr>
          <w:ilvl w:val="3"/>
          <w:numId w:val="0"/>
        </w:numPr>
        <w:ind w:left="737"/>
      </w:pPr>
      <w:r>
        <w:rPr>
          <w:highlight w:val="lightGray"/>
        </w:rPr>
        <w:t>[</w:t>
      </w:r>
      <w:r>
        <w:rPr>
          <w:b/>
          <w:bCs/>
          <w:i/>
          <w:iCs/>
          <w:highlight w:val="lightGray"/>
        </w:rPr>
        <w:t>Note: words in square brackets to be included for all Staged Projects.</w:t>
      </w:r>
      <w:r>
        <w:rPr>
          <w:highlight w:val="lightGray"/>
        </w:rPr>
        <w:t>]</w:t>
      </w:r>
    </w:p>
    <w:p w14:paraId="230C62CA" w14:textId="77777777" w:rsidR="002B2128" w:rsidRDefault="0057509B" w:rsidP="002B2128">
      <w:pPr>
        <w:pStyle w:val="Indent2"/>
        <w:ind w:left="0"/>
        <w:jc w:val="center"/>
        <w:rPr>
          <w:b/>
          <w:bCs/>
          <w:i/>
          <w:iCs/>
        </w:rPr>
      </w:pPr>
      <m:oMath>
        <m:sSub>
          <m:sSubPr>
            <m:ctrlPr>
              <w:rPr>
                <w:rFonts w:ascii="Cambria Math" w:hAnsi="Cambria Math"/>
                <w:b/>
                <w:bCs/>
                <w:i/>
                <w:iCs/>
              </w:rPr>
            </m:ctrlPr>
          </m:sSubPr>
          <m:e>
            <m:r>
              <m:rPr>
                <m:sty m:val="p"/>
              </m:rPr>
              <w:rPr>
                <w:rFonts w:ascii="Cambria Math" w:hAnsi="Cambria Math"/>
              </w:rPr>
              <m:t>DCP</m:t>
            </m:r>
          </m:e>
          <m:sub>
            <m:r>
              <m:rPr>
                <m:sty m:val="p"/>
              </m:rPr>
              <w:rPr>
                <w:rFonts w:ascii="Cambria Math" w:hAnsi="Cambria Math"/>
              </w:rPr>
              <m:t>TD</m:t>
            </m:r>
          </m:sub>
        </m:sSub>
        <m:r>
          <m:rPr>
            <m:sty m:val="p"/>
          </m:rPr>
          <w:rPr>
            <w:rFonts w:ascii="Cambria Math" w:hAnsi="Cambria Math"/>
          </w:rPr>
          <m:t xml:space="preserve"> =(PCC × </m:t>
        </m:r>
        <m:sSub>
          <m:sSubPr>
            <m:ctrlPr>
              <w:rPr>
                <w:rFonts w:ascii="Cambria Math" w:hAnsi="Cambria Math"/>
                <w:b/>
                <w:bCs/>
                <w:i/>
                <w:iCs/>
              </w:rPr>
            </m:ctrlPr>
          </m:sSubPr>
          <m:e>
            <m:r>
              <m:rPr>
                <m:sty m:val="p"/>
              </m:rPr>
              <w:rPr>
                <w:rFonts w:ascii="Cambria Math" w:hAnsi="Cambria Math"/>
              </w:rPr>
              <m:t>PCP</m:t>
            </m:r>
          </m:e>
          <m:sub>
            <m:r>
              <m:rPr>
                <m:sty m:val="p"/>
              </m:rPr>
              <w:rPr>
                <w:rFonts w:ascii="Cambria Math" w:hAnsi="Cambria Math"/>
              </w:rPr>
              <m:t>TD</m:t>
            </m:r>
          </m:sub>
        </m:sSub>
        <m:r>
          <m:rPr>
            <m:sty m:val="bi"/>
          </m:rPr>
          <w:rPr>
            <w:rFonts w:ascii="Cambria Math" w:hAnsi="Cambria Math"/>
          </w:rPr>
          <m:t>+</m:t>
        </m:r>
        <m:sSub>
          <m:sSubPr>
            <m:ctrlPr>
              <w:rPr>
                <w:rFonts w:ascii="Cambria Math" w:hAnsi="Cambria Math"/>
                <w:b/>
                <w:bCs/>
                <w:i/>
                <w:iCs/>
              </w:rPr>
            </m:ctrlPr>
          </m:sSubPr>
          <m:e>
            <m:r>
              <m:rPr>
                <m:sty m:val="p"/>
              </m:rPr>
              <w:rPr>
                <w:rFonts w:ascii="Cambria Math" w:hAnsi="Cambria Math"/>
              </w:rPr>
              <m:t>DCCR</m:t>
            </m:r>
          </m:e>
          <m:sub>
            <m:r>
              <m:rPr>
                <m:sty m:val="p"/>
              </m:rPr>
              <w:rPr>
                <w:rFonts w:ascii="Cambria Math" w:hAnsi="Cambria Math"/>
              </w:rPr>
              <m:t>TD</m:t>
            </m:r>
          </m:sub>
        </m:sSub>
      </m:oMath>
      <w:r w:rsidR="002B2128" w:rsidRPr="00A56AB6">
        <w:rPr>
          <w:rFonts w:ascii="Cambria Math" w:hAnsi="Cambria Math"/>
        </w:rPr>
        <w:t>)</w:t>
      </w:r>
      <w:r w:rsidR="002B2128">
        <w:rPr>
          <w:b/>
          <w:bCs/>
          <w:i/>
          <w:iCs/>
        </w:rPr>
        <w:t xml:space="preserve"> </w:t>
      </w:r>
    </w:p>
    <w:p w14:paraId="2D36B1A8" w14:textId="77777777" w:rsidR="002B2128" w:rsidRDefault="002B2128" w:rsidP="002B2128">
      <w:pPr>
        <w:pStyle w:val="Indent2"/>
        <w:keepNext/>
      </w:pPr>
      <w:r>
        <w:t xml:space="preserve">where: </w:t>
      </w:r>
    </w:p>
    <w:p w14:paraId="264A49F2" w14:textId="77777777" w:rsidR="002B2128" w:rsidRDefault="002B2128" w:rsidP="002B2128">
      <w:pPr>
        <w:pStyle w:val="Indent2"/>
        <w:tabs>
          <w:tab w:val="left" w:pos="1418"/>
          <w:tab w:val="left" w:pos="1843"/>
        </w:tabs>
        <w:ind w:left="1843" w:hanging="1106"/>
      </w:pPr>
      <w:r>
        <w:rPr>
          <w:b/>
          <w:bCs/>
          <w:i/>
          <w:iCs/>
        </w:rPr>
        <w:t>DCP</w:t>
      </w:r>
      <w:r>
        <w:rPr>
          <w:b/>
          <w:bCs/>
          <w:i/>
          <w:iCs/>
          <w:vertAlign w:val="subscript"/>
        </w:rPr>
        <w:t>TD</w:t>
      </w:r>
      <w:r>
        <w:rPr>
          <w:b/>
          <w:bCs/>
          <w:i/>
          <w:iCs/>
          <w:vertAlign w:val="subscript"/>
        </w:rPr>
        <w:tab/>
      </w:r>
      <w:r w:rsidRPr="00982398">
        <w:rPr>
          <w:i/>
        </w:rPr>
        <w:t>=</w:t>
      </w:r>
      <w:r>
        <w:tab/>
        <w:t>the Deemed Bilateral Contract Capacity Credit Revenue for the Bilateral Contract for that Trading Day;</w:t>
      </w:r>
    </w:p>
    <w:p w14:paraId="0B0384D3" w14:textId="77777777" w:rsidR="002B2128" w:rsidRDefault="002B2128" w:rsidP="002B2128">
      <w:pPr>
        <w:pStyle w:val="Indent2"/>
        <w:tabs>
          <w:tab w:val="left" w:pos="1418"/>
          <w:tab w:val="left" w:pos="1843"/>
        </w:tabs>
        <w:ind w:left="1843" w:hanging="1106"/>
      </w:pPr>
      <w:r>
        <w:rPr>
          <w:b/>
          <w:i/>
        </w:rPr>
        <w:t>P</w:t>
      </w:r>
      <w:r w:rsidRPr="00982398">
        <w:rPr>
          <w:b/>
          <w:i/>
        </w:rPr>
        <w:t>CC</w:t>
      </w:r>
      <w:r>
        <w:rPr>
          <w:b/>
          <w:bCs/>
          <w:i/>
          <w:iCs/>
        </w:rPr>
        <w:tab/>
      </w:r>
      <w:r w:rsidRPr="00982398">
        <w:rPr>
          <w:i/>
        </w:rPr>
        <w:t>=</w:t>
      </w:r>
      <w:r>
        <w:rPr>
          <w:b/>
          <w:bCs/>
          <w:i/>
          <w:iCs/>
        </w:rPr>
        <w:tab/>
      </w:r>
      <w:r>
        <w:t>the number of Peak Capacity Credits the subject of the Bilateral Contract, for the Support Year in which the Trading Day arises; and</w:t>
      </w:r>
    </w:p>
    <w:p w14:paraId="210B3B74" w14:textId="77777777" w:rsidR="002B2128" w:rsidRDefault="002B2128" w:rsidP="002B2128">
      <w:pPr>
        <w:pStyle w:val="Indent2"/>
        <w:tabs>
          <w:tab w:val="left" w:pos="1418"/>
          <w:tab w:val="left" w:pos="1843"/>
        </w:tabs>
        <w:ind w:left="1843" w:hanging="1106"/>
      </w:pPr>
      <w:r>
        <w:rPr>
          <w:b/>
          <w:bCs/>
          <w:i/>
          <w:iCs/>
        </w:rPr>
        <w:t>PCP</w:t>
      </w:r>
      <w:r>
        <w:rPr>
          <w:b/>
          <w:bCs/>
          <w:i/>
          <w:iCs/>
          <w:vertAlign w:val="subscript"/>
        </w:rPr>
        <w:t>TD</w:t>
      </w:r>
      <w:r>
        <w:rPr>
          <w:b/>
          <w:bCs/>
          <w:i/>
          <w:iCs/>
          <w:vertAlign w:val="subscript"/>
        </w:rPr>
        <w:tab/>
      </w:r>
      <w:r>
        <w:rPr>
          <w:i/>
          <w:iCs/>
        </w:rPr>
        <w:t>=</w:t>
      </w:r>
      <w:r>
        <w:rPr>
          <w:i/>
          <w:iCs/>
        </w:rPr>
        <w:tab/>
      </w:r>
      <w:r>
        <w:t>is, for the Trading Day:</w:t>
      </w:r>
    </w:p>
    <w:p w14:paraId="46F49417" w14:textId="77777777" w:rsidR="002B2128" w:rsidRDefault="002B2128" w:rsidP="002B2128">
      <w:pPr>
        <w:pStyle w:val="ListNumber5"/>
        <w:numPr>
          <w:ilvl w:val="0"/>
          <w:numId w:val="117"/>
        </w:numPr>
        <w:spacing w:after="240"/>
        <w:contextualSpacing w:val="0"/>
      </w:pPr>
      <w:bookmarkStart w:id="5417" w:name="_Ref206527929"/>
      <w:r>
        <w:t>if, in respect of the Trading Day, the Project is classified as a Fixed Price Facility (as defined in the ESM Rules), and the period falls within the Peak Fixed Price Reserve Capacity Cycle (as defined in the ESM Rules) for the Project, the Facility Daily Reserve Capacity Price (as defined in the ESM Rules) (in $ per Peak Capacity Credit) for the Project for that Trading Day; or</w:t>
      </w:r>
      <w:bookmarkEnd w:id="5417"/>
    </w:p>
    <w:p w14:paraId="2FE2085E" w14:textId="77777777" w:rsidR="002B2128" w:rsidRPr="003D5DA7" w:rsidRDefault="002B2128" w:rsidP="002B2128">
      <w:pPr>
        <w:pStyle w:val="ListNumber5"/>
        <w:numPr>
          <w:ilvl w:val="0"/>
          <w:numId w:val="117"/>
        </w:numPr>
        <w:spacing w:after="240"/>
        <w:contextualSpacing w:val="0"/>
      </w:pPr>
      <w:r>
        <w:t xml:space="preserve">if paragraph </w:t>
      </w:r>
      <w:r>
        <w:fldChar w:fldCharType="begin"/>
      </w:r>
      <w:r>
        <w:instrText xml:space="preserve"> REF _Ref206527929 \n \h </w:instrText>
      </w:r>
      <w:r>
        <w:fldChar w:fldCharType="separate"/>
      </w:r>
      <w:r>
        <w:t>(a)</w:t>
      </w:r>
      <w:r>
        <w:fldChar w:fldCharType="end"/>
      </w:r>
      <w:r>
        <w:t xml:space="preserve"> does not apply, the Reserve Capacity Price (as defined in the ESM Rules) (in $ per Peak Capacity Credit per Capacity Year (as defined in the ESM Rules)) for the Reserve Capacity Cycle (as defined in the ESM Rules) in which the period falls divided by the number of Trading Days in that </w:t>
      </w:r>
      <w:r w:rsidRPr="003D5DA7">
        <w:t xml:space="preserve">Capacity Year (as defined in the ESM Rules). </w:t>
      </w:r>
    </w:p>
    <w:p w14:paraId="0D67BD64" w14:textId="77777777" w:rsidR="002B2128" w:rsidRPr="003D5DA7" w:rsidRDefault="002B2128" w:rsidP="002B2128">
      <w:pPr>
        <w:pStyle w:val="ListNumber5"/>
        <w:numPr>
          <w:ilvl w:val="0"/>
          <w:numId w:val="0"/>
        </w:numPr>
        <w:spacing w:after="240"/>
        <w:ind w:left="2204" w:hanging="1467"/>
        <w:contextualSpacing w:val="0"/>
        <w:rPr>
          <w:b/>
          <w:bCs/>
          <w:i/>
          <w:iCs/>
        </w:rPr>
      </w:pPr>
      <w:bookmarkStart w:id="5418" w:name="_Hlk207200001"/>
      <w:r w:rsidRPr="003D5DA7">
        <w:rPr>
          <w:b/>
          <w:bCs/>
          <w:i/>
          <w:iCs/>
        </w:rPr>
        <w:t>DCCR</w:t>
      </w:r>
      <w:r w:rsidRPr="003D5DA7">
        <w:rPr>
          <w:b/>
          <w:bCs/>
          <w:i/>
          <w:iCs/>
          <w:sz w:val="13"/>
          <w:szCs w:val="13"/>
        </w:rPr>
        <w:t xml:space="preserve">TD </w:t>
      </w:r>
      <w:r w:rsidRPr="003D5DA7">
        <w:rPr>
          <w:b/>
          <w:bCs/>
          <w:i/>
          <w:iCs/>
        </w:rPr>
        <w:t>=</w:t>
      </w:r>
      <w:r w:rsidRPr="003D5DA7">
        <w:rPr>
          <w:b/>
          <w:bCs/>
          <w:i/>
          <w:iCs/>
        </w:rPr>
        <w:tab/>
      </w:r>
      <w:r w:rsidRPr="003D5DA7">
        <w:rPr>
          <w:b/>
          <w:bCs/>
          <w:i/>
          <w:iCs/>
        </w:rPr>
        <w:tab/>
      </w:r>
      <w:r w:rsidRPr="003D5DA7">
        <w:t>the deemed aggregate revenue received for all relevant Capacity Credits (other than Peak Capacity Credits) the subject of the relevant Bilateral Contract for that Trading Day (being the sum of DRCCR</w:t>
      </w:r>
      <w:r w:rsidRPr="003D5DA7">
        <w:rPr>
          <w:sz w:val="13"/>
          <w:szCs w:val="13"/>
        </w:rPr>
        <w:t xml:space="preserve">TD </w:t>
      </w:r>
      <w:r w:rsidRPr="003D5DA7">
        <w:t>for each such Capacity Credit), where the deemed revenue received in respect of each such Capacity Credit for that Trading Day is calculated as follows</w:t>
      </w:r>
      <w:r w:rsidRPr="003D5DA7">
        <w:rPr>
          <w:b/>
          <w:bCs/>
          <w:i/>
          <w:iCs/>
        </w:rPr>
        <w:t>:</w:t>
      </w:r>
    </w:p>
    <w:p w14:paraId="5FD9647E" w14:textId="77777777" w:rsidR="002B2128" w:rsidRPr="003D5DA7" w:rsidRDefault="0057509B" w:rsidP="002B2128">
      <w:pPr>
        <w:pStyle w:val="Indent2"/>
        <w:ind w:left="0"/>
        <w:jc w:val="center"/>
        <w:rPr>
          <w:b/>
          <w:bCs/>
          <w:i/>
          <w:iCs/>
        </w:rPr>
      </w:pPr>
      <m:oMathPara>
        <m:oMath>
          <m:sSub>
            <m:sSubPr>
              <m:ctrlPr>
                <w:rPr>
                  <w:rFonts w:ascii="Cambria Math" w:hAnsi="Cambria Math"/>
                  <w:b/>
                  <w:bCs/>
                  <w:i/>
                  <w:iCs/>
                </w:rPr>
              </m:ctrlPr>
            </m:sSubPr>
            <m:e>
              <m:r>
                <m:rPr>
                  <m:sty m:val="p"/>
                </m:rPr>
                <w:rPr>
                  <w:rFonts w:ascii="Cambria Math" w:hAnsi="Cambria Math"/>
                </w:rPr>
                <m:t>DRCCR</m:t>
              </m:r>
            </m:e>
            <m:sub>
              <m:r>
                <m:rPr>
                  <m:sty m:val="p"/>
                </m:rPr>
                <w:rPr>
                  <w:rFonts w:ascii="Cambria Math" w:hAnsi="Cambria Math"/>
                </w:rPr>
                <m:t>TD</m:t>
              </m:r>
            </m:sub>
          </m:sSub>
          <m:r>
            <m:rPr>
              <m:sty m:val="p"/>
            </m:rPr>
            <w:rPr>
              <w:rFonts w:ascii="Cambria Math" w:hAnsi="Cambria Math"/>
            </w:rPr>
            <m:t xml:space="preserve"> =CC × </m:t>
          </m:r>
          <m:sSub>
            <m:sSubPr>
              <m:ctrlPr>
                <w:rPr>
                  <w:rFonts w:ascii="Cambria Math" w:hAnsi="Cambria Math"/>
                  <w:b/>
                  <w:bCs/>
                  <w:i/>
                  <w:iCs/>
                </w:rPr>
              </m:ctrlPr>
            </m:sSubPr>
            <m:e>
              <m:r>
                <m:rPr>
                  <m:sty m:val="p"/>
                </m:rPr>
                <w:rPr>
                  <w:rFonts w:ascii="Cambria Math" w:hAnsi="Cambria Math"/>
                </w:rPr>
                <m:t>CP</m:t>
              </m:r>
            </m:e>
            <m:sub>
              <m:r>
                <m:rPr>
                  <m:sty m:val="p"/>
                </m:rPr>
                <w:rPr>
                  <w:rFonts w:ascii="Cambria Math" w:hAnsi="Cambria Math"/>
                </w:rPr>
                <m:t>TD</m:t>
              </m:r>
            </m:sub>
          </m:sSub>
        </m:oMath>
      </m:oMathPara>
    </w:p>
    <w:p w14:paraId="31F11456" w14:textId="77777777" w:rsidR="002B2128" w:rsidRPr="003D5DA7" w:rsidRDefault="002B2128" w:rsidP="002B2128">
      <w:pPr>
        <w:pStyle w:val="Default"/>
        <w:ind w:firstLine="737"/>
        <w:rPr>
          <w:color w:val="auto"/>
          <w:sz w:val="20"/>
          <w:szCs w:val="20"/>
        </w:rPr>
      </w:pPr>
      <w:r w:rsidRPr="003D5DA7">
        <w:rPr>
          <w:color w:val="auto"/>
          <w:sz w:val="20"/>
          <w:szCs w:val="20"/>
        </w:rPr>
        <w:t xml:space="preserve">where: </w:t>
      </w:r>
    </w:p>
    <w:p w14:paraId="08A5E390" w14:textId="77777777" w:rsidR="002B2128" w:rsidRPr="003D5DA7" w:rsidRDefault="002B2128" w:rsidP="002B2128">
      <w:pPr>
        <w:pStyle w:val="Default"/>
        <w:ind w:left="737" w:firstLine="737"/>
        <w:rPr>
          <w:b/>
          <w:bCs/>
          <w:color w:val="auto"/>
          <w:sz w:val="20"/>
          <w:szCs w:val="20"/>
        </w:rPr>
      </w:pPr>
    </w:p>
    <w:p w14:paraId="5F17C741" w14:textId="77777777" w:rsidR="002B2128" w:rsidRDefault="002B2128" w:rsidP="002B2128">
      <w:pPr>
        <w:pStyle w:val="Default"/>
        <w:ind w:left="2207" w:hanging="1470"/>
        <w:rPr>
          <w:color w:val="auto"/>
          <w:sz w:val="20"/>
          <w:szCs w:val="20"/>
        </w:rPr>
      </w:pPr>
      <w:r w:rsidRPr="003D5DA7">
        <w:rPr>
          <w:b/>
          <w:bCs/>
          <w:i/>
          <w:iCs/>
          <w:color w:val="auto"/>
          <w:sz w:val="20"/>
          <w:szCs w:val="20"/>
        </w:rPr>
        <w:t>DRCCR</w:t>
      </w:r>
      <w:r w:rsidRPr="003D5DA7">
        <w:rPr>
          <w:b/>
          <w:bCs/>
          <w:i/>
          <w:iCs/>
          <w:color w:val="auto"/>
          <w:sz w:val="13"/>
          <w:szCs w:val="13"/>
        </w:rPr>
        <w:t>TD</w:t>
      </w:r>
      <w:r>
        <w:rPr>
          <w:b/>
          <w:bCs/>
          <w:i/>
          <w:iCs/>
          <w:color w:val="auto"/>
          <w:sz w:val="13"/>
          <w:szCs w:val="13"/>
        </w:rPr>
        <w:t xml:space="preserve">   </w:t>
      </w:r>
      <w:r w:rsidRPr="003D5DA7">
        <w:rPr>
          <w:color w:val="auto"/>
          <w:sz w:val="20"/>
          <w:szCs w:val="20"/>
        </w:rPr>
        <w:t>=</w:t>
      </w:r>
      <w:r w:rsidRPr="003D5DA7">
        <w:rPr>
          <w:color w:val="auto"/>
          <w:sz w:val="20"/>
          <w:szCs w:val="20"/>
        </w:rPr>
        <w:tab/>
        <w:t xml:space="preserve">the deemed revenue attributable to the relevant type of Capacity Credit for the Bilateral Contract for that Trading Day; </w:t>
      </w:r>
    </w:p>
    <w:p w14:paraId="2E43EE71" w14:textId="77777777" w:rsidR="002B2128" w:rsidRPr="003D5DA7" w:rsidRDefault="002B2128" w:rsidP="002B2128">
      <w:pPr>
        <w:pStyle w:val="Default"/>
        <w:ind w:left="2207" w:hanging="1470"/>
        <w:rPr>
          <w:color w:val="auto"/>
          <w:sz w:val="20"/>
          <w:szCs w:val="20"/>
        </w:rPr>
      </w:pPr>
    </w:p>
    <w:p w14:paraId="7F1F391E" w14:textId="77777777" w:rsidR="002B2128" w:rsidRDefault="002B2128" w:rsidP="002B2128">
      <w:pPr>
        <w:pStyle w:val="Default"/>
        <w:ind w:left="2207" w:hanging="1470"/>
        <w:rPr>
          <w:color w:val="auto"/>
          <w:sz w:val="20"/>
          <w:szCs w:val="20"/>
        </w:rPr>
      </w:pPr>
      <w:r w:rsidRPr="003D5DA7">
        <w:rPr>
          <w:b/>
          <w:bCs/>
          <w:i/>
          <w:iCs/>
          <w:color w:val="auto"/>
          <w:sz w:val="20"/>
          <w:szCs w:val="20"/>
        </w:rPr>
        <w:t>CC</w:t>
      </w:r>
      <w:r>
        <w:rPr>
          <w:b/>
          <w:bCs/>
          <w:i/>
          <w:iCs/>
          <w:color w:val="auto"/>
          <w:sz w:val="20"/>
          <w:szCs w:val="20"/>
        </w:rPr>
        <w:t xml:space="preserve">          </w:t>
      </w:r>
      <w:r w:rsidRPr="003D5DA7">
        <w:rPr>
          <w:i/>
          <w:iCs/>
          <w:color w:val="auto"/>
          <w:sz w:val="20"/>
          <w:szCs w:val="20"/>
        </w:rPr>
        <w:t xml:space="preserve"> </w:t>
      </w:r>
      <w:r>
        <w:rPr>
          <w:i/>
          <w:iCs/>
          <w:color w:val="auto"/>
          <w:sz w:val="20"/>
          <w:szCs w:val="20"/>
        </w:rPr>
        <w:t xml:space="preserve"> </w:t>
      </w:r>
      <w:r w:rsidRPr="003D5DA7">
        <w:rPr>
          <w:color w:val="auto"/>
          <w:sz w:val="20"/>
          <w:szCs w:val="20"/>
        </w:rPr>
        <w:t xml:space="preserve">= </w:t>
      </w:r>
      <w:r w:rsidRPr="003D5DA7">
        <w:rPr>
          <w:color w:val="auto"/>
          <w:sz w:val="20"/>
          <w:szCs w:val="20"/>
        </w:rPr>
        <w:tab/>
      </w:r>
      <w:r w:rsidRPr="003D5DA7">
        <w:rPr>
          <w:color w:val="auto"/>
          <w:sz w:val="20"/>
          <w:szCs w:val="20"/>
        </w:rPr>
        <w:tab/>
        <w:t xml:space="preserve">the number of the relevant type of Capacity Credit the subject of the Bilateral Contract, for the Financial Year in which the period arises; and </w:t>
      </w:r>
    </w:p>
    <w:p w14:paraId="6BDF2C75" w14:textId="77777777" w:rsidR="002B2128" w:rsidRPr="003D5DA7" w:rsidRDefault="002B2128" w:rsidP="002B2128">
      <w:pPr>
        <w:pStyle w:val="Default"/>
        <w:ind w:left="2207" w:hanging="1470"/>
        <w:rPr>
          <w:color w:val="auto"/>
          <w:sz w:val="20"/>
          <w:szCs w:val="20"/>
        </w:rPr>
      </w:pPr>
    </w:p>
    <w:p w14:paraId="6BB96862" w14:textId="77777777" w:rsidR="002B2128" w:rsidRDefault="002B2128" w:rsidP="002B2128">
      <w:pPr>
        <w:pStyle w:val="Indent2"/>
        <w:tabs>
          <w:tab w:val="left" w:pos="1418"/>
          <w:tab w:val="left" w:pos="1843"/>
        </w:tabs>
        <w:ind w:left="2207" w:hanging="1470"/>
      </w:pPr>
      <w:r w:rsidRPr="003D5DA7">
        <w:rPr>
          <w:b/>
          <w:bCs/>
          <w:i/>
          <w:iCs/>
        </w:rPr>
        <w:t>CPTD</w:t>
      </w:r>
      <w:r w:rsidRPr="003D5DA7">
        <w:rPr>
          <w:i/>
          <w:iCs/>
        </w:rPr>
        <w:t xml:space="preserve"> </w:t>
      </w:r>
      <w:r>
        <w:rPr>
          <w:i/>
          <w:iCs/>
        </w:rPr>
        <w:t xml:space="preserve">      </w:t>
      </w:r>
      <w:r w:rsidRPr="003D5DA7">
        <w:rPr>
          <w:i/>
          <w:iCs/>
        </w:rPr>
        <w:t xml:space="preserve">= </w:t>
      </w:r>
      <w:r w:rsidRPr="003D5DA7">
        <w:rPr>
          <w:i/>
          <w:iCs/>
        </w:rPr>
        <w:tab/>
      </w:r>
      <w:r>
        <w:rPr>
          <w:i/>
          <w:iCs/>
        </w:rPr>
        <w:tab/>
      </w:r>
      <w:r w:rsidRPr="003D5DA7">
        <w:t xml:space="preserve">the market price (in $ per Capacity Credit) for the relevant type of Capacity Credit for the relevant period in which the Trading Day falls determined in accordance with </w:t>
      </w:r>
      <w:r>
        <w:fldChar w:fldCharType="begin"/>
      </w:r>
      <w:r>
        <w:instrText xml:space="preserve"> REF _Ref206528511 \n \h </w:instrText>
      </w:r>
      <w:r>
        <w:fldChar w:fldCharType="separate"/>
      </w:r>
      <w:r>
        <w:t>3.12</w:t>
      </w:r>
      <w:r>
        <w:fldChar w:fldCharType="end"/>
      </w:r>
      <w:r>
        <w:t xml:space="preserve"> (“</w:t>
      </w:r>
      <w:r>
        <w:fldChar w:fldCharType="begin"/>
      </w:r>
      <w:r>
        <w:instrText xml:space="preserve"> REF _Ref206528511 \h </w:instrText>
      </w:r>
      <w:r>
        <w:fldChar w:fldCharType="separate"/>
      </w:r>
      <w:r>
        <w:t>Determination of Green Product market prices</w:t>
      </w:r>
      <w:r>
        <w:fldChar w:fldCharType="end"/>
      </w:r>
      <w:r>
        <w:t>”).</w:t>
      </w:r>
    </w:p>
    <w:bookmarkEnd w:id="5418"/>
    <w:p w14:paraId="79700EA7" w14:textId="77777777" w:rsidR="00760981" w:rsidRDefault="00760981" w:rsidP="005820DA">
      <w:pPr>
        <w:pStyle w:val="SchedH2"/>
        <w:numPr>
          <w:ilvl w:val="2"/>
          <w:numId w:val="91"/>
        </w:numPr>
      </w:pPr>
      <w:r>
        <w:t>Calculation of Deemed Bilateral Contract Green Revenue</w:t>
      </w:r>
      <w:bookmarkEnd w:id="5416"/>
    </w:p>
    <w:p w14:paraId="5AEF1FA4" w14:textId="77777777" w:rsidR="00760981" w:rsidRDefault="00760981" w:rsidP="00760981">
      <w:pPr>
        <w:pStyle w:val="SchedH3"/>
        <w:keepNext/>
        <w:numPr>
          <w:ilvl w:val="3"/>
          <w:numId w:val="0"/>
        </w:numPr>
        <w:ind w:left="737"/>
      </w:pPr>
      <w:r>
        <w:t xml:space="preserve">The </w:t>
      </w:r>
      <w:r>
        <w:rPr>
          <w:b/>
          <w:bCs/>
        </w:rPr>
        <w:t>Deemed Bilateral Contract Green Revenue</w:t>
      </w:r>
      <w:r>
        <w:t xml:space="preserve"> in respect of a period means the sum of all amounts payable in respect of each Trading Interval arising during that period under each Bilateral Contract (insofar as it relates to Green Products created by reference to the Project [or the Staged Project (as applicable)] and is not an Eligible Bilateral Contract), where the amount payable under each such Bilateral Contract for each Trading Interval arising during that period is calculated as follows: </w:t>
      </w:r>
    </w:p>
    <w:p w14:paraId="229DC3E7" w14:textId="77777777" w:rsidR="00760981" w:rsidRDefault="00760981" w:rsidP="00760981">
      <w:pPr>
        <w:pStyle w:val="SchedH3"/>
        <w:keepNext/>
        <w:numPr>
          <w:ilvl w:val="3"/>
          <w:numId w:val="0"/>
        </w:numPr>
        <w:ind w:left="737"/>
      </w:pPr>
      <w:r>
        <w:rPr>
          <w:highlight w:val="lightGray"/>
        </w:rPr>
        <w:t>[</w:t>
      </w:r>
      <w:r>
        <w:rPr>
          <w:b/>
          <w:bCs/>
          <w:i/>
          <w:iCs/>
          <w:highlight w:val="lightGray"/>
        </w:rPr>
        <w:t>Note: words in square brackets to be included for all Staged Projects.</w:t>
      </w:r>
      <w:r>
        <w:rPr>
          <w:highlight w:val="lightGray"/>
        </w:rPr>
        <w:t>]</w:t>
      </w:r>
    </w:p>
    <w:p w14:paraId="4CC38825" w14:textId="31F7E0A7" w:rsidR="006174FB" w:rsidRDefault="0057509B" w:rsidP="00760981">
      <w:pPr>
        <w:pStyle w:val="Indent2"/>
        <w:keepNext/>
        <w:ind w:left="0"/>
        <w:jc w:val="center"/>
        <w:rPr>
          <w:b/>
          <w:bCs/>
          <w:i/>
          <w:iCs/>
        </w:rPr>
      </w:pPr>
      <m:oMathPara>
        <m:oMath>
          <m:sSub>
            <m:sSubPr>
              <m:ctrlPr>
                <w:rPr>
                  <w:rFonts w:ascii="Cambria Math" w:hAnsi="Cambria Math"/>
                  <w:b/>
                  <w:bCs/>
                  <w:i/>
                  <w:iCs/>
                </w:rPr>
              </m:ctrlPr>
            </m:sSubPr>
            <m:e>
              <m:r>
                <m:rPr>
                  <m:sty m:val="p"/>
                </m:rPr>
                <w:rPr>
                  <w:rFonts w:ascii="Cambria Math" w:hAnsi="Cambria Math"/>
                </w:rPr>
                <m:t>DGP</m:t>
              </m:r>
            </m:e>
            <m:sub>
              <m:r>
                <m:rPr>
                  <m:sty m:val="p"/>
                </m:rPr>
                <w:rPr>
                  <w:rFonts w:ascii="Cambria Math" w:hAnsi="Cambria Math"/>
                </w:rPr>
                <m:t>TI</m:t>
              </m:r>
            </m:sub>
          </m:sSub>
          <m:r>
            <m:rPr>
              <m:sty m:val="p"/>
            </m:rPr>
            <w:rPr>
              <w:rFonts w:ascii="Cambria Math" w:hAnsi="Cambria Math"/>
            </w:rPr>
            <m:t xml:space="preserve"> = </m:t>
          </m:r>
          <m:d>
            <m:dPr>
              <m:ctrlPr>
                <w:rPr>
                  <w:rFonts w:ascii="Cambria Math" w:hAnsi="Cambria Math"/>
                  <w:b/>
                  <w:bCs/>
                  <w:i/>
                  <w:iCs/>
                </w:rPr>
              </m:ctrlPr>
            </m:dPr>
            <m:e>
              <m:sSub>
                <m:sSubPr>
                  <m:ctrlPr>
                    <w:rPr>
                      <w:rFonts w:ascii="Cambria Math" w:hAnsi="Cambria Math"/>
                      <w:b/>
                      <w:bCs/>
                      <w:i/>
                      <w:iCs/>
                    </w:rPr>
                  </m:ctrlPr>
                </m:sSubPr>
                <m:e>
                  <m:r>
                    <m:rPr>
                      <m:sty m:val="p"/>
                    </m:rPr>
                    <w:rPr>
                      <w:rFonts w:ascii="Cambria Math" w:hAnsi="Cambria Math"/>
                    </w:rPr>
                    <m:t>NQ</m:t>
                  </m:r>
                </m:e>
                <m:sub>
                  <m:r>
                    <m:rPr>
                      <m:sty m:val="p"/>
                    </m:rPr>
                    <w:rPr>
                      <w:rFonts w:ascii="Cambria Math" w:hAnsi="Cambria Math"/>
                    </w:rPr>
                    <m:t>TI</m:t>
                  </m:r>
                </m:sub>
              </m:sSub>
              <m:r>
                <m:rPr>
                  <m:sty m:val="p"/>
                </m:rPr>
                <w:rPr>
                  <w:rFonts w:ascii="Cambria Math" w:hAnsi="Cambria Math"/>
                </w:rPr>
                <m:t xml:space="preserve"> × </m:t>
              </m:r>
              <m:sSub>
                <m:sSubPr>
                  <m:ctrlPr>
                    <w:rPr>
                      <w:rFonts w:ascii="Cambria Math" w:hAnsi="Cambria Math"/>
                      <w:b/>
                      <w:bCs/>
                      <w:i/>
                      <w:iCs/>
                    </w:rPr>
                  </m:ctrlPr>
                </m:sSubPr>
                <m:e>
                  <m:r>
                    <m:rPr>
                      <m:sty m:val="p"/>
                    </m:rPr>
                    <w:rPr>
                      <w:rFonts w:ascii="Cambria Math" w:hAnsi="Cambria Math"/>
                    </w:rPr>
                    <m:t>GP</m:t>
                  </m:r>
                </m:e>
                <m:sub>
                  <m:r>
                    <m:rPr>
                      <m:sty m:val="p"/>
                    </m:rPr>
                    <w:rPr>
                      <w:rFonts w:ascii="Cambria Math" w:hAnsi="Cambria Math"/>
                    </w:rPr>
                    <m:t>TI</m:t>
                  </m:r>
                </m:sub>
              </m:sSub>
            </m:e>
          </m:d>
        </m:oMath>
      </m:oMathPara>
    </w:p>
    <w:p w14:paraId="253B9B76" w14:textId="3525BC4A" w:rsidR="00760981" w:rsidRDefault="006174FB" w:rsidP="00760981">
      <w:pPr>
        <w:pStyle w:val="Indent2"/>
        <w:keepNext/>
      </w:pPr>
      <w:r>
        <w:t>wh</w:t>
      </w:r>
      <w:r w:rsidR="00760981">
        <w:t>ere:</w:t>
      </w:r>
    </w:p>
    <w:p w14:paraId="7AC7BA68" w14:textId="587824A0" w:rsidR="00760981" w:rsidRDefault="00760981" w:rsidP="00760981">
      <w:pPr>
        <w:pStyle w:val="Indent2"/>
        <w:tabs>
          <w:tab w:val="left" w:pos="1418"/>
          <w:tab w:val="left" w:pos="1843"/>
        </w:tabs>
        <w:ind w:left="1843" w:hanging="1106"/>
      </w:pPr>
      <w:r>
        <w:rPr>
          <w:b/>
          <w:bCs/>
          <w:i/>
          <w:iCs/>
        </w:rPr>
        <w:t>DG</w:t>
      </w:r>
      <w:r w:rsidR="00343AF3">
        <w:rPr>
          <w:b/>
          <w:bCs/>
          <w:i/>
          <w:iCs/>
        </w:rPr>
        <w:t>P</w:t>
      </w:r>
      <w:r w:rsidR="00343AF3" w:rsidRPr="008F660B">
        <w:rPr>
          <w:b/>
          <w:bCs/>
          <w:i/>
          <w:iCs/>
          <w:vertAlign w:val="subscript"/>
        </w:rPr>
        <w:t>TI</w:t>
      </w:r>
      <w:r>
        <w:rPr>
          <w:b/>
          <w:bCs/>
          <w:i/>
          <w:iCs/>
          <w:vertAlign w:val="subscript"/>
        </w:rPr>
        <w:tab/>
      </w:r>
      <w:r w:rsidRPr="00982398">
        <w:rPr>
          <w:i/>
        </w:rPr>
        <w:t>=</w:t>
      </w:r>
      <w:r>
        <w:tab/>
        <w:t>the Deemed Bilateral Contract Green Revenue for the Bilateral Contract for that Trading Interval;</w:t>
      </w:r>
    </w:p>
    <w:p w14:paraId="5B471EFE" w14:textId="4D04E82A" w:rsidR="00760981" w:rsidRDefault="00760981" w:rsidP="00760981">
      <w:pPr>
        <w:pStyle w:val="Indent2"/>
        <w:tabs>
          <w:tab w:val="left" w:pos="1418"/>
          <w:tab w:val="left" w:pos="1843"/>
        </w:tabs>
        <w:ind w:left="1843" w:hanging="1106"/>
      </w:pPr>
      <w:r>
        <w:rPr>
          <w:b/>
          <w:bCs/>
          <w:i/>
          <w:iCs/>
        </w:rPr>
        <w:t>NQ</w:t>
      </w:r>
      <w:r>
        <w:rPr>
          <w:b/>
          <w:bCs/>
          <w:i/>
          <w:iCs/>
          <w:vertAlign w:val="subscript"/>
        </w:rPr>
        <w:t>TI</w:t>
      </w:r>
      <w:r>
        <w:rPr>
          <w:b/>
          <w:bCs/>
          <w:i/>
          <w:iCs/>
          <w:vertAlign w:val="subscript"/>
        </w:rPr>
        <w:tab/>
      </w:r>
      <w:r w:rsidRPr="00982398">
        <w:rPr>
          <w:i/>
        </w:rPr>
        <w:t>=</w:t>
      </w:r>
      <w:r>
        <w:rPr>
          <w:b/>
          <w:bCs/>
          <w:i/>
          <w:iCs/>
        </w:rPr>
        <w:tab/>
      </w:r>
      <w:r>
        <w:t xml:space="preserve">the Notional Quantity (in MWh) for the Trading Interval, calculated in accordance with item </w:t>
      </w:r>
      <w:r>
        <w:fldChar w:fldCharType="begin"/>
      </w:r>
      <w:r>
        <w:instrText xml:space="preserve"> REF _Ref204243867 \n \h </w:instrText>
      </w:r>
      <w:r>
        <w:fldChar w:fldCharType="separate"/>
      </w:r>
      <w:r w:rsidR="002E5C6A">
        <w:t>3.8</w:t>
      </w:r>
      <w:r>
        <w:fldChar w:fldCharType="end"/>
      </w:r>
      <w:r>
        <w:t xml:space="preserve"> (“</w:t>
      </w:r>
      <w:r>
        <w:fldChar w:fldCharType="begin"/>
      </w:r>
      <w:r>
        <w:instrText xml:space="preserve"> REF _Ref204243867 \h </w:instrText>
      </w:r>
      <w:r>
        <w:fldChar w:fldCharType="separate"/>
      </w:r>
      <w:r w:rsidR="002E5C6A">
        <w:t xml:space="preserve">Calculation of </w:t>
      </w:r>
      <w:r w:rsidR="002E5C6A" w:rsidRPr="00507B20">
        <w:t>Notional Quantity</w:t>
      </w:r>
      <w:r>
        <w:fldChar w:fldCharType="end"/>
      </w:r>
      <w:r>
        <w:t>”); and</w:t>
      </w:r>
    </w:p>
    <w:p w14:paraId="527CCFD0" w14:textId="75EE0F7D" w:rsidR="00760981" w:rsidRDefault="00760981" w:rsidP="00760981">
      <w:pPr>
        <w:pStyle w:val="Indent2"/>
        <w:tabs>
          <w:tab w:val="left" w:pos="1418"/>
          <w:tab w:val="left" w:pos="1843"/>
        </w:tabs>
        <w:ind w:left="1843" w:hanging="1106"/>
      </w:pPr>
      <w:r>
        <w:rPr>
          <w:b/>
          <w:bCs/>
          <w:i/>
          <w:iCs/>
        </w:rPr>
        <w:t>GP</w:t>
      </w:r>
      <w:r>
        <w:rPr>
          <w:b/>
          <w:bCs/>
          <w:i/>
          <w:iCs/>
          <w:vertAlign w:val="subscript"/>
        </w:rPr>
        <w:t>TI</w:t>
      </w:r>
      <w:r>
        <w:rPr>
          <w:b/>
          <w:bCs/>
          <w:i/>
          <w:iCs/>
        </w:rPr>
        <w:tab/>
      </w:r>
      <w:r>
        <w:rPr>
          <w:i/>
          <w:iCs/>
        </w:rPr>
        <w:t>=</w:t>
      </w:r>
      <w:r>
        <w:rPr>
          <w:i/>
          <w:iCs/>
        </w:rPr>
        <w:tab/>
      </w:r>
      <w:r>
        <w:t xml:space="preserve">is the market price (in $/MWh) for the Green Product applicable during the Trading Interval, determined in accordance with item </w:t>
      </w:r>
      <w:r>
        <w:fldChar w:fldCharType="begin"/>
      </w:r>
      <w:r>
        <w:instrText xml:space="preserve"> REF _Ref206528511 \n \h </w:instrText>
      </w:r>
      <w:r>
        <w:fldChar w:fldCharType="separate"/>
      </w:r>
      <w:r w:rsidR="002E5C6A">
        <w:t>3.12</w:t>
      </w:r>
      <w:r>
        <w:fldChar w:fldCharType="end"/>
      </w:r>
      <w:r>
        <w:t xml:space="preserve"> (“</w:t>
      </w:r>
      <w:r>
        <w:fldChar w:fldCharType="begin"/>
      </w:r>
      <w:r>
        <w:instrText xml:space="preserve"> REF _Ref206528511 \h </w:instrText>
      </w:r>
      <w:r>
        <w:fldChar w:fldCharType="separate"/>
      </w:r>
      <w:r w:rsidR="002B2128">
        <w:t xml:space="preserve">Determination of </w:t>
      </w:r>
      <w:bookmarkStart w:id="5419" w:name="_Hlk207313651"/>
      <w:r w:rsidR="002B2128">
        <w:t xml:space="preserve">Green Product </w:t>
      </w:r>
      <w:bookmarkEnd w:id="5419"/>
      <w:r w:rsidR="002B2128">
        <w:t>market prices</w:t>
      </w:r>
      <w:r>
        <w:fldChar w:fldCharType="end"/>
      </w:r>
      <w:r>
        <w:t>”).</w:t>
      </w:r>
    </w:p>
    <w:p w14:paraId="193D3ABA" w14:textId="77777777" w:rsidR="00760981" w:rsidRDefault="00760981" w:rsidP="005820DA">
      <w:pPr>
        <w:pStyle w:val="SchedH2"/>
        <w:numPr>
          <w:ilvl w:val="2"/>
          <w:numId w:val="91"/>
        </w:numPr>
      </w:pPr>
      <w:bookmarkStart w:id="5420" w:name="_Ref202207184"/>
      <w:r>
        <w:t>Cap and other limits on Quarterly Payment Amounts</w:t>
      </w:r>
      <w:bookmarkEnd w:id="5420"/>
    </w:p>
    <w:p w14:paraId="5D02B514" w14:textId="729521B7" w:rsidR="00760981" w:rsidRDefault="00760981" w:rsidP="008F660B">
      <w:pPr>
        <w:pStyle w:val="SchedH3"/>
        <w:numPr>
          <w:ilvl w:val="3"/>
          <w:numId w:val="91"/>
        </w:numPr>
      </w:pPr>
      <w:r>
        <w:t xml:space="preserve">The Commonwealth will not be required to pay any Quarterly Payment Amount to the extent that the sum of the Quarterly Payment Amounts paid or payable by the Commonwealth in the Support Year as at that date is greater than the Annual Payment Cap applicable during that Support Year, calculated for the Support Year in accordance with item </w:t>
      </w:r>
      <w:r>
        <w:fldChar w:fldCharType="begin"/>
      </w:r>
      <w:r>
        <w:instrText xml:space="preserve"> REF _Ref182216565 \n \h </w:instrText>
      </w:r>
      <w:r>
        <w:fldChar w:fldCharType="separate"/>
      </w:r>
      <w:r w:rsidR="002E5C6A">
        <w:t>11.3</w:t>
      </w:r>
      <w:r>
        <w:fldChar w:fldCharType="end"/>
      </w:r>
      <w:r>
        <w:t xml:space="preserve"> (“</w:t>
      </w:r>
      <w:r>
        <w:fldChar w:fldCharType="begin"/>
      </w:r>
      <w:r>
        <w:instrText xml:space="preserve"> REF _Ref182216565 \h </w:instrText>
      </w:r>
      <w:r>
        <w:fldChar w:fldCharType="separate"/>
      </w:r>
      <w:r w:rsidR="002E5C6A">
        <w:t>Annual Payment Cap Calculation</w:t>
      </w:r>
      <w:r>
        <w:fldChar w:fldCharType="end"/>
      </w:r>
      <w:r>
        <w:t xml:space="preserve">”). </w:t>
      </w:r>
    </w:p>
    <w:p w14:paraId="4BE9B35B" w14:textId="71BB78C3" w:rsidR="00760981" w:rsidRDefault="00760981" w:rsidP="008F660B">
      <w:pPr>
        <w:pStyle w:val="SchedH3"/>
        <w:numPr>
          <w:ilvl w:val="3"/>
          <w:numId w:val="91"/>
        </w:numPr>
      </w:pPr>
      <w:r>
        <w:t xml:space="preserve">Project Operator will not be required to pay any Quarterly Payment Amount to the extent that the sum of the Quarterly Payment Amounts paid or payable by Project Operator in the Support Year as at that date is greater than the Annual Payment Cap applicable during that Support Year, calculated for the Support Year in accordance with item </w:t>
      </w:r>
      <w:r>
        <w:fldChar w:fldCharType="begin"/>
      </w:r>
      <w:r>
        <w:instrText xml:space="preserve"> REF _Ref182216565 \n \h </w:instrText>
      </w:r>
      <w:r>
        <w:fldChar w:fldCharType="separate"/>
      </w:r>
      <w:r w:rsidR="002E5C6A">
        <w:t>11.3</w:t>
      </w:r>
      <w:r>
        <w:fldChar w:fldCharType="end"/>
      </w:r>
      <w:r>
        <w:t xml:space="preserve"> (“</w:t>
      </w:r>
      <w:r>
        <w:fldChar w:fldCharType="begin"/>
      </w:r>
      <w:r>
        <w:instrText xml:space="preserve"> REF _Ref182216565 \h </w:instrText>
      </w:r>
      <w:r>
        <w:fldChar w:fldCharType="separate"/>
      </w:r>
      <w:r w:rsidR="002E5C6A">
        <w:t>Annual Payment Cap Calculation</w:t>
      </w:r>
      <w:r>
        <w:fldChar w:fldCharType="end"/>
      </w:r>
      <w:r>
        <w:t>”).</w:t>
      </w:r>
    </w:p>
    <w:p w14:paraId="5F9283E5" w14:textId="52CDD563" w:rsidR="00760981" w:rsidRDefault="00760981" w:rsidP="005820DA">
      <w:pPr>
        <w:pStyle w:val="SchedH2"/>
        <w:numPr>
          <w:ilvl w:val="2"/>
          <w:numId w:val="91"/>
        </w:numPr>
      </w:pPr>
      <w:bookmarkStart w:id="5421" w:name="_Ref206528511"/>
      <w:r>
        <w:t xml:space="preserve">Determination of </w:t>
      </w:r>
      <w:bookmarkStart w:id="5422" w:name="_Hlk207313684"/>
      <w:r w:rsidR="002B2128">
        <w:t xml:space="preserve">Green Product </w:t>
      </w:r>
      <w:bookmarkEnd w:id="5422"/>
      <w:r>
        <w:t>market prices</w:t>
      </w:r>
      <w:bookmarkEnd w:id="5421"/>
    </w:p>
    <w:p w14:paraId="12DAE03B" w14:textId="1C077F38" w:rsidR="00760981" w:rsidRDefault="00760981" w:rsidP="00143457">
      <w:pPr>
        <w:pStyle w:val="SchedH3"/>
        <w:keepNext/>
        <w:numPr>
          <w:ilvl w:val="3"/>
          <w:numId w:val="91"/>
        </w:numPr>
      </w:pPr>
      <w:bookmarkStart w:id="5423" w:name="_Ref206528807"/>
      <w:r>
        <w:t xml:space="preserve">Subject to paragraph </w:t>
      </w:r>
      <w:r>
        <w:fldChar w:fldCharType="begin"/>
      </w:r>
      <w:r>
        <w:instrText xml:space="preserve"> REF _Ref206528754 \n \h </w:instrText>
      </w:r>
      <w:r>
        <w:fldChar w:fldCharType="separate"/>
      </w:r>
      <w:r w:rsidR="002E5C6A">
        <w:t>(b)</w:t>
      </w:r>
      <w:r>
        <w:fldChar w:fldCharType="end"/>
      </w:r>
      <w:r>
        <w:t>, for the purposes of determining market prices in calculating the Deemed Bilateral Contract Green Revenue under item</w:t>
      </w:r>
      <w:r w:rsidR="00143457">
        <w:t> </w:t>
      </w:r>
      <w:r>
        <w:fldChar w:fldCharType="begin"/>
      </w:r>
      <w:r>
        <w:instrText xml:space="preserve"> REF _Ref206083074 \n \h </w:instrText>
      </w:r>
      <w:r>
        <w:fldChar w:fldCharType="separate"/>
      </w:r>
      <w:r w:rsidR="002E5C6A">
        <w:t>3.10</w:t>
      </w:r>
      <w:r>
        <w:fldChar w:fldCharType="end"/>
      </w:r>
      <w:r>
        <w:t>, the market price for a Green Product will be determined by the Commonwealth (acting reasonably and in good faith), having regard to:</w:t>
      </w:r>
      <w:bookmarkEnd w:id="5423"/>
      <w:r>
        <w:t xml:space="preserve"> </w:t>
      </w:r>
    </w:p>
    <w:p w14:paraId="71D8EA75" w14:textId="77777777" w:rsidR="00760981" w:rsidRDefault="00760981" w:rsidP="00143457">
      <w:pPr>
        <w:pStyle w:val="SchedH4"/>
        <w:keepNext/>
        <w:numPr>
          <w:ilvl w:val="4"/>
          <w:numId w:val="91"/>
        </w:numPr>
      </w:pPr>
      <w:r>
        <w:t xml:space="preserve">in respect of a type of Green Product: </w:t>
      </w:r>
    </w:p>
    <w:p w14:paraId="29A77F18" w14:textId="77777777" w:rsidR="00760981" w:rsidRDefault="00760981" w:rsidP="00143457">
      <w:pPr>
        <w:pStyle w:val="SchedH5"/>
        <w:numPr>
          <w:ilvl w:val="5"/>
          <w:numId w:val="91"/>
        </w:numPr>
        <w:tabs>
          <w:tab w:val="clear" w:pos="2948"/>
          <w:tab w:val="num" w:pos="2949"/>
        </w:tabs>
        <w:ind w:left="2949" w:hanging="738"/>
      </w:pPr>
      <w:r>
        <w:t xml:space="preserve">the historic spot market price for that certificate or product type of Green Product that is calculated as the average of the quotations (stated on a GST inclusive basis) for that certificate or product type of Green Product for the 3 month period immediately preceding the relevant calculation date; or </w:t>
      </w:r>
    </w:p>
    <w:p w14:paraId="19C38779" w14:textId="77777777" w:rsidR="00760981" w:rsidRDefault="00760981" w:rsidP="00143457">
      <w:pPr>
        <w:pStyle w:val="SchedH5"/>
        <w:numPr>
          <w:ilvl w:val="5"/>
          <w:numId w:val="91"/>
        </w:numPr>
        <w:tabs>
          <w:tab w:val="clear" w:pos="2948"/>
          <w:tab w:val="num" w:pos="2949"/>
        </w:tabs>
        <w:ind w:left="2949" w:hanging="738"/>
      </w:pPr>
      <w:r>
        <w:t>if there is no historic spot market price for that certificate or product type of Green Product, then the spot market price for that certificate or product type of Green Product as at the relevant calculation date,</w:t>
      </w:r>
    </w:p>
    <w:p w14:paraId="7D30F8EE" w14:textId="77777777" w:rsidR="00760981" w:rsidRDefault="00760981" w:rsidP="00143457">
      <w:pPr>
        <w:pStyle w:val="Indent4"/>
        <w:ind w:left="1474"/>
      </w:pPr>
      <w:r>
        <w:t xml:space="preserve">obtained from two independent and suitably qualified brokerage firms nominated by the Commonwealth; and </w:t>
      </w:r>
    </w:p>
    <w:p w14:paraId="5ACAC9B5" w14:textId="77777777" w:rsidR="00760981" w:rsidRDefault="00760981" w:rsidP="00143457">
      <w:pPr>
        <w:pStyle w:val="SchedH4"/>
        <w:numPr>
          <w:ilvl w:val="4"/>
          <w:numId w:val="91"/>
        </w:numPr>
      </w:pPr>
      <w:bookmarkStart w:id="5424" w:name="_Ref206528872"/>
      <w:r>
        <w:t>any other information that the Commonwealth has relating to the prices for that Green Product.</w:t>
      </w:r>
      <w:bookmarkEnd w:id="5424"/>
    </w:p>
    <w:p w14:paraId="30A8F959" w14:textId="77777777" w:rsidR="00760981" w:rsidRDefault="00760981" w:rsidP="008F660B">
      <w:pPr>
        <w:pStyle w:val="SchedH3"/>
        <w:keepNext/>
        <w:numPr>
          <w:ilvl w:val="3"/>
          <w:numId w:val="91"/>
        </w:numPr>
      </w:pPr>
      <w:bookmarkStart w:id="5425" w:name="_Ref206528754"/>
      <w:r>
        <w:t>The Commonwealth must either:</w:t>
      </w:r>
      <w:bookmarkEnd w:id="5425"/>
      <w:r>
        <w:t xml:space="preserve"> </w:t>
      </w:r>
    </w:p>
    <w:p w14:paraId="5D72A7F1" w14:textId="3F39E70E" w:rsidR="00760981" w:rsidRDefault="00760981" w:rsidP="00143457">
      <w:pPr>
        <w:pStyle w:val="SchedH4"/>
        <w:numPr>
          <w:ilvl w:val="4"/>
          <w:numId w:val="91"/>
        </w:numPr>
      </w:pPr>
      <w:r>
        <w:t>within 20 Business Days after the end of each Quarter in each Support Year, publish, or notify Project Operator of, the market prices determined in accordance with paragraph </w:t>
      </w:r>
      <w:r>
        <w:fldChar w:fldCharType="begin"/>
      </w:r>
      <w:r>
        <w:instrText xml:space="preserve"> REF _Ref206528807 \n \h </w:instrText>
      </w:r>
      <w:r>
        <w:fldChar w:fldCharType="separate"/>
      </w:r>
      <w:r w:rsidR="002E5C6A">
        <w:t>(a)</w:t>
      </w:r>
      <w:r>
        <w:fldChar w:fldCharType="end"/>
      </w:r>
      <w:r>
        <w:t>, that will apply to that Quarter for the purposes of determining the Quarterly Payment Amount, and that will apply to the Support Year for the purposes of determining any Annual Reconciliation Payment (as applicable); or</w:t>
      </w:r>
    </w:p>
    <w:p w14:paraId="12A1B5E0" w14:textId="77777777" w:rsidR="00760981" w:rsidRDefault="00760981" w:rsidP="00143457">
      <w:pPr>
        <w:pStyle w:val="SchedH4"/>
        <w:keepNext/>
        <w:numPr>
          <w:ilvl w:val="4"/>
          <w:numId w:val="91"/>
        </w:numPr>
      </w:pPr>
      <w:r>
        <w:t xml:space="preserve">within 20 Business Days after: </w:t>
      </w:r>
    </w:p>
    <w:p w14:paraId="60CB0660" w14:textId="77777777" w:rsidR="00760981" w:rsidRDefault="00760981" w:rsidP="00143457">
      <w:pPr>
        <w:pStyle w:val="SchedH5"/>
        <w:numPr>
          <w:ilvl w:val="5"/>
          <w:numId w:val="91"/>
        </w:numPr>
        <w:tabs>
          <w:tab w:val="clear" w:pos="2948"/>
          <w:tab w:val="num" w:pos="2949"/>
        </w:tabs>
        <w:ind w:left="2949" w:hanging="738"/>
      </w:pPr>
      <w:r>
        <w:t>the end of the first Quarter in each Support Year, publish, or notify to Project Operator, an indicative market price that will apply to each Quarter in that Support Year for the purposes of determining the Quarterly Payment Amount for each Quarter of that Support Year (other than the last Quarter); and</w:t>
      </w:r>
    </w:p>
    <w:p w14:paraId="67C06CF6" w14:textId="6180A1D1" w:rsidR="00760981" w:rsidRDefault="00760981" w:rsidP="00143457">
      <w:pPr>
        <w:pStyle w:val="SchedH5"/>
        <w:numPr>
          <w:ilvl w:val="5"/>
          <w:numId w:val="91"/>
        </w:numPr>
        <w:tabs>
          <w:tab w:val="clear" w:pos="2948"/>
          <w:tab w:val="num" w:pos="2949"/>
        </w:tabs>
        <w:ind w:left="2949" w:hanging="738"/>
      </w:pPr>
      <w:r>
        <w:t xml:space="preserve">the end of the Support Year, publish, or notify Project Operator of the market price determined in accordance with paragraph </w:t>
      </w:r>
      <w:r>
        <w:fldChar w:fldCharType="begin"/>
      </w:r>
      <w:r>
        <w:instrText xml:space="preserve"> REF _Ref206528807 \n \h </w:instrText>
      </w:r>
      <w:r>
        <w:fldChar w:fldCharType="separate"/>
      </w:r>
      <w:r w:rsidR="002E5C6A">
        <w:t>(a)</w:t>
      </w:r>
      <w:r>
        <w:fldChar w:fldCharType="end"/>
      </w:r>
      <w:r>
        <w:t xml:space="preserve"> which will apply to that Support Year for the purposes of determining any Annual Reconciliation Payment.</w:t>
      </w:r>
    </w:p>
    <w:p w14:paraId="5C20FC45" w14:textId="2D05D248" w:rsidR="00760981" w:rsidRPr="00982398" w:rsidRDefault="00760981" w:rsidP="00760981">
      <w:pPr>
        <w:pStyle w:val="Indent4"/>
      </w:pPr>
      <w:r w:rsidRPr="00982398">
        <w:t>[</w:t>
      </w:r>
      <w:r>
        <w:rPr>
          <w:b/>
          <w:bCs/>
          <w:i/>
          <w:iCs/>
          <w:highlight w:val="lightGray"/>
        </w:rPr>
        <w:t>Note: the Commonwealth may either: (1) publish or notify the relevant market prices for each Quarter, or (2) set an indicative price on a look-forward basis for a Support Year which will be used for the Quarterly Payment Amounts, and at the end of the Support Year publish or notify the actual market price determined in accordance with paragraph </w:t>
      </w:r>
      <w:r>
        <w:rPr>
          <w:b/>
          <w:bCs/>
          <w:i/>
          <w:iCs/>
          <w:highlight w:val="lightGray"/>
        </w:rPr>
        <w:fldChar w:fldCharType="begin"/>
      </w:r>
      <w:r>
        <w:rPr>
          <w:b/>
          <w:bCs/>
          <w:i/>
          <w:iCs/>
          <w:highlight w:val="lightGray"/>
        </w:rPr>
        <w:instrText xml:space="preserve"> REF _Ref206528807 \n \h </w:instrText>
      </w:r>
      <w:r>
        <w:rPr>
          <w:b/>
          <w:bCs/>
          <w:i/>
          <w:iCs/>
          <w:highlight w:val="lightGray"/>
        </w:rPr>
      </w:r>
      <w:r>
        <w:rPr>
          <w:b/>
          <w:bCs/>
          <w:i/>
          <w:iCs/>
          <w:highlight w:val="lightGray"/>
        </w:rPr>
        <w:fldChar w:fldCharType="separate"/>
      </w:r>
      <w:r w:rsidR="002E5C6A">
        <w:rPr>
          <w:b/>
          <w:bCs/>
          <w:i/>
          <w:iCs/>
          <w:highlight w:val="lightGray"/>
        </w:rPr>
        <w:t>(a)</w:t>
      </w:r>
      <w:r>
        <w:rPr>
          <w:b/>
          <w:bCs/>
          <w:i/>
          <w:iCs/>
          <w:highlight w:val="lightGray"/>
        </w:rPr>
        <w:fldChar w:fldCharType="end"/>
      </w:r>
      <w:r>
        <w:rPr>
          <w:b/>
          <w:bCs/>
          <w:i/>
          <w:iCs/>
          <w:highlight w:val="lightGray"/>
        </w:rPr>
        <w:t xml:space="preserve"> which will be used to calculate the Annual Reconciliation Payment to true-up the Quarterly Payment Amounts calculated on the indicative market price.</w:t>
      </w:r>
      <w:r w:rsidRPr="00982398">
        <w:t>]</w:t>
      </w:r>
    </w:p>
    <w:p w14:paraId="787ADA46" w14:textId="125B76B0" w:rsidR="00760981" w:rsidRDefault="00760981" w:rsidP="008F660B">
      <w:pPr>
        <w:pStyle w:val="SchedH3"/>
        <w:numPr>
          <w:ilvl w:val="3"/>
          <w:numId w:val="91"/>
        </w:numPr>
      </w:pPr>
      <w:r>
        <w:t xml:space="preserve">At all times, Project Operator is not entitled to, and must not make a Claim to receive, any information held by the Commonwealth referred to in subparagraph </w:t>
      </w:r>
      <w:r>
        <w:fldChar w:fldCharType="begin"/>
      </w:r>
      <w:r>
        <w:instrText xml:space="preserve"> REF _Ref206528807 \n \h </w:instrText>
      </w:r>
      <w:r>
        <w:fldChar w:fldCharType="separate"/>
      </w:r>
      <w:r w:rsidR="002E5C6A">
        <w:t>(a)</w:t>
      </w:r>
      <w:r>
        <w:fldChar w:fldCharType="end"/>
      </w:r>
      <w:r>
        <w:fldChar w:fldCharType="begin"/>
      </w:r>
      <w:r>
        <w:instrText xml:space="preserve"> REF _Ref206528872 \n \h </w:instrText>
      </w:r>
      <w:r>
        <w:fldChar w:fldCharType="separate"/>
      </w:r>
      <w:r w:rsidR="002E5C6A">
        <w:t>(ii)</w:t>
      </w:r>
      <w:r>
        <w:fldChar w:fldCharType="end"/>
      </w:r>
      <w:r>
        <w:t xml:space="preserve">. </w:t>
      </w:r>
    </w:p>
    <w:p w14:paraId="1C14AF43" w14:textId="0F4AC71F" w:rsidR="00760981" w:rsidRDefault="00760981" w:rsidP="008F660B">
      <w:pPr>
        <w:pStyle w:val="SchedH3"/>
        <w:numPr>
          <w:ilvl w:val="3"/>
          <w:numId w:val="91"/>
        </w:numPr>
      </w:pPr>
      <w:r>
        <w:t xml:space="preserve">Any Disputes in respect of this item </w:t>
      </w:r>
      <w:r>
        <w:fldChar w:fldCharType="begin"/>
      </w:r>
      <w:r>
        <w:instrText xml:space="preserve"> REF _Ref206528511 \n \h </w:instrText>
      </w:r>
      <w:r>
        <w:fldChar w:fldCharType="separate"/>
      </w:r>
      <w:r w:rsidR="002E5C6A">
        <w:t>3.12</w:t>
      </w:r>
      <w:r>
        <w:fldChar w:fldCharType="end"/>
      </w:r>
      <w:r>
        <w:t xml:space="preserve"> may not be referred to an Independent Expert under clause </w:t>
      </w:r>
      <w:r>
        <w:fldChar w:fldCharType="begin"/>
      </w:r>
      <w:r>
        <w:instrText xml:space="preserve"> REF _Ref107936893 \w \h  \* MERGEFORMAT </w:instrText>
      </w:r>
      <w:r>
        <w:fldChar w:fldCharType="separate"/>
      </w:r>
      <w:r w:rsidR="002E5C6A">
        <w:t>27.5(b)</w:t>
      </w:r>
      <w:r>
        <w:fldChar w:fldCharType="end"/>
      </w:r>
      <w:r>
        <w:t xml:space="preserve"> (“</w:t>
      </w:r>
      <w:r>
        <w:fldChar w:fldCharType="begin"/>
      </w:r>
      <w:r>
        <w:instrText xml:space="preserve">  REF _Ref103668747 \h  \* MERGEFORMAT </w:instrText>
      </w:r>
      <w:r>
        <w:fldChar w:fldCharType="separate"/>
      </w:r>
      <w:r w:rsidR="002E5C6A">
        <w:t>Negotiation</w:t>
      </w:r>
      <w:r>
        <w:fldChar w:fldCharType="end"/>
      </w:r>
      <w:r>
        <w:t>”) or clause </w:t>
      </w:r>
      <w:r>
        <w:fldChar w:fldCharType="begin"/>
      </w:r>
      <w:r>
        <w:instrText xml:space="preserve"> REF _Ref515106310 \w \h  \* MERGEFORMAT </w:instrText>
      </w:r>
      <w:r>
        <w:fldChar w:fldCharType="separate"/>
      </w:r>
      <w:r w:rsidR="002E5C6A">
        <w:t>27.6</w:t>
      </w:r>
      <w:r>
        <w:fldChar w:fldCharType="end"/>
      </w:r>
      <w:r>
        <w:t xml:space="preserve"> (“</w:t>
      </w:r>
      <w:r>
        <w:fldChar w:fldCharType="begin"/>
      </w:r>
      <w:r>
        <w:instrText xml:space="preserve"> REF _Ref515106310 \h  \* MERGEFORMAT </w:instrText>
      </w:r>
      <w:r>
        <w:fldChar w:fldCharType="separate"/>
      </w:r>
      <w:r w:rsidR="002E5C6A">
        <w:t>Independent Expert</w:t>
      </w:r>
      <w:r>
        <w:fldChar w:fldCharType="end"/>
      </w:r>
      <w:r>
        <w:t>”).</w:t>
      </w:r>
    </w:p>
    <w:p w14:paraId="629C0368" w14:textId="77777777" w:rsidR="00290392" w:rsidRDefault="00290392" w:rsidP="00290392">
      <w:pPr>
        <w:pStyle w:val="SchedH2"/>
        <w:numPr>
          <w:ilvl w:val="2"/>
          <w:numId w:val="91"/>
        </w:numPr>
        <w:tabs>
          <w:tab w:val="clear" w:pos="737"/>
          <w:tab w:val="num" w:pos="1474"/>
        </w:tabs>
        <w:ind w:left="1474"/>
      </w:pPr>
      <w:bookmarkStart w:id="5426" w:name="_Ref207202424"/>
      <w:bookmarkStart w:id="5427" w:name="_Hlk207202602"/>
      <w:r>
        <w:t>Determination of Capacity Credit market prices</w:t>
      </w:r>
      <w:bookmarkEnd w:id="5426"/>
    </w:p>
    <w:p w14:paraId="05EA44F4" w14:textId="77777777" w:rsidR="00290392" w:rsidRDefault="00290392" w:rsidP="00290392">
      <w:pPr>
        <w:pStyle w:val="SchedH3"/>
        <w:numPr>
          <w:ilvl w:val="3"/>
          <w:numId w:val="91"/>
        </w:numPr>
        <w:spacing w:before="120"/>
      </w:pPr>
      <w:bookmarkStart w:id="5428" w:name="_Ref207201491"/>
      <w:r w:rsidRPr="00D35FC8">
        <w:t xml:space="preserve">Subject to paragraph </w:t>
      </w:r>
      <w:r>
        <w:fldChar w:fldCharType="begin"/>
      </w:r>
      <w:r>
        <w:instrText xml:space="preserve"> REF _Ref207202424 \n \h </w:instrText>
      </w:r>
      <w:r>
        <w:fldChar w:fldCharType="separate"/>
      </w:r>
      <w:r>
        <w:t>3.13</w:t>
      </w:r>
      <w:r>
        <w:fldChar w:fldCharType="end"/>
      </w:r>
      <w:r>
        <w:fldChar w:fldCharType="begin"/>
      </w:r>
      <w:r>
        <w:instrText xml:space="preserve"> REF _Ref207201512 \n \h </w:instrText>
      </w:r>
      <w:r>
        <w:fldChar w:fldCharType="separate"/>
      </w:r>
      <w:r>
        <w:t>(b)</w:t>
      </w:r>
      <w:r>
        <w:fldChar w:fldCharType="end"/>
      </w:r>
      <w:r w:rsidRPr="00D35FC8">
        <w:t>, for the purposes of determining market prices in calculating revenues in respect of Capacity Credits other than Peak Capacity Credits under item</w:t>
      </w:r>
      <w:r>
        <w:t xml:space="preserve"> </w:t>
      </w:r>
      <w:r>
        <w:fldChar w:fldCharType="begin"/>
      </w:r>
      <w:r>
        <w:instrText xml:space="preserve"> REF _Ref206083049 \r \h </w:instrText>
      </w:r>
      <w:r>
        <w:fldChar w:fldCharType="separate"/>
      </w:r>
      <w:r>
        <w:t>3.9</w:t>
      </w:r>
      <w:r>
        <w:fldChar w:fldCharType="end"/>
      </w:r>
      <w:r>
        <w:t>,</w:t>
      </w:r>
      <w:r w:rsidRPr="00D35FC8">
        <w:t xml:space="preserve"> the market price for a Capacity Credit (other than a Peak Capacity Credit) will be determined by the Commonwealth (acting reasonably and in good faith), having regard to:</w:t>
      </w:r>
      <w:bookmarkEnd w:id="5428"/>
      <w:r w:rsidRPr="00D35FC8">
        <w:t xml:space="preserve"> </w:t>
      </w:r>
    </w:p>
    <w:p w14:paraId="0763F679" w14:textId="77777777" w:rsidR="00290392" w:rsidRDefault="00290392" w:rsidP="00290392">
      <w:pPr>
        <w:pStyle w:val="SchedH4"/>
      </w:pPr>
      <w:bookmarkStart w:id="5429" w:name="_Ref207201494"/>
      <w:r w:rsidRPr="00D35FC8">
        <w:t>the price of the relevant type of Capacity Credit determined in accordance with the ESM Rules (if applicable) as applicable to the Project for that Trading Day;</w:t>
      </w:r>
      <w:bookmarkEnd w:id="5429"/>
      <w:r w:rsidRPr="00D35FC8">
        <w:t xml:space="preserve"> </w:t>
      </w:r>
    </w:p>
    <w:p w14:paraId="20F32B6B" w14:textId="77777777" w:rsidR="00290392" w:rsidRDefault="00290392" w:rsidP="00290392">
      <w:pPr>
        <w:pStyle w:val="SchedH4"/>
      </w:pPr>
      <w:r w:rsidRPr="00D35FC8">
        <w:t xml:space="preserve">if there is no price applicable under paragraph </w:t>
      </w:r>
      <w:r>
        <w:fldChar w:fldCharType="begin"/>
      </w:r>
      <w:r>
        <w:instrText xml:space="preserve"> REF _Ref207201494 \r \h </w:instrText>
      </w:r>
      <w:r>
        <w:fldChar w:fldCharType="separate"/>
      </w:r>
      <w:r>
        <w:t>(i)</w:t>
      </w:r>
      <w:r>
        <w:fldChar w:fldCharType="end"/>
      </w:r>
      <w:r w:rsidRPr="00D35FC8">
        <w:t>; then in respect of the relevant type of Capacity Credit:</w:t>
      </w:r>
    </w:p>
    <w:p w14:paraId="2BD568D6" w14:textId="77777777" w:rsidR="00290392" w:rsidRPr="00D35FC8" w:rsidRDefault="00290392" w:rsidP="00290392">
      <w:pPr>
        <w:pStyle w:val="SchedH5"/>
      </w:pPr>
      <w:r w:rsidRPr="00D35FC8">
        <w:t xml:space="preserve">the historic spot market price for that Capacity Credit that is calculated as the average of the quotations (stated on a GST inclusive basis) for that Capacity Credit for the 3 month period immediately preceding the relevant calculation date; or </w:t>
      </w:r>
    </w:p>
    <w:p w14:paraId="35239FBA" w14:textId="77777777" w:rsidR="00290392" w:rsidRDefault="00290392" w:rsidP="00290392">
      <w:pPr>
        <w:pStyle w:val="SchedH5"/>
      </w:pPr>
      <w:r w:rsidRPr="00D35FC8">
        <w:t xml:space="preserve">if there is no historic spot market price for that Capacity Credit, then the spot market price for that Capacity Credit as at the relevant calculation date, </w:t>
      </w:r>
    </w:p>
    <w:p w14:paraId="32B36F13" w14:textId="77777777" w:rsidR="00290392" w:rsidRDefault="00290392" w:rsidP="00290392">
      <w:pPr>
        <w:pStyle w:val="SchedH5"/>
        <w:numPr>
          <w:ilvl w:val="0"/>
          <w:numId w:val="0"/>
        </w:numPr>
        <w:ind w:left="2211"/>
      </w:pPr>
      <w:r w:rsidRPr="00D35FC8">
        <w:t>obtained from two independent and suitably qualified brokerage firms nominated by the Commonwealth; and</w:t>
      </w:r>
    </w:p>
    <w:p w14:paraId="28B8F0D7" w14:textId="77777777" w:rsidR="00290392" w:rsidRDefault="00290392" w:rsidP="00290392">
      <w:pPr>
        <w:pStyle w:val="SchedH4"/>
      </w:pPr>
      <w:bookmarkStart w:id="5430" w:name="_Ref207202373"/>
      <w:r>
        <w:t xml:space="preserve">any other information that the Commonwealth has relating to the </w:t>
      </w:r>
      <w:r w:rsidRPr="00D35FC8">
        <w:t>prices for that Capacity Credit.</w:t>
      </w:r>
      <w:bookmarkEnd w:id="5430"/>
      <w:r w:rsidRPr="00D35FC8">
        <w:t xml:space="preserve"> </w:t>
      </w:r>
    </w:p>
    <w:p w14:paraId="385BED8F" w14:textId="77777777" w:rsidR="00290392" w:rsidRDefault="00290392" w:rsidP="00290392">
      <w:pPr>
        <w:pStyle w:val="SchedH3"/>
      </w:pPr>
      <w:bookmarkStart w:id="5431" w:name="_Ref207201512"/>
      <w:r>
        <w:t>The Commonwealth must either:</w:t>
      </w:r>
      <w:bookmarkEnd w:id="5431"/>
      <w:r>
        <w:t xml:space="preserve"> </w:t>
      </w:r>
    </w:p>
    <w:p w14:paraId="39B55FBD" w14:textId="77777777" w:rsidR="00290392" w:rsidRPr="00D35FC8" w:rsidRDefault="00290392" w:rsidP="00290392">
      <w:pPr>
        <w:pStyle w:val="SchedH4"/>
      </w:pPr>
      <w:r>
        <w:t xml:space="preserve">within 20 Business Days after the end of each Quarter in the </w:t>
      </w:r>
      <w:r w:rsidRPr="00D35FC8">
        <w:t xml:space="preserve">Financial Year, publish, or notify Project Operator of, the market prices determined in accordance with paragraph </w:t>
      </w:r>
      <w:r>
        <w:fldChar w:fldCharType="begin"/>
      </w:r>
      <w:r>
        <w:instrText xml:space="preserve"> REF _Ref207201491 \r \h </w:instrText>
      </w:r>
      <w:r>
        <w:fldChar w:fldCharType="separate"/>
      </w:r>
      <w:r>
        <w:t>(a)</w:t>
      </w:r>
      <w:r>
        <w:fldChar w:fldCharType="end"/>
      </w:r>
      <w:r w:rsidRPr="00D35FC8">
        <w:t xml:space="preserve">, that will apply to that Quarter for the purposes of determining the Quarterly Payment Amount, and that will apply to the Financial Year for the purposes of determining any Annual Adjustment Amount (as applicable); or </w:t>
      </w:r>
    </w:p>
    <w:p w14:paraId="7E26B8DD" w14:textId="77777777" w:rsidR="00290392" w:rsidRPr="009B628E" w:rsidRDefault="00290392" w:rsidP="00290392">
      <w:pPr>
        <w:pStyle w:val="SchedH4"/>
      </w:pPr>
      <w:r w:rsidRPr="009B628E">
        <w:t xml:space="preserve">within 20 Business Days after: </w:t>
      </w:r>
    </w:p>
    <w:p w14:paraId="2E8EE302" w14:textId="0B420904" w:rsidR="00290392" w:rsidRPr="009B628E" w:rsidRDefault="00290392" w:rsidP="00290392">
      <w:pPr>
        <w:pStyle w:val="SchedH5"/>
      </w:pPr>
      <w:r w:rsidRPr="009B628E">
        <w:t>the end of the first Quarter in the</w:t>
      </w:r>
      <w:r>
        <w:t xml:space="preserve"> </w:t>
      </w:r>
      <w:r w:rsidRPr="009B628E">
        <w:t>Financial Year,</w:t>
      </w:r>
      <w:r>
        <w:t xml:space="preserve"> </w:t>
      </w:r>
      <w:r w:rsidRPr="009B628E">
        <w:t>publish, or notify to Project Operator, an indicative market price that will apply to each Quarter in that Financial Year for the purposes of determining the</w:t>
      </w:r>
      <w:r>
        <w:t xml:space="preserve"> </w:t>
      </w:r>
      <w:r w:rsidRPr="009B628E">
        <w:t xml:space="preserve">Quarterly Payment Amount for each Quarter of that Financial Year (other than the last Quarter); and </w:t>
      </w:r>
    </w:p>
    <w:p w14:paraId="3AA78CC8" w14:textId="77777777" w:rsidR="00290392" w:rsidRPr="009B628E" w:rsidRDefault="00290392" w:rsidP="00290392">
      <w:pPr>
        <w:pStyle w:val="SchedH5"/>
      </w:pPr>
      <w:r w:rsidRPr="009B628E">
        <w:t xml:space="preserve">the end of the Financial Year, publish, or notify Project Operator of the market price determined in accordance with paragraph </w:t>
      </w:r>
      <w:r>
        <w:fldChar w:fldCharType="begin"/>
      </w:r>
      <w:r>
        <w:instrText xml:space="preserve"> REF _Ref207201491 \r \h </w:instrText>
      </w:r>
      <w:r>
        <w:fldChar w:fldCharType="separate"/>
      </w:r>
      <w:r>
        <w:t>(a)</w:t>
      </w:r>
      <w:r>
        <w:fldChar w:fldCharType="end"/>
      </w:r>
      <w:r>
        <w:t xml:space="preserve"> </w:t>
      </w:r>
      <w:r w:rsidRPr="009B628E">
        <w:t xml:space="preserve">which will apply to that Financial Year for the purposes of determining any Annual </w:t>
      </w:r>
      <w:r>
        <w:t>Adjustment Amount.</w:t>
      </w:r>
    </w:p>
    <w:p w14:paraId="48D0B251" w14:textId="77777777" w:rsidR="00290392" w:rsidRDefault="00290392" w:rsidP="00290392">
      <w:pPr>
        <w:pStyle w:val="SchedH3"/>
        <w:numPr>
          <w:ilvl w:val="0"/>
          <w:numId w:val="0"/>
        </w:numPr>
        <w:ind w:left="1474"/>
      </w:pPr>
      <w:r w:rsidRPr="00D35FC8">
        <w:t>[</w:t>
      </w:r>
      <w:r w:rsidRPr="009B628E">
        <w:rPr>
          <w:b/>
          <w:bCs/>
          <w:i/>
          <w:iCs/>
          <w:highlight w:val="lightGray"/>
        </w:rPr>
        <w:t>Note: the Commonwealth may either: (1) publish or notify the relevant market prices for each Quarter, or (2) set an indicative price on a look-forward basis for a Financial Year which will be used for the Quarterly Payment Amounts, and at the end of the Financial Year publish or notify the actual market price determined in accordance with paragraph</w:t>
      </w:r>
      <w:r>
        <w:rPr>
          <w:b/>
          <w:bCs/>
          <w:i/>
          <w:iCs/>
          <w:highlight w:val="lightGray"/>
        </w:rPr>
        <w:t xml:space="preserve"> </w:t>
      </w:r>
      <w:r w:rsidRPr="009B628E">
        <w:rPr>
          <w:b/>
          <w:bCs/>
          <w:i/>
          <w:iCs/>
        </w:rPr>
        <w:fldChar w:fldCharType="begin"/>
      </w:r>
      <w:r w:rsidRPr="009B628E">
        <w:rPr>
          <w:b/>
          <w:bCs/>
          <w:i/>
          <w:iCs/>
        </w:rPr>
        <w:instrText xml:space="preserve"> REF _Ref207201491 \r \h  \* MERGEFORMAT </w:instrText>
      </w:r>
      <w:r w:rsidRPr="009B628E">
        <w:rPr>
          <w:b/>
          <w:bCs/>
          <w:i/>
          <w:iCs/>
        </w:rPr>
      </w:r>
      <w:r w:rsidRPr="009B628E">
        <w:rPr>
          <w:b/>
          <w:bCs/>
          <w:i/>
          <w:iCs/>
        </w:rPr>
        <w:fldChar w:fldCharType="separate"/>
      </w:r>
      <w:r>
        <w:rPr>
          <w:b/>
          <w:bCs/>
          <w:i/>
          <w:iCs/>
        </w:rPr>
        <w:t>(a)</w:t>
      </w:r>
      <w:r w:rsidRPr="009B628E">
        <w:rPr>
          <w:b/>
          <w:bCs/>
          <w:i/>
          <w:iCs/>
        </w:rPr>
        <w:fldChar w:fldCharType="end"/>
      </w:r>
      <w:r w:rsidRPr="009B628E">
        <w:rPr>
          <w:b/>
          <w:bCs/>
          <w:i/>
          <w:iCs/>
          <w:highlight w:val="lightGray"/>
        </w:rPr>
        <w:t>. which will be used to calculate the Annual Adjustment Amount to true-up the Quarterly Payment Amounts calculated on the indicative market price</w:t>
      </w:r>
      <w:r w:rsidRPr="009B628E">
        <w:rPr>
          <w:highlight w:val="lightGray"/>
        </w:rPr>
        <w:t>.]</w:t>
      </w:r>
    </w:p>
    <w:p w14:paraId="0955A937" w14:textId="77777777" w:rsidR="00290392" w:rsidRPr="00D35FC8" w:rsidRDefault="00290392" w:rsidP="00290392">
      <w:pPr>
        <w:pStyle w:val="SchedH3"/>
        <w:numPr>
          <w:ilvl w:val="3"/>
          <w:numId w:val="91"/>
        </w:numPr>
      </w:pPr>
      <w:r w:rsidRPr="00D35FC8">
        <w:t xml:space="preserve">At all times, Project Operator is not entitled to, and must not make a Claim to receive, any information held by the Commonwealth referred to in subparagraph </w:t>
      </w:r>
      <w:r>
        <w:fldChar w:fldCharType="begin"/>
      </w:r>
      <w:r>
        <w:instrText xml:space="preserve"> REF _Ref207202373 \r \h </w:instrText>
      </w:r>
      <w:r>
        <w:fldChar w:fldCharType="separate"/>
      </w:r>
      <w:r>
        <w:t>(a)(iii)</w:t>
      </w:r>
      <w:r>
        <w:fldChar w:fldCharType="end"/>
      </w:r>
    </w:p>
    <w:p w14:paraId="36496A03" w14:textId="77777777" w:rsidR="00290392" w:rsidRDefault="00290392" w:rsidP="00290392">
      <w:pPr>
        <w:pStyle w:val="SchedH3"/>
        <w:numPr>
          <w:ilvl w:val="3"/>
          <w:numId w:val="91"/>
        </w:numPr>
      </w:pPr>
      <w:r w:rsidRPr="00D35FC8">
        <w:t xml:space="preserve">Any Disputes in respect of this item </w:t>
      </w:r>
      <w:r>
        <w:fldChar w:fldCharType="begin"/>
      </w:r>
      <w:r>
        <w:instrText xml:space="preserve"> REF _Ref207202424 \r \h </w:instrText>
      </w:r>
      <w:r>
        <w:fldChar w:fldCharType="separate"/>
      </w:r>
      <w:r>
        <w:t>3.13</w:t>
      </w:r>
      <w:r>
        <w:fldChar w:fldCharType="end"/>
      </w:r>
      <w:r w:rsidRPr="00D35FC8">
        <w:t xml:space="preserve"> may not be referred to an Independent Expert under clause </w:t>
      </w:r>
      <w:r>
        <w:fldChar w:fldCharType="begin"/>
      </w:r>
      <w:r>
        <w:instrText xml:space="preserve"> REF _Ref107936893 \r \h </w:instrText>
      </w:r>
      <w:r>
        <w:fldChar w:fldCharType="separate"/>
      </w:r>
      <w:r>
        <w:t>27.5(b)</w:t>
      </w:r>
      <w:r>
        <w:fldChar w:fldCharType="end"/>
      </w:r>
      <w:r w:rsidRPr="00D35FC8">
        <w:t xml:space="preserve"> or clause </w:t>
      </w:r>
      <w:r>
        <w:fldChar w:fldCharType="begin"/>
      </w:r>
      <w:r>
        <w:instrText xml:space="preserve"> REF _Ref515106310 \r \h </w:instrText>
      </w:r>
      <w:r>
        <w:fldChar w:fldCharType="separate"/>
      </w:r>
      <w:r>
        <w:t>27.6</w:t>
      </w:r>
      <w:r>
        <w:fldChar w:fldCharType="end"/>
      </w:r>
      <w:r w:rsidRPr="00D35FC8">
        <w:t xml:space="preserve"> (“Independent Expert</w:t>
      </w:r>
      <w:r>
        <w:t>”).</w:t>
      </w:r>
    </w:p>
    <w:bookmarkEnd w:id="5427"/>
    <w:p w14:paraId="60944C51" w14:textId="77777777" w:rsidR="00760981" w:rsidRDefault="00760981" w:rsidP="005820DA">
      <w:pPr>
        <w:pStyle w:val="SchedH2"/>
        <w:numPr>
          <w:ilvl w:val="2"/>
          <w:numId w:val="91"/>
        </w:numPr>
      </w:pPr>
      <w:r>
        <w:t xml:space="preserve">Consent to use and disclose pricing information </w:t>
      </w:r>
    </w:p>
    <w:p w14:paraId="3440BB5C" w14:textId="6BAA84D9" w:rsidR="00760981" w:rsidRDefault="00760981" w:rsidP="00143457">
      <w:pPr>
        <w:pStyle w:val="Indent2"/>
        <w:keepNext/>
      </w:pPr>
      <w:r>
        <w:t xml:space="preserve">For the purposes of clause </w:t>
      </w:r>
      <w:r>
        <w:fldChar w:fldCharType="begin"/>
      </w:r>
      <w:r>
        <w:instrText xml:space="preserve"> REF _Ref165295078 \w \h  \* MERGEFORMAT </w:instrText>
      </w:r>
      <w:r>
        <w:fldChar w:fldCharType="separate"/>
      </w:r>
      <w:r w:rsidR="002E5C6A">
        <w:t>31.1(e)</w:t>
      </w:r>
      <w:r>
        <w:fldChar w:fldCharType="end"/>
      </w:r>
      <w:r>
        <w:t xml:space="preserve"> (“</w:t>
      </w:r>
      <w:r>
        <w:fldChar w:fldCharType="begin"/>
      </w:r>
      <w:r>
        <w:instrText xml:space="preserve">  REF _Ref165295075 \h  \* MERGEFORMAT </w:instrText>
      </w:r>
      <w:r>
        <w:fldChar w:fldCharType="separate"/>
      </w:r>
      <w:r w:rsidR="002E5C6A">
        <w:t>Disclosure of information</w:t>
      </w:r>
      <w:r>
        <w:fldChar w:fldCharType="end"/>
      </w:r>
      <w:r>
        <w:t xml:space="preserve">”), Project Operator consents to the Commonwealth using and disclosing pricing information (including under any publication or notice referred to in item </w:t>
      </w:r>
      <w:r>
        <w:fldChar w:fldCharType="begin"/>
      </w:r>
      <w:r>
        <w:instrText xml:space="preserve"> REF _Ref206528511 \n \h </w:instrText>
      </w:r>
      <w:r>
        <w:fldChar w:fldCharType="separate"/>
      </w:r>
      <w:r w:rsidR="002E5C6A">
        <w:t>3.12</w:t>
      </w:r>
      <w:r>
        <w:fldChar w:fldCharType="end"/>
      </w:r>
      <w:r>
        <w:fldChar w:fldCharType="begin"/>
      </w:r>
      <w:r>
        <w:instrText xml:space="preserve"> REF _Ref206528754 \n \h </w:instrText>
      </w:r>
      <w:r>
        <w:fldChar w:fldCharType="separate"/>
      </w:r>
      <w:r w:rsidR="002E5C6A">
        <w:t>(b)</w:t>
      </w:r>
      <w:r>
        <w:fldChar w:fldCharType="end"/>
      </w:r>
      <w:r>
        <w:t xml:space="preserve"> for any Green Product that Project Operator receives under a Bilateral Contract or otherwise in the market, provided that: </w:t>
      </w:r>
    </w:p>
    <w:p w14:paraId="32607C88" w14:textId="77777777" w:rsidR="00760981" w:rsidRDefault="00760981" w:rsidP="00760981">
      <w:pPr>
        <w:pStyle w:val="SchedH3"/>
        <w:numPr>
          <w:ilvl w:val="3"/>
          <w:numId w:val="43"/>
        </w:numPr>
        <w:tabs>
          <w:tab w:val="clear" w:pos="737"/>
        </w:tabs>
        <w:ind w:left="1474"/>
      </w:pPr>
      <w:r>
        <w:t>such information is disclosed on an anonymised basis and is not attributable to either Project Operator, the Project or any particular contract counterparty; and</w:t>
      </w:r>
    </w:p>
    <w:p w14:paraId="3A964B84" w14:textId="24C4FEC8" w:rsidR="00760981" w:rsidRDefault="00760981" w:rsidP="00760981">
      <w:pPr>
        <w:pStyle w:val="SchedH3"/>
        <w:numPr>
          <w:ilvl w:val="3"/>
          <w:numId w:val="43"/>
        </w:numPr>
        <w:tabs>
          <w:tab w:val="clear" w:pos="737"/>
        </w:tabs>
        <w:ind w:left="1474"/>
      </w:pPr>
      <w:r>
        <w:t xml:space="preserve">such information is used by the Commonwealth for the purposes of determining the market price for that certificate or product type of Green Product under a comparable provision to item </w:t>
      </w:r>
      <w:r>
        <w:fldChar w:fldCharType="begin"/>
      </w:r>
      <w:r>
        <w:instrText xml:space="preserve"> REF _Ref206528511 \n \h </w:instrText>
      </w:r>
      <w:r>
        <w:fldChar w:fldCharType="separate"/>
      </w:r>
      <w:r w:rsidR="002E5C6A">
        <w:t>3.12</w:t>
      </w:r>
      <w:r>
        <w:fldChar w:fldCharType="end"/>
      </w:r>
      <w:r>
        <w:t xml:space="preserve"> in an Other CISA.</w:t>
      </w:r>
    </w:p>
    <w:p w14:paraId="32DBE630" w14:textId="77777777" w:rsidR="00760981" w:rsidRDefault="00760981" w:rsidP="00760981">
      <w:pPr>
        <w:pStyle w:val="SchedH1"/>
        <w:numPr>
          <w:ilvl w:val="1"/>
          <w:numId w:val="43"/>
        </w:numPr>
      </w:pPr>
      <w:bookmarkStart w:id="5432" w:name="_Ref206083707"/>
      <w:r>
        <w:t>Availability Rebate</w:t>
      </w:r>
      <w:bookmarkEnd w:id="5432"/>
    </w:p>
    <w:p w14:paraId="391A941B" w14:textId="77777777" w:rsidR="00760981" w:rsidRDefault="00760981" w:rsidP="00760981">
      <w:pPr>
        <w:pStyle w:val="SchedH2"/>
        <w:numPr>
          <w:ilvl w:val="2"/>
          <w:numId w:val="43"/>
        </w:numPr>
      </w:pPr>
      <w:bookmarkStart w:id="5433" w:name="_Ref206531786"/>
      <w:r>
        <w:t>Calculation of Availability Rebate</w:t>
      </w:r>
      <w:bookmarkEnd w:id="5433"/>
    </w:p>
    <w:p w14:paraId="4BB0B363" w14:textId="77777777" w:rsidR="00760981" w:rsidRDefault="00760981" w:rsidP="00760981">
      <w:pPr>
        <w:pStyle w:val="Indent2"/>
        <w:keepNext/>
      </w:pPr>
      <w:r>
        <w:t xml:space="preserve">The </w:t>
      </w:r>
      <w:r>
        <w:rPr>
          <w:b/>
          <w:bCs/>
        </w:rPr>
        <w:t>Availability Rebate</w:t>
      </w:r>
      <w:r>
        <w:t xml:space="preserve"> for each Support Year during the Support Period is calculated as follows:</w:t>
      </w:r>
    </w:p>
    <w:p w14:paraId="54DEC62A" w14:textId="77777777" w:rsidR="00760981" w:rsidRPr="008F660B" w:rsidRDefault="0057509B" w:rsidP="00760981">
      <w:pPr>
        <w:pStyle w:val="Indent2"/>
        <w:keepNext/>
        <w:rPr>
          <w:b/>
          <w:bCs/>
        </w:rPr>
      </w:pPr>
      <w:sdt>
        <w:sdtPr>
          <w:rPr>
            <w:rFonts w:ascii="Cambria Math" w:hAnsi="Cambria Math"/>
            <w:b/>
            <w:bCs/>
            <w:i/>
          </w:rPr>
          <w:id w:val="-796061062"/>
          <w:placeholder>
            <w:docPart w:val="33C24E20E2AC4F1096DF01EB6F78291D"/>
          </w:placeholder>
          <w:temporary/>
          <w:equation/>
        </w:sdtPr>
        <w:sdtContent>
          <m:oMathPara>
            <m:oMath>
              <m:sSub>
                <m:sSubPr>
                  <m:ctrlPr>
                    <w:rPr>
                      <w:rFonts w:ascii="Cambria Math" w:hAnsi="Cambria Math"/>
                      <w:b/>
                      <w:bCs/>
                      <w:i/>
                    </w:rPr>
                  </m:ctrlPr>
                </m:sSubPr>
                <m:e>
                  <m:r>
                    <m:rPr>
                      <m:sty m:val="p"/>
                    </m:rPr>
                    <w:rPr>
                      <w:rFonts w:ascii="Cambria Math" w:hAnsi="Cambria Math"/>
                    </w:rPr>
                    <m:t>AR</m:t>
                  </m:r>
                </m:e>
                <m:sub>
                  <m:r>
                    <m:rPr>
                      <m:sty m:val="p"/>
                    </m:rPr>
                    <w:rPr>
                      <w:rFonts w:ascii="Cambria Math" w:hAnsi="Cambria Math"/>
                    </w:rPr>
                    <m:t>SY</m:t>
                  </m:r>
                </m:sub>
              </m:sSub>
              <m:r>
                <m:rPr>
                  <m:sty m:val="p"/>
                </m:rPr>
                <w:rPr>
                  <w:rFonts w:ascii="Cambria Math" w:hAnsi="Cambria Math"/>
                </w:rPr>
                <m:t xml:space="preserve"> = </m:t>
              </m:r>
              <m:sSub>
                <m:sSubPr>
                  <m:ctrlPr>
                    <w:rPr>
                      <w:rFonts w:ascii="Cambria Math" w:hAnsi="Cambria Math"/>
                      <w:b/>
                      <w:bCs/>
                      <w:i/>
                    </w:rPr>
                  </m:ctrlPr>
                </m:sSubPr>
                <m:e>
                  <m:r>
                    <m:rPr>
                      <m:sty m:val="p"/>
                    </m:rPr>
                    <w:rPr>
                      <w:rFonts w:ascii="Cambria Math" w:hAnsi="Cambria Math"/>
                    </w:rPr>
                    <m:t>ARP</m:t>
                  </m:r>
                </m:e>
                <m:sub>
                  <m:r>
                    <m:rPr>
                      <m:sty m:val="p"/>
                    </m:rPr>
                    <w:rPr>
                      <w:rFonts w:ascii="Cambria Math" w:hAnsi="Cambria Math"/>
                    </w:rPr>
                    <m:t>SY</m:t>
                  </m:r>
                </m:sub>
              </m:sSub>
              <m:r>
                <m:rPr>
                  <m:sty m:val="p"/>
                </m:rPr>
                <w:rPr>
                  <w:rFonts w:ascii="Cambria Math" w:hAnsi="Cambria Math"/>
                </w:rPr>
                <m:t xml:space="preserve"> × </m:t>
              </m:r>
              <m:sSub>
                <m:sSubPr>
                  <m:ctrlPr>
                    <w:rPr>
                      <w:rFonts w:ascii="Cambria Math" w:hAnsi="Cambria Math"/>
                      <w:b/>
                      <w:bCs/>
                      <w:i/>
                    </w:rPr>
                  </m:ctrlPr>
                </m:sSubPr>
                <m:e>
                  <m:r>
                    <m:rPr>
                      <m:sty m:val="p"/>
                    </m:rPr>
                    <w:rPr>
                      <w:rFonts w:ascii="Cambria Math" w:hAnsi="Cambria Math"/>
                    </w:rPr>
                    <m:t>ASA</m:t>
                  </m:r>
                </m:e>
                <m:sub>
                  <m:r>
                    <m:rPr>
                      <m:sty m:val="p"/>
                    </m:rPr>
                    <w:rPr>
                      <w:rFonts w:ascii="Cambria Math" w:hAnsi="Cambria Math"/>
                    </w:rPr>
                    <m:t>SY</m:t>
                  </m:r>
                </m:sub>
              </m:sSub>
            </m:oMath>
          </m:oMathPara>
        </w:sdtContent>
      </w:sdt>
    </w:p>
    <w:p w14:paraId="01651400" w14:textId="09737FA8" w:rsidR="00760981" w:rsidRDefault="00597F22" w:rsidP="00760981">
      <w:pPr>
        <w:pStyle w:val="Indent2"/>
        <w:keepNext/>
      </w:pPr>
      <w:r>
        <w:t>w</w:t>
      </w:r>
      <w:r w:rsidR="00760981">
        <w:t>here:</w:t>
      </w:r>
    </w:p>
    <w:p w14:paraId="1DBCF634" w14:textId="77777777" w:rsidR="00760981" w:rsidRDefault="00760981" w:rsidP="00760981">
      <w:pPr>
        <w:pStyle w:val="Indent2"/>
        <w:tabs>
          <w:tab w:val="left" w:pos="1418"/>
          <w:tab w:val="left" w:pos="1843"/>
        </w:tabs>
        <w:ind w:left="1418" w:hanging="681"/>
      </w:pPr>
      <w:r>
        <w:rPr>
          <w:b/>
          <w:bCs/>
        </w:rPr>
        <w:t>AR</w:t>
      </w:r>
      <w:r>
        <w:rPr>
          <w:b/>
          <w:bCs/>
          <w:vertAlign w:val="subscript"/>
        </w:rPr>
        <w:t>SY</w:t>
      </w:r>
      <w:r>
        <w:rPr>
          <w:vertAlign w:val="subscript"/>
        </w:rPr>
        <w:t xml:space="preserve"> </w:t>
      </w:r>
      <w:r>
        <w:t>=</w:t>
      </w:r>
      <w:r>
        <w:tab/>
        <w:t>Availability Rebate for the relevant Support Year;</w:t>
      </w:r>
    </w:p>
    <w:p w14:paraId="753DF730" w14:textId="3366D653" w:rsidR="00760981" w:rsidRDefault="00760981" w:rsidP="00760981">
      <w:pPr>
        <w:pStyle w:val="Indent2"/>
        <w:tabs>
          <w:tab w:val="left" w:pos="1418"/>
          <w:tab w:val="left" w:pos="1843"/>
        </w:tabs>
        <w:ind w:left="1418" w:hanging="681"/>
      </w:pPr>
      <w:r>
        <w:rPr>
          <w:b/>
          <w:bCs/>
        </w:rPr>
        <w:t>ARP</w:t>
      </w:r>
      <w:r>
        <w:rPr>
          <w:b/>
          <w:bCs/>
          <w:vertAlign w:val="subscript"/>
        </w:rPr>
        <w:t>SY</w:t>
      </w:r>
      <w:r>
        <w:t xml:space="preserve"> = </w:t>
      </w:r>
      <w:r>
        <w:tab/>
        <w:t xml:space="preserve">the Availability Rebate Percentage for the relevant Support Year (as expressed as a percentage) calculated in accordance with item </w:t>
      </w:r>
      <w:r>
        <w:fldChar w:fldCharType="begin"/>
      </w:r>
      <w:r>
        <w:instrText xml:space="preserve"> REF _Ref202534301 \n \h </w:instrText>
      </w:r>
      <w:r>
        <w:fldChar w:fldCharType="separate"/>
      </w:r>
      <w:r w:rsidR="002E5C6A">
        <w:t>4.2</w:t>
      </w:r>
      <w:r>
        <w:fldChar w:fldCharType="end"/>
      </w:r>
      <w:r>
        <w:t xml:space="preserve"> (“</w:t>
      </w:r>
      <w:r>
        <w:fldChar w:fldCharType="begin"/>
      </w:r>
      <w:r>
        <w:instrText xml:space="preserve"> REF _Ref202534301 \h </w:instrText>
      </w:r>
      <w:r>
        <w:fldChar w:fldCharType="separate"/>
      </w:r>
      <w:r w:rsidR="002E5C6A">
        <w:t>Calculation of Availability Rebate Percentage</w:t>
      </w:r>
      <w:r>
        <w:fldChar w:fldCharType="end"/>
      </w:r>
      <w:r>
        <w:t xml:space="preserve">”); and </w:t>
      </w:r>
    </w:p>
    <w:p w14:paraId="6540F105" w14:textId="77777777" w:rsidR="00760981" w:rsidRDefault="00760981" w:rsidP="00760981">
      <w:pPr>
        <w:pStyle w:val="Indent2"/>
        <w:tabs>
          <w:tab w:val="left" w:pos="1418"/>
          <w:tab w:val="left" w:pos="1843"/>
        </w:tabs>
        <w:ind w:left="1418" w:hanging="681"/>
      </w:pPr>
      <w:r>
        <w:rPr>
          <w:b/>
          <w:bCs/>
        </w:rPr>
        <w:t>ASA</w:t>
      </w:r>
      <w:r>
        <w:rPr>
          <w:b/>
          <w:bCs/>
          <w:vertAlign w:val="subscript"/>
        </w:rPr>
        <w:t>SY</w:t>
      </w:r>
      <w:r>
        <w:t xml:space="preserve"> = </w:t>
      </w:r>
      <w:r>
        <w:tab/>
        <w:t>the Annual Support Amount for the relevant Support Year (in $).</w:t>
      </w:r>
    </w:p>
    <w:p w14:paraId="076B49BA" w14:textId="77777777" w:rsidR="00760981" w:rsidRDefault="00760981" w:rsidP="00760981">
      <w:pPr>
        <w:pStyle w:val="SchedH2"/>
        <w:numPr>
          <w:ilvl w:val="2"/>
          <w:numId w:val="43"/>
        </w:numPr>
      </w:pPr>
      <w:bookmarkStart w:id="5434" w:name="_Ref202534301"/>
      <w:r>
        <w:t>Calculation of Availability Rebate Percentage</w:t>
      </w:r>
      <w:bookmarkEnd w:id="5434"/>
      <w:r>
        <w:t xml:space="preserve"> </w:t>
      </w:r>
    </w:p>
    <w:p w14:paraId="39F8102E" w14:textId="77777777" w:rsidR="00760981" w:rsidRDefault="00760981" w:rsidP="00760981">
      <w:pPr>
        <w:pStyle w:val="Indent2"/>
        <w:keepNext/>
      </w:pPr>
      <w:r>
        <w:t xml:space="preserve">The </w:t>
      </w:r>
      <w:r>
        <w:rPr>
          <w:b/>
          <w:bCs/>
        </w:rPr>
        <w:t>Availability Rebate Percentage</w:t>
      </w:r>
      <w:r>
        <w:t xml:space="preserve"> for each Support Year during the Support Period is calculated as follows: </w:t>
      </w:r>
    </w:p>
    <w:p w14:paraId="7C91839B" w14:textId="77777777" w:rsidR="00760981" w:rsidRPr="00343AF3" w:rsidRDefault="0057509B" w:rsidP="00760981">
      <w:pPr>
        <w:pStyle w:val="Indent2"/>
        <w:keepNext/>
      </w:pPr>
      <w:sdt>
        <w:sdtPr>
          <w:rPr>
            <w:rFonts w:ascii="Cambria Math" w:hAnsi="Cambria Math"/>
            <w:i/>
          </w:rPr>
          <w:id w:val="2103069224"/>
          <w:placeholder>
            <w:docPart w:val="33C24E20E2AC4F1096DF01EB6F78291D"/>
          </w:placeholder>
          <w:temporary/>
          <w:equation/>
        </w:sdtPr>
        <w:sdtContent>
          <m:oMathPara>
            <m:oMathParaPr>
              <m:jc m:val="center"/>
            </m:oMathParaPr>
            <m:oMath>
              <m:sSub>
                <m:sSubPr>
                  <m:ctrlPr>
                    <w:rPr>
                      <w:rFonts w:ascii="Cambria Math" w:hAnsi="Cambria Math"/>
                      <w:i/>
                    </w:rPr>
                  </m:ctrlPr>
                </m:sSubPr>
                <m:e>
                  <m:r>
                    <m:rPr>
                      <m:sty m:val="p"/>
                    </m:rPr>
                    <w:rPr>
                      <w:rFonts w:ascii="Cambria Math" w:hAnsi="Cambria Math"/>
                    </w:rPr>
                    <m:t>ARP</m:t>
                  </m:r>
                </m:e>
                <m:sub>
                  <m:r>
                    <m:rPr>
                      <m:sty m:val="p"/>
                    </m:rPr>
                    <w:rPr>
                      <w:rFonts w:ascii="Cambria Math" w:hAnsi="Cambria Math"/>
                    </w:rPr>
                    <m:t>SY</m:t>
                  </m:r>
                </m:sub>
              </m:sSub>
              <m:r>
                <m:rPr>
                  <m:sty m:val="p"/>
                </m:rPr>
                <w:rPr>
                  <w:rFonts w:ascii="Cambria Math" w:hAnsi="Cambria Math"/>
                </w:rPr>
                <m:t xml:space="preserve"> = EAT - </m:t>
              </m:r>
              <m:sSub>
                <m:sSubPr>
                  <m:ctrlPr>
                    <w:rPr>
                      <w:rFonts w:ascii="Cambria Math" w:hAnsi="Cambria Math"/>
                      <w:i/>
                    </w:rPr>
                  </m:ctrlPr>
                </m:sSubPr>
                <m:e>
                  <m:r>
                    <m:rPr>
                      <m:sty m:val="p"/>
                    </m:rPr>
                    <w:rPr>
                      <w:rFonts w:ascii="Cambria Math" w:hAnsi="Cambria Math"/>
                    </w:rPr>
                    <m:t>EAF</m:t>
                  </m:r>
                </m:e>
                <m:sub>
                  <m:r>
                    <m:rPr>
                      <m:sty m:val="p"/>
                    </m:rPr>
                    <w:rPr>
                      <w:rFonts w:ascii="Cambria Math" w:hAnsi="Cambria Math"/>
                    </w:rPr>
                    <m:t>SY</m:t>
                  </m:r>
                </m:sub>
              </m:sSub>
            </m:oMath>
          </m:oMathPara>
        </w:sdtContent>
      </w:sdt>
    </w:p>
    <w:p w14:paraId="7572DBC6" w14:textId="77777777" w:rsidR="00760981" w:rsidRDefault="00760981" w:rsidP="00760981">
      <w:pPr>
        <w:pStyle w:val="Indent2"/>
        <w:keepNext/>
      </w:pPr>
      <w:r>
        <w:t>where:</w:t>
      </w:r>
    </w:p>
    <w:p w14:paraId="52662E8B" w14:textId="77777777" w:rsidR="00760981" w:rsidRDefault="00760981" w:rsidP="00760981">
      <w:pPr>
        <w:pStyle w:val="Indent2"/>
        <w:tabs>
          <w:tab w:val="left" w:pos="1418"/>
          <w:tab w:val="left" w:pos="1843"/>
        </w:tabs>
        <w:ind w:left="1843" w:hanging="1106"/>
      </w:pPr>
      <w:r>
        <w:rPr>
          <w:b/>
          <w:bCs/>
        </w:rPr>
        <w:t>ARP</w:t>
      </w:r>
      <w:r>
        <w:rPr>
          <w:b/>
          <w:bCs/>
          <w:vertAlign w:val="subscript"/>
        </w:rPr>
        <w:t>SY</w:t>
      </w:r>
      <w:r>
        <w:rPr>
          <w:b/>
          <w:bCs/>
          <w:vertAlign w:val="subscript"/>
        </w:rPr>
        <w:tab/>
      </w:r>
      <w:r>
        <w:t>=</w:t>
      </w:r>
      <w:r>
        <w:tab/>
        <w:t>the Availability Rebate Percentage for the relevant Support Year (expressed as a percentage);</w:t>
      </w:r>
    </w:p>
    <w:p w14:paraId="35146ED3" w14:textId="77777777" w:rsidR="00760981" w:rsidRDefault="00760981" w:rsidP="00760981">
      <w:pPr>
        <w:pStyle w:val="Indent2"/>
        <w:tabs>
          <w:tab w:val="left" w:pos="1418"/>
          <w:tab w:val="left" w:pos="1843"/>
        </w:tabs>
        <w:ind w:left="1843" w:hanging="1106"/>
      </w:pPr>
      <w:r>
        <w:rPr>
          <w:b/>
          <w:bCs/>
        </w:rPr>
        <w:t>EAT</w:t>
      </w:r>
      <w:r>
        <w:rPr>
          <w:b/>
          <w:bCs/>
        </w:rPr>
        <w:tab/>
      </w:r>
      <w:r>
        <w:t>=</w:t>
      </w:r>
      <w:r>
        <w:tab/>
        <w:t xml:space="preserve">the Equivalent Availability Threshold being 90%; and </w:t>
      </w:r>
    </w:p>
    <w:p w14:paraId="6BEC76CE" w14:textId="7DF57877" w:rsidR="00760981" w:rsidRDefault="00760981" w:rsidP="00760981">
      <w:pPr>
        <w:pStyle w:val="Indent2"/>
        <w:tabs>
          <w:tab w:val="left" w:pos="1418"/>
          <w:tab w:val="left" w:pos="1843"/>
        </w:tabs>
        <w:ind w:left="1843" w:hanging="1106"/>
      </w:pPr>
      <w:r>
        <w:rPr>
          <w:b/>
          <w:bCs/>
        </w:rPr>
        <w:t>EAF</w:t>
      </w:r>
      <w:r>
        <w:rPr>
          <w:b/>
          <w:bCs/>
          <w:vertAlign w:val="subscript"/>
        </w:rPr>
        <w:t>SY</w:t>
      </w:r>
      <w:r>
        <w:rPr>
          <w:b/>
          <w:bCs/>
          <w:vertAlign w:val="subscript"/>
        </w:rPr>
        <w:tab/>
      </w:r>
      <w:r>
        <w:t>=</w:t>
      </w:r>
      <w:r>
        <w:tab/>
        <w:t xml:space="preserve">the Equivalent Availability Factor of the Project for that part of the Operations Year in which the relevant Support Year falls, calculated in accordance with item </w:t>
      </w:r>
      <w:r>
        <w:fldChar w:fldCharType="begin"/>
      </w:r>
      <w:r>
        <w:instrText xml:space="preserve"> REF _Ref206083774 \n \h </w:instrText>
      </w:r>
      <w:r>
        <w:fldChar w:fldCharType="separate"/>
      </w:r>
      <w:r w:rsidR="002E5C6A">
        <w:t>4.3</w:t>
      </w:r>
      <w:r>
        <w:fldChar w:fldCharType="end"/>
      </w:r>
      <w:r>
        <w:t xml:space="preserve"> (“</w:t>
      </w:r>
      <w:r>
        <w:fldChar w:fldCharType="begin"/>
      </w:r>
      <w:r>
        <w:instrText xml:space="preserve"> REF _Ref206083774 \h </w:instrText>
      </w:r>
      <w:r>
        <w:fldChar w:fldCharType="separate"/>
      </w:r>
      <w:r w:rsidR="002E5C6A">
        <w:t>Calculation of Equivalent Availability Factor</w:t>
      </w:r>
      <w:r>
        <w:fldChar w:fldCharType="end"/>
      </w:r>
      <w:r>
        <w:t xml:space="preserve">”) (which is a number but that number shall be deemed to be a percentage for the purpose of this item </w:t>
      </w:r>
      <w:r>
        <w:fldChar w:fldCharType="begin"/>
      </w:r>
      <w:r>
        <w:instrText xml:space="preserve"> REF _Ref202534301 \n \h </w:instrText>
      </w:r>
      <w:r>
        <w:fldChar w:fldCharType="separate"/>
      </w:r>
      <w:r w:rsidR="002E5C6A">
        <w:t>4.2</w:t>
      </w:r>
      <w:r>
        <w:fldChar w:fldCharType="end"/>
      </w:r>
      <w:r>
        <w:t xml:space="preserve">), </w:t>
      </w:r>
    </w:p>
    <w:p w14:paraId="6996BB17" w14:textId="77777777" w:rsidR="00760981" w:rsidRDefault="00760981" w:rsidP="00760981">
      <w:pPr>
        <w:pStyle w:val="Indent2"/>
        <w:keepNext/>
      </w:pPr>
      <w:r>
        <w:t>provided that:</w:t>
      </w:r>
    </w:p>
    <w:p w14:paraId="56943DBE" w14:textId="77777777" w:rsidR="00760981" w:rsidRDefault="00760981" w:rsidP="008F660B">
      <w:pPr>
        <w:pStyle w:val="SchedH3"/>
        <w:numPr>
          <w:ilvl w:val="3"/>
          <w:numId w:val="108"/>
        </w:numPr>
        <w:tabs>
          <w:tab w:val="clear" w:pos="737"/>
          <w:tab w:val="num" w:pos="1474"/>
        </w:tabs>
        <w:ind w:left="1474"/>
      </w:pPr>
      <w:r>
        <w:t xml:space="preserve">if the Availability Rebate Percentage for the relevant Support Year is less than 0%, the Availability Rebate Percentage for that Support Year will be deemed to be 0%; and </w:t>
      </w:r>
    </w:p>
    <w:p w14:paraId="10117A71" w14:textId="77777777" w:rsidR="00760981" w:rsidRDefault="00760981" w:rsidP="008F660B">
      <w:pPr>
        <w:pStyle w:val="SchedH3"/>
        <w:numPr>
          <w:ilvl w:val="3"/>
          <w:numId w:val="108"/>
        </w:numPr>
        <w:tabs>
          <w:tab w:val="clear" w:pos="737"/>
          <w:tab w:val="num" w:pos="1474"/>
        </w:tabs>
        <w:ind w:left="1474"/>
      </w:pPr>
      <w:r>
        <w:t xml:space="preserve">if the Equivalent Availability Factor (expressed as a percentage) for the relevant Support Year is less than 10%, the Availability Rebate Percentage for that Support Year will be deemed to be 100%. </w:t>
      </w:r>
    </w:p>
    <w:p w14:paraId="0993016B" w14:textId="77777777" w:rsidR="00760981" w:rsidRDefault="00760981" w:rsidP="00760981">
      <w:pPr>
        <w:pStyle w:val="SchedH2"/>
        <w:numPr>
          <w:ilvl w:val="2"/>
          <w:numId w:val="43"/>
        </w:numPr>
      </w:pPr>
      <w:bookmarkStart w:id="5435" w:name="_Ref206083774"/>
      <w:r>
        <w:t>Calculation of Equivalent Availability Factor</w:t>
      </w:r>
      <w:bookmarkEnd w:id="5435"/>
      <w:r>
        <w:t xml:space="preserve"> </w:t>
      </w:r>
    </w:p>
    <w:p w14:paraId="67AA1A78" w14:textId="2DED9A8A" w:rsidR="00760981" w:rsidRDefault="00760981" w:rsidP="00760981">
      <w:pPr>
        <w:pStyle w:val="SchedH3"/>
        <w:numPr>
          <w:ilvl w:val="3"/>
          <w:numId w:val="43"/>
        </w:numPr>
        <w:tabs>
          <w:tab w:val="clear" w:pos="737"/>
        </w:tabs>
        <w:ind w:left="1474"/>
      </w:pPr>
      <w:r>
        <w:t>Subject to item </w:t>
      </w:r>
      <w:r>
        <w:fldChar w:fldCharType="begin"/>
      </w:r>
      <w:r>
        <w:instrText xml:space="preserve"> REF _Ref206083774 \n \h </w:instrText>
      </w:r>
      <w:r>
        <w:fldChar w:fldCharType="separate"/>
      </w:r>
      <w:r w:rsidR="002E5C6A">
        <w:t>4.3</w:t>
      </w:r>
      <w:r>
        <w:fldChar w:fldCharType="end"/>
      </w:r>
      <w:r>
        <w:fldChar w:fldCharType="begin"/>
      </w:r>
      <w:r>
        <w:instrText xml:space="preserve"> REF _Ref206082966 \n \h </w:instrText>
      </w:r>
      <w:r>
        <w:fldChar w:fldCharType="separate"/>
      </w:r>
      <w:r w:rsidR="002E5C6A">
        <w:t>(b)</w:t>
      </w:r>
      <w:r>
        <w:fldChar w:fldCharType="end"/>
      </w:r>
      <w:r>
        <w:t xml:space="preserve">, the Equivalent Availability Factor (expressed as a percentage) of the Project for a Support Year is calculated in accordance with the first formula set out in paragraph 8.11 of IEEE 762-2006, provided that: </w:t>
      </w:r>
    </w:p>
    <w:p w14:paraId="03C65B11" w14:textId="77777777" w:rsidR="00760981" w:rsidRDefault="00760981" w:rsidP="00143457">
      <w:pPr>
        <w:pStyle w:val="SchedH4"/>
        <w:numPr>
          <w:ilvl w:val="4"/>
          <w:numId w:val="91"/>
        </w:numPr>
      </w:pPr>
      <w:r>
        <w:t xml:space="preserve">a reference to “generation” is taken to be a reference to “export capability”; and </w:t>
      </w:r>
    </w:p>
    <w:p w14:paraId="6BA05D1C" w14:textId="77777777" w:rsidR="00760981" w:rsidRDefault="00760981" w:rsidP="00143457">
      <w:pPr>
        <w:pStyle w:val="SchedH4"/>
        <w:numPr>
          <w:ilvl w:val="4"/>
          <w:numId w:val="91"/>
        </w:numPr>
      </w:pPr>
      <w:r>
        <w:t xml:space="preserve">a reference to “generating unit” is taken to be the Project. </w:t>
      </w:r>
    </w:p>
    <w:p w14:paraId="0220F562" w14:textId="77777777" w:rsidR="00760981" w:rsidRDefault="00760981" w:rsidP="00760981">
      <w:pPr>
        <w:pStyle w:val="SchedH3"/>
        <w:numPr>
          <w:ilvl w:val="3"/>
          <w:numId w:val="43"/>
        </w:numPr>
        <w:tabs>
          <w:tab w:val="clear" w:pos="737"/>
        </w:tabs>
        <w:ind w:left="1474"/>
      </w:pPr>
      <w:bookmarkStart w:id="5436" w:name="_Ref206082966"/>
      <w:r>
        <w:t>If the Rated Capacity is impacted during a period as a direct result of:</w:t>
      </w:r>
      <w:bookmarkEnd w:id="5436"/>
      <w:r>
        <w:t xml:space="preserve"> </w:t>
      </w:r>
    </w:p>
    <w:p w14:paraId="45726DF8" w14:textId="501A5D98" w:rsidR="00760981" w:rsidRDefault="00760981" w:rsidP="00143457">
      <w:pPr>
        <w:pStyle w:val="SchedH4"/>
        <w:numPr>
          <w:ilvl w:val="4"/>
          <w:numId w:val="91"/>
        </w:numPr>
      </w:pPr>
      <w:r>
        <w:t xml:space="preserve">any Project Force Majeure Event subsisting during the relevant Operations Year, for which Project Operator is entitled to an adjustment or relief pursuant to this agreement and which Project Operator has notified the Commonwealth of in accordance with clause </w:t>
      </w:r>
      <w:r>
        <w:fldChar w:fldCharType="begin"/>
      </w:r>
      <w:r>
        <w:instrText xml:space="preserve"> REF _Ref_ContractCompanion_9kb9Ur45B \w \n \h \t \* MERGEFORMAT </w:instrText>
      </w:r>
      <w:r>
        <w:fldChar w:fldCharType="separate"/>
      </w:r>
      <w:r w:rsidR="002E5C6A">
        <w:t>19</w:t>
      </w:r>
      <w:r>
        <w:fldChar w:fldCharType="end"/>
      </w:r>
      <w:r>
        <w:t>; or</w:t>
      </w:r>
    </w:p>
    <w:p w14:paraId="51F193DE" w14:textId="77777777" w:rsidR="00760981" w:rsidRDefault="00760981" w:rsidP="00143457">
      <w:pPr>
        <w:pStyle w:val="SchedH4"/>
        <w:keepNext/>
        <w:numPr>
          <w:ilvl w:val="4"/>
          <w:numId w:val="91"/>
        </w:numPr>
      </w:pPr>
      <w:bookmarkStart w:id="5437" w:name="_Ref202784241"/>
      <w:r>
        <w:t>a direction or instruction given by AEMO (in its capacity as a market body) under the WEM Rules that:</w:t>
      </w:r>
      <w:bookmarkEnd w:id="5437"/>
      <w:r>
        <w:t xml:space="preserve"> </w:t>
      </w:r>
    </w:p>
    <w:p w14:paraId="3BC29526" w14:textId="77777777" w:rsidR="00760981" w:rsidRDefault="00760981" w:rsidP="00143457">
      <w:pPr>
        <w:pStyle w:val="SchedH5"/>
        <w:numPr>
          <w:ilvl w:val="5"/>
          <w:numId w:val="91"/>
        </w:numPr>
        <w:tabs>
          <w:tab w:val="clear" w:pos="2948"/>
          <w:tab w:val="num" w:pos="3686"/>
        </w:tabs>
        <w:ind w:left="2949" w:hanging="738"/>
      </w:pPr>
      <w:r>
        <w:t xml:space="preserve">relates to the condition or capacity of the transmission network or the testing or operation of the Project; and </w:t>
      </w:r>
    </w:p>
    <w:p w14:paraId="32E0A30E" w14:textId="77777777" w:rsidR="00760981" w:rsidRDefault="00760981" w:rsidP="00143457">
      <w:pPr>
        <w:pStyle w:val="SchedH5"/>
        <w:numPr>
          <w:ilvl w:val="5"/>
          <w:numId w:val="91"/>
        </w:numPr>
        <w:tabs>
          <w:tab w:val="clear" w:pos="2948"/>
          <w:tab w:val="num" w:pos="3686"/>
        </w:tabs>
        <w:ind w:left="2949" w:hanging="738"/>
      </w:pPr>
      <w:r>
        <w:t>was not issued as a response to or as a result of any breach or wrongful act or omission of Project Operator or its Associates,</w:t>
      </w:r>
    </w:p>
    <w:p w14:paraId="6EDC182A" w14:textId="77777777" w:rsidR="00760981" w:rsidRDefault="00760981" w:rsidP="00143457">
      <w:pPr>
        <w:pStyle w:val="Indent4"/>
        <w:ind w:left="1474"/>
      </w:pPr>
      <w:r>
        <w:t>(“</w:t>
      </w:r>
      <w:r>
        <w:rPr>
          <w:b/>
          <w:bCs/>
        </w:rPr>
        <w:t>Deemed Availability Period</w:t>
      </w:r>
      <w:r>
        <w:t xml:space="preserve">”), that period will be disregarded for the purpose of calculating the Equivalent Availability Factor for the Project. </w:t>
      </w:r>
    </w:p>
    <w:p w14:paraId="0C97F96C" w14:textId="77777777" w:rsidR="00760981" w:rsidRDefault="00760981" w:rsidP="00760981">
      <w:pPr>
        <w:pStyle w:val="SchedH1"/>
        <w:numPr>
          <w:ilvl w:val="1"/>
          <w:numId w:val="43"/>
        </w:numPr>
      </w:pPr>
      <w:bookmarkStart w:id="5438" w:name="_Ref206708204"/>
      <w:r>
        <w:t>Storage Capacity Rebate</w:t>
      </w:r>
      <w:bookmarkEnd w:id="5438"/>
    </w:p>
    <w:p w14:paraId="3D4868F2" w14:textId="77777777" w:rsidR="00760981" w:rsidRDefault="00760981" w:rsidP="00760981">
      <w:pPr>
        <w:pStyle w:val="SchedH2"/>
        <w:numPr>
          <w:ilvl w:val="2"/>
          <w:numId w:val="43"/>
        </w:numPr>
      </w:pPr>
      <w:bookmarkStart w:id="5439" w:name="_Ref206083999"/>
      <w:r>
        <w:t>Determination of Storage Capacity Rebate</w:t>
      </w:r>
      <w:bookmarkEnd w:id="5439"/>
    </w:p>
    <w:p w14:paraId="1DEED50C" w14:textId="77777777" w:rsidR="00760981" w:rsidRDefault="00760981" w:rsidP="008F660B">
      <w:pPr>
        <w:pStyle w:val="SchedH3"/>
        <w:keepNext/>
        <w:numPr>
          <w:ilvl w:val="3"/>
          <w:numId w:val="91"/>
        </w:numPr>
      </w:pPr>
      <w:bookmarkStart w:id="5440" w:name="_Ref202968752"/>
      <w:r>
        <w:t>Within 20 Business Days after the date on which the Commonwealth receives the Annual Storage Capacity Report in respect of a Support Year, the Commonwealth must:</w:t>
      </w:r>
      <w:bookmarkEnd w:id="5440"/>
      <w:r>
        <w:t xml:space="preserve"> </w:t>
      </w:r>
    </w:p>
    <w:p w14:paraId="6E6FEB9F" w14:textId="77777777" w:rsidR="00760981" w:rsidRDefault="00760981" w:rsidP="00143457">
      <w:pPr>
        <w:pStyle w:val="SchedH4"/>
        <w:numPr>
          <w:ilvl w:val="4"/>
          <w:numId w:val="91"/>
        </w:numPr>
      </w:pPr>
      <w:r>
        <w:t>notify Project Operator that the Commonwealth agrees with the Storage Capacity Rebate set out in the Annual Storage Capacity Report; or</w:t>
      </w:r>
    </w:p>
    <w:p w14:paraId="56AF30CA" w14:textId="77777777" w:rsidR="00760981" w:rsidRDefault="00760981" w:rsidP="00143457">
      <w:pPr>
        <w:pStyle w:val="SchedH4"/>
        <w:numPr>
          <w:ilvl w:val="4"/>
          <w:numId w:val="91"/>
        </w:numPr>
      </w:pPr>
      <w:r>
        <w:t>notify Project Operator that the Commonwealth disputes the Storage Capacity Rebate set out in the Annual Storage Capacity Report.</w:t>
      </w:r>
    </w:p>
    <w:p w14:paraId="19EFA34E" w14:textId="77777777" w:rsidR="00760981" w:rsidRDefault="00760981" w:rsidP="008F660B">
      <w:pPr>
        <w:pStyle w:val="SchedH3"/>
        <w:keepNext/>
        <w:numPr>
          <w:ilvl w:val="3"/>
          <w:numId w:val="91"/>
        </w:numPr>
      </w:pPr>
      <w:r>
        <w:t xml:space="preserve">If: </w:t>
      </w:r>
    </w:p>
    <w:p w14:paraId="1958ACB9" w14:textId="77777777" w:rsidR="00760981" w:rsidRDefault="00760981" w:rsidP="00143457">
      <w:pPr>
        <w:pStyle w:val="SchedH4"/>
        <w:numPr>
          <w:ilvl w:val="4"/>
          <w:numId w:val="91"/>
        </w:numPr>
      </w:pPr>
      <w:r>
        <w:t>the Commonwealth notifies Project Operator that the Commonwealth agrees with the Storage Capacity Rebate set out in the Annual Storage Capacity Report; or</w:t>
      </w:r>
    </w:p>
    <w:p w14:paraId="79E6F052" w14:textId="26DAAB35" w:rsidR="00760981" w:rsidRDefault="00760981" w:rsidP="00143457">
      <w:pPr>
        <w:pStyle w:val="SchedH4"/>
        <w:numPr>
          <w:ilvl w:val="4"/>
          <w:numId w:val="91"/>
        </w:numPr>
      </w:pPr>
      <w:r>
        <w:t>the Commonwealth does not provide any notice under item </w:t>
      </w:r>
      <w:r>
        <w:fldChar w:fldCharType="begin"/>
      </w:r>
      <w:r>
        <w:instrText xml:space="preserve"> REF _Ref206083999 \n \h </w:instrText>
      </w:r>
      <w:r>
        <w:fldChar w:fldCharType="separate"/>
      </w:r>
      <w:r w:rsidR="002E5C6A">
        <w:t>5.1</w:t>
      </w:r>
      <w:r>
        <w:fldChar w:fldCharType="end"/>
      </w:r>
      <w:r>
        <w:fldChar w:fldCharType="begin"/>
      </w:r>
      <w:r>
        <w:instrText xml:space="preserve"> REF _Ref202968752 \n \h </w:instrText>
      </w:r>
      <w:r>
        <w:fldChar w:fldCharType="separate"/>
      </w:r>
      <w:r w:rsidR="002E5C6A">
        <w:t>(a)</w:t>
      </w:r>
      <w:r>
        <w:fldChar w:fldCharType="end"/>
      </w:r>
      <w:r>
        <w:t xml:space="preserve"> within the timeframe required by that item, </w:t>
      </w:r>
    </w:p>
    <w:p w14:paraId="2B9E860E" w14:textId="77777777" w:rsidR="00760981" w:rsidRDefault="00760981" w:rsidP="00143457">
      <w:pPr>
        <w:ind w:left="1474"/>
      </w:pPr>
      <w:r>
        <w:t>the Storage Capacity Rebate set out in the Annual Storage Capacity Report will be binding on the parties.</w:t>
      </w:r>
    </w:p>
    <w:p w14:paraId="7B89A21F" w14:textId="092EEBC4" w:rsidR="00760981" w:rsidRDefault="00760981" w:rsidP="008F660B">
      <w:pPr>
        <w:pStyle w:val="SchedH3"/>
        <w:numPr>
          <w:ilvl w:val="3"/>
          <w:numId w:val="91"/>
        </w:numPr>
      </w:pPr>
      <w:r>
        <w:t xml:space="preserve">If the Commonwealth notifies Project Operator that it disputes the Storage Capacity Rebate, and it wishes to progress the Dispute, it must refer the matter for determination by an Independent Expert under clause </w:t>
      </w:r>
      <w:r>
        <w:fldChar w:fldCharType="begin"/>
      </w:r>
      <w:r>
        <w:instrText xml:space="preserve"> REF _Ref515106310 \r \h  \* MERGEFORMAT </w:instrText>
      </w:r>
      <w:r>
        <w:fldChar w:fldCharType="separate"/>
      </w:r>
      <w:r w:rsidR="002E5C6A">
        <w:t>27.6</w:t>
      </w:r>
      <w:r>
        <w:fldChar w:fldCharType="end"/>
      </w:r>
      <w:r>
        <w:t>.</w:t>
      </w:r>
    </w:p>
    <w:p w14:paraId="6A1D73B3" w14:textId="64490AB6" w:rsidR="00760981" w:rsidRDefault="00760981" w:rsidP="008F660B">
      <w:pPr>
        <w:pStyle w:val="SchedH3"/>
        <w:numPr>
          <w:ilvl w:val="3"/>
          <w:numId w:val="91"/>
        </w:numPr>
      </w:pPr>
      <w:r>
        <w:t xml:space="preserve">If Project Operator fails to provide the Commonwealth with that Annual Storage Capacity Report in accordance with clause </w:t>
      </w:r>
      <w:r>
        <w:fldChar w:fldCharType="begin"/>
      </w:r>
      <w:r>
        <w:instrText xml:space="preserve"> REF _Ref_ContractCompanion_9kb9Ur466 \w \h \t \* MERGEFORMAT </w:instrText>
      </w:r>
      <w:r>
        <w:fldChar w:fldCharType="separate"/>
      </w:r>
      <w:r w:rsidR="002E5C6A">
        <w:t>32.3(b)</w:t>
      </w:r>
      <w:r>
        <w:fldChar w:fldCharType="end"/>
      </w:r>
      <w:r>
        <w:t>, the Commonwealth may at its absolute discretion take any one or more of the following steps:</w:t>
      </w:r>
    </w:p>
    <w:p w14:paraId="06EC7E5C" w14:textId="10A03D12" w:rsidR="00760981" w:rsidRDefault="00760981" w:rsidP="003E5DAD">
      <w:pPr>
        <w:pStyle w:val="SchedH4"/>
        <w:numPr>
          <w:ilvl w:val="4"/>
          <w:numId w:val="91"/>
        </w:numPr>
      </w:pPr>
      <w:r>
        <w:t xml:space="preserve">procure that Annual Storage Capacity Report referred to in item </w:t>
      </w:r>
      <w:r>
        <w:fldChar w:fldCharType="begin"/>
      </w:r>
      <w:r>
        <w:instrText xml:space="preserve"> REF _Ref206083999 \n \h </w:instrText>
      </w:r>
      <w:r>
        <w:fldChar w:fldCharType="separate"/>
      </w:r>
      <w:r w:rsidR="002E5C6A">
        <w:t>5.1</w:t>
      </w:r>
      <w:r>
        <w:fldChar w:fldCharType="end"/>
      </w:r>
      <w:r>
        <w:t xml:space="preserve"> itself, in which case Project Operator must pay the Commonwealth within 20 Business Days after receipt of a request to do so, the costs incurred by the Commonwealth in obtaining that report; </w:t>
      </w:r>
    </w:p>
    <w:p w14:paraId="39B84B37" w14:textId="77777777" w:rsidR="00760981" w:rsidRDefault="00760981" w:rsidP="003E5DAD">
      <w:pPr>
        <w:pStyle w:val="SchedH4"/>
        <w:keepNext/>
        <w:numPr>
          <w:ilvl w:val="4"/>
          <w:numId w:val="91"/>
        </w:numPr>
      </w:pPr>
      <w:r>
        <w:t xml:space="preserve">after providing Project Operator with a notice which allows Project Operator a further 20 Business Days from receipt of that notice to provide the Annual Storage Capacity Report to the Commonwealth, if Project Operator fails to provide that Annual Storage Capacity Report within that further 20 Business Days, the Commonwealth may: </w:t>
      </w:r>
    </w:p>
    <w:p w14:paraId="6E2A54DE" w14:textId="77777777" w:rsidR="00760981" w:rsidRDefault="00760981" w:rsidP="003E5DAD">
      <w:pPr>
        <w:pStyle w:val="SchedH5"/>
        <w:numPr>
          <w:ilvl w:val="5"/>
          <w:numId w:val="91"/>
        </w:numPr>
        <w:tabs>
          <w:tab w:val="clear" w:pos="2948"/>
          <w:tab w:val="num" w:pos="2949"/>
        </w:tabs>
        <w:ind w:left="2949" w:hanging="738"/>
      </w:pPr>
      <w:r>
        <w:t xml:space="preserve">suspend all payments that it is obliged to pay to Project Operator until that Annual Storage Capacity Report is provided to the Commonwealth; or </w:t>
      </w:r>
    </w:p>
    <w:p w14:paraId="6906CB52" w14:textId="181DCD0F" w:rsidR="00760981" w:rsidRDefault="00760981" w:rsidP="003E5DAD">
      <w:pPr>
        <w:pStyle w:val="SchedH5"/>
        <w:numPr>
          <w:ilvl w:val="5"/>
          <w:numId w:val="91"/>
        </w:numPr>
        <w:tabs>
          <w:tab w:val="clear" w:pos="2948"/>
          <w:tab w:val="num" w:pos="2949"/>
        </w:tabs>
        <w:ind w:left="2949" w:hanging="738"/>
      </w:pPr>
      <w:r>
        <w:t xml:space="preserve">terminate this agreement by provision of a further notice to Project Operator, in which case this agreement will terminate on the date set out in that notice and that termination will be deemed to be a termination pursuant to clause </w:t>
      </w:r>
      <w:r>
        <w:fldChar w:fldCharType="begin"/>
      </w:r>
      <w:r>
        <w:instrText xml:space="preserve"> REF _Ref_ContractCompanion_9kb9Ur468 \n \h \t \* MERGEFORMAT </w:instrText>
      </w:r>
      <w:r>
        <w:fldChar w:fldCharType="separate"/>
      </w:r>
      <w:r w:rsidR="002E5C6A">
        <w:t>22.2</w:t>
      </w:r>
      <w:r>
        <w:fldChar w:fldCharType="end"/>
      </w:r>
      <w:r>
        <w:t>.</w:t>
      </w:r>
    </w:p>
    <w:p w14:paraId="44B30099" w14:textId="77777777" w:rsidR="00760981" w:rsidRDefault="00760981" w:rsidP="00760981">
      <w:pPr>
        <w:pStyle w:val="SchedH2"/>
        <w:numPr>
          <w:ilvl w:val="2"/>
          <w:numId w:val="43"/>
        </w:numPr>
        <w:spacing w:before="240"/>
      </w:pPr>
      <w:bookmarkStart w:id="5441" w:name="_Ref202784830"/>
      <w:r>
        <w:t>Calculation of Storage Capacity Rebate</w:t>
      </w:r>
      <w:bookmarkEnd w:id="5441"/>
      <w:r>
        <w:t xml:space="preserve"> </w:t>
      </w:r>
    </w:p>
    <w:p w14:paraId="222AD86F" w14:textId="77777777" w:rsidR="00760981" w:rsidRDefault="00760981" w:rsidP="00760981">
      <w:pPr>
        <w:pStyle w:val="Indent2"/>
        <w:keepNext/>
      </w:pPr>
      <w:r>
        <w:t xml:space="preserve">The </w:t>
      </w:r>
      <w:r w:rsidRPr="00982398">
        <w:t>Storage Capacity Rebate</w:t>
      </w:r>
      <w:r>
        <w:t xml:space="preserve"> [in respect of the Project] for a Support Year is calculated as follows: [</w:t>
      </w:r>
      <w:r>
        <w:rPr>
          <w:b/>
          <w:bCs/>
          <w:i/>
          <w:iCs/>
          <w:highlight w:val="lightGray"/>
        </w:rPr>
        <w:t>Note: words in square brackets to be included for all Staged Projects. The Storage Capacity Rebate will not be payable in respect of the Existing Project.</w:t>
      </w:r>
      <w:r>
        <w:t>]</w:t>
      </w:r>
    </w:p>
    <w:p w14:paraId="60BDCE8C" w14:textId="77777777" w:rsidR="00760981" w:rsidRPr="003775DD" w:rsidRDefault="0057509B" w:rsidP="00760981">
      <w:pPr>
        <w:pStyle w:val="Indent2"/>
        <w:keepNext/>
      </w:pPr>
      <w:sdt>
        <w:sdtPr>
          <w:rPr>
            <w:rFonts w:ascii="Cambria Math" w:hAnsi="Cambria Math"/>
            <w:b/>
            <w:bCs/>
            <w:i/>
          </w:rPr>
          <w:id w:val="-1685120617"/>
          <w:placeholder>
            <w:docPart w:val="33C24E20E2AC4F1096DF01EB6F78291D"/>
          </w:placeholder>
          <w:temporary/>
          <w:equation/>
        </w:sdtPr>
        <w:sdtEndPr>
          <w:rPr>
            <w:b w:val="0"/>
            <w:bCs w:val="0"/>
          </w:rPr>
        </w:sdtEndPr>
        <w:sdtContent>
          <m:oMathPara>
            <m:oMath>
              <m:sSub>
                <m:sSubPr>
                  <m:ctrlPr>
                    <w:rPr>
                      <w:rFonts w:ascii="Cambria Math" w:hAnsi="Cambria Math"/>
                      <w:b/>
                      <w:bCs/>
                      <w:i/>
                    </w:rPr>
                  </m:ctrlPr>
                </m:sSubPr>
                <m:e>
                  <m:r>
                    <m:rPr>
                      <m:sty m:val="p"/>
                    </m:rPr>
                    <w:rPr>
                      <w:rFonts w:ascii="Cambria Math" w:hAnsi="Cambria Math"/>
                    </w:rPr>
                    <m:t>SCR</m:t>
                  </m:r>
                </m:e>
                <m:sub>
                  <m:r>
                    <m:rPr>
                      <m:sty m:val="p"/>
                    </m:rPr>
                    <w:rPr>
                      <w:rFonts w:ascii="Cambria Math" w:hAnsi="Cambria Math"/>
                    </w:rPr>
                    <m:t>SY</m:t>
                  </m:r>
                </m:sub>
              </m:sSub>
              <m:r>
                <m:rPr>
                  <m:sty m:val="p"/>
                </m:rPr>
                <w:rPr>
                  <w:rFonts w:ascii="Cambria Math" w:hAnsi="Cambria Math"/>
                </w:rPr>
                <m:t xml:space="preserve"> = </m:t>
              </m:r>
              <m:sSub>
                <m:sSubPr>
                  <m:ctrlPr>
                    <w:rPr>
                      <w:rFonts w:ascii="Cambria Math" w:hAnsi="Cambria Math"/>
                      <w:b/>
                      <w:bCs/>
                      <w:i/>
                    </w:rPr>
                  </m:ctrlPr>
                </m:sSubPr>
                <m:e>
                  <m:r>
                    <m:rPr>
                      <m:sty m:val="p"/>
                    </m:rPr>
                    <w:rPr>
                      <w:rFonts w:ascii="Cambria Math" w:hAnsi="Cambria Math"/>
                    </w:rPr>
                    <m:t>ASA</m:t>
                  </m:r>
                </m:e>
                <m:sub>
                  <m:r>
                    <m:rPr>
                      <m:sty m:val="p"/>
                    </m:rPr>
                    <w:rPr>
                      <w:rFonts w:ascii="Cambria Math" w:hAnsi="Cambria Math"/>
                    </w:rPr>
                    <m:t>SY</m:t>
                  </m:r>
                </m:sub>
              </m:sSub>
              <m:r>
                <m:rPr>
                  <m:sty m:val="p"/>
                </m:rPr>
                <w:rPr>
                  <w:rFonts w:ascii="Cambria Math" w:hAnsi="Cambria Math"/>
                </w:rPr>
                <m:t xml:space="preserve"> × </m:t>
              </m:r>
              <m:sSub>
                <m:sSubPr>
                  <m:ctrlPr>
                    <w:rPr>
                      <w:rFonts w:ascii="Cambria Math" w:hAnsi="Cambria Math"/>
                      <w:i/>
                    </w:rPr>
                  </m:ctrlPr>
                </m:sSubPr>
                <m:e>
                  <m:r>
                    <m:rPr>
                      <m:sty m:val="p"/>
                    </m:rPr>
                    <w:rPr>
                      <w:rFonts w:ascii="Cambria Math" w:hAnsi="Cambria Math"/>
                    </w:rPr>
                    <m:t>SCP</m:t>
                  </m:r>
                </m:e>
                <m:sub>
                  <m:r>
                    <m:rPr>
                      <m:sty m:val="p"/>
                    </m:rPr>
                    <w:rPr>
                      <w:rFonts w:ascii="Cambria Math" w:hAnsi="Cambria Math"/>
                    </w:rPr>
                    <m:t>SY</m:t>
                  </m:r>
                </m:sub>
              </m:sSub>
            </m:oMath>
          </m:oMathPara>
        </w:sdtContent>
      </w:sdt>
    </w:p>
    <w:p w14:paraId="6CA9C1D9" w14:textId="77777777" w:rsidR="00760981" w:rsidRDefault="00760981" w:rsidP="00760981">
      <w:pPr>
        <w:pStyle w:val="Indent2"/>
        <w:keepNext/>
      </w:pPr>
      <w:r>
        <w:t>where:</w:t>
      </w:r>
    </w:p>
    <w:p w14:paraId="477E9EBD" w14:textId="77777777" w:rsidR="00760981" w:rsidRDefault="00760981" w:rsidP="00760981">
      <w:pPr>
        <w:pStyle w:val="Indent2"/>
        <w:tabs>
          <w:tab w:val="left" w:pos="1588"/>
          <w:tab w:val="left" w:pos="1985"/>
        </w:tabs>
        <w:ind w:left="1588" w:hanging="851"/>
      </w:pPr>
      <w:r>
        <w:rPr>
          <w:b/>
          <w:bCs/>
        </w:rPr>
        <w:t>SCR</w:t>
      </w:r>
      <w:r>
        <w:rPr>
          <w:b/>
          <w:bCs/>
          <w:vertAlign w:val="subscript"/>
        </w:rPr>
        <w:t>SY</w:t>
      </w:r>
      <w:r>
        <w:rPr>
          <w:b/>
          <w:bCs/>
          <w:vertAlign w:val="subscript"/>
        </w:rPr>
        <w:tab/>
      </w:r>
      <w:r>
        <w:t>=</w:t>
      </w:r>
      <w:r>
        <w:tab/>
        <w:t>the Storage Capacity Rebate for the Support Year (in $);</w:t>
      </w:r>
    </w:p>
    <w:p w14:paraId="5F9C8AB4" w14:textId="1ACED479" w:rsidR="00760981" w:rsidRDefault="00760981" w:rsidP="00760981">
      <w:pPr>
        <w:pStyle w:val="Indent2"/>
        <w:tabs>
          <w:tab w:val="left" w:pos="1588"/>
          <w:tab w:val="left" w:pos="1985"/>
        </w:tabs>
        <w:ind w:left="1985" w:hanging="1248"/>
      </w:pPr>
      <w:r>
        <w:rPr>
          <w:b/>
          <w:bCs/>
        </w:rPr>
        <w:t>ASA</w:t>
      </w:r>
      <w:r>
        <w:rPr>
          <w:b/>
          <w:bCs/>
          <w:vertAlign w:val="subscript"/>
        </w:rPr>
        <w:t>SY</w:t>
      </w:r>
      <w:r>
        <w:rPr>
          <w:b/>
          <w:bCs/>
          <w:vertAlign w:val="subscript"/>
        </w:rPr>
        <w:tab/>
      </w:r>
      <w:r>
        <w:t>=</w:t>
      </w:r>
      <w:r>
        <w:tab/>
        <w:t xml:space="preserve">the Annual Support Amount for the relevant Support Year (in $), calculated in accordance with item </w:t>
      </w:r>
      <w:r>
        <w:fldChar w:fldCharType="begin"/>
      </w:r>
      <w:r>
        <w:instrText xml:space="preserve"> REF _Ref206083303 \n \h </w:instrText>
      </w:r>
      <w:r>
        <w:fldChar w:fldCharType="separate"/>
      </w:r>
      <w:r w:rsidR="002E5C6A">
        <w:t>9</w:t>
      </w:r>
      <w:r>
        <w:fldChar w:fldCharType="end"/>
      </w:r>
      <w:r>
        <w:t xml:space="preserve"> (“</w:t>
      </w:r>
      <w:r>
        <w:fldChar w:fldCharType="begin"/>
      </w:r>
      <w:r>
        <w:instrText xml:space="preserve"> REF _Ref206083303 \h </w:instrText>
      </w:r>
      <w:r>
        <w:fldChar w:fldCharType="separate"/>
      </w:r>
      <w:r w:rsidR="002E5C6A">
        <w:t>Calculation of Annual Support Amount</w:t>
      </w:r>
      <w:r>
        <w:fldChar w:fldCharType="end"/>
      </w:r>
      <w:r>
        <w:t xml:space="preserve">”); and </w:t>
      </w:r>
    </w:p>
    <w:p w14:paraId="138217A0" w14:textId="4F26754D" w:rsidR="00760981" w:rsidRDefault="00760981" w:rsidP="00760981">
      <w:pPr>
        <w:pStyle w:val="Indent2"/>
        <w:tabs>
          <w:tab w:val="left" w:pos="1588"/>
          <w:tab w:val="left" w:pos="1985"/>
        </w:tabs>
        <w:ind w:left="1985" w:hanging="1248"/>
      </w:pPr>
      <w:r>
        <w:rPr>
          <w:b/>
          <w:bCs/>
        </w:rPr>
        <w:t>SCP</w:t>
      </w:r>
      <w:r>
        <w:rPr>
          <w:b/>
          <w:bCs/>
          <w:vertAlign w:val="subscript"/>
        </w:rPr>
        <w:t>SY</w:t>
      </w:r>
      <w:r>
        <w:rPr>
          <w:b/>
          <w:bCs/>
          <w:vertAlign w:val="subscript"/>
        </w:rPr>
        <w:tab/>
      </w:r>
      <w:r>
        <w:t>=</w:t>
      </w:r>
      <w:r>
        <w:tab/>
        <w:t xml:space="preserve">the Storage Capacity Rebate Percentage for the Support Year (expressed as a percentage), calculated in accordance with item </w:t>
      </w:r>
      <w:r>
        <w:fldChar w:fldCharType="begin"/>
      </w:r>
      <w:r>
        <w:instrText xml:space="preserve"> REF _Ref202784842 \n \h </w:instrText>
      </w:r>
      <w:r>
        <w:fldChar w:fldCharType="separate"/>
      </w:r>
      <w:r w:rsidR="002E5C6A">
        <w:t>5.3</w:t>
      </w:r>
      <w:r>
        <w:fldChar w:fldCharType="end"/>
      </w:r>
      <w:r>
        <w:t xml:space="preserve"> (“</w:t>
      </w:r>
      <w:r>
        <w:fldChar w:fldCharType="begin"/>
      </w:r>
      <w:r>
        <w:instrText xml:space="preserve"> REF _Ref202784842 \h </w:instrText>
      </w:r>
      <w:r>
        <w:fldChar w:fldCharType="separate"/>
      </w:r>
      <w:r w:rsidR="002E5C6A">
        <w:t>Calculation of Storage Capacity Rebate Percentage</w:t>
      </w:r>
      <w:r>
        <w:fldChar w:fldCharType="end"/>
      </w:r>
      <w:r>
        <w:t>”).</w:t>
      </w:r>
    </w:p>
    <w:p w14:paraId="00D10EC0" w14:textId="77777777" w:rsidR="00760981" w:rsidRDefault="00760981" w:rsidP="005820DA">
      <w:pPr>
        <w:pStyle w:val="SchedH2"/>
        <w:numPr>
          <w:ilvl w:val="2"/>
          <w:numId w:val="43"/>
        </w:numPr>
      </w:pPr>
      <w:bookmarkStart w:id="5442" w:name="_Ref202784842"/>
      <w:r>
        <w:t>Calculation of Storage Capacity Rebate Percentage</w:t>
      </w:r>
      <w:bookmarkEnd w:id="5442"/>
      <w:r>
        <w:t xml:space="preserve"> </w:t>
      </w:r>
    </w:p>
    <w:p w14:paraId="6F2F8303" w14:textId="77777777" w:rsidR="00760981" w:rsidRDefault="00760981" w:rsidP="005820DA">
      <w:pPr>
        <w:pStyle w:val="SchedH3"/>
        <w:keepNext/>
        <w:tabs>
          <w:tab w:val="clear" w:pos="1474"/>
          <w:tab w:val="num" w:pos="2211"/>
        </w:tabs>
      </w:pPr>
      <w:r>
        <w:t xml:space="preserve">The </w:t>
      </w:r>
      <w:r>
        <w:rPr>
          <w:b/>
          <w:bCs/>
        </w:rPr>
        <w:t>Storage Capacity Rebate Percentage</w:t>
      </w:r>
      <w:r>
        <w:t xml:space="preserve"> [in respect of the Project] for a Support Year is calculated as follows: [</w:t>
      </w:r>
      <w:r>
        <w:rPr>
          <w:b/>
          <w:bCs/>
          <w:i/>
          <w:iCs/>
          <w:highlight w:val="lightGray"/>
        </w:rPr>
        <w:t>Note: words in square brackets to be included for all Staged Projects.</w:t>
      </w:r>
      <w:r>
        <w:t>]</w:t>
      </w:r>
    </w:p>
    <w:p w14:paraId="0CC1EAD4" w14:textId="77777777" w:rsidR="00760981" w:rsidRPr="00B46822" w:rsidRDefault="0057509B" w:rsidP="003775DD">
      <w:pPr>
        <w:pStyle w:val="SchedH3"/>
        <w:keepNext/>
        <w:numPr>
          <w:ilvl w:val="0"/>
          <w:numId w:val="0"/>
        </w:numPr>
        <w:ind w:left="737"/>
      </w:pPr>
      <m:oMathPara>
        <m:oMath>
          <m:sSub>
            <m:sSubPr>
              <m:ctrlPr>
                <w:rPr>
                  <w:rFonts w:ascii="Cambria Math" w:hAnsi="Cambria Math"/>
                  <w:i/>
                  <w:sz w:val="22"/>
                  <w:szCs w:val="22"/>
                </w:rPr>
              </m:ctrlPr>
            </m:sSubPr>
            <m:e>
              <m:r>
                <w:rPr>
                  <w:rFonts w:ascii="Cambria Math" w:hAnsi="Cambria Math"/>
                  <w:sz w:val="22"/>
                  <w:szCs w:val="22"/>
                </w:rPr>
                <m:t>SCP</m:t>
              </m:r>
            </m:e>
            <m:sub>
              <m:r>
                <w:rPr>
                  <w:rFonts w:ascii="Cambria Math" w:hAnsi="Cambria Math"/>
                  <w:sz w:val="22"/>
                  <w:szCs w:val="22"/>
                </w:rPr>
                <m:t xml:space="preserve">SY </m:t>
              </m:r>
            </m:sub>
          </m:sSub>
          <m:r>
            <w:rPr>
              <w:rFonts w:ascii="Cambria Math" w:hAnsi="Cambria Math"/>
              <w:sz w:val="22"/>
              <w:szCs w:val="22"/>
            </w:rPr>
            <m:t xml:space="preserve">= </m:t>
          </m:r>
          <m:f>
            <m:fPr>
              <m:ctrlPr>
                <w:rPr>
                  <w:rFonts w:ascii="Cambria Math" w:hAnsi="Cambria Math"/>
                  <w:i/>
                  <w:sz w:val="22"/>
                  <w:szCs w:val="22"/>
                </w:rPr>
              </m:ctrlPr>
            </m:fPr>
            <m:num>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SC</m:t>
                      </m:r>
                    </m:e>
                    <m:sub>
                      <m:r>
                        <w:rPr>
                          <w:rFonts w:ascii="Cambria Math" w:hAnsi="Cambria Math"/>
                          <w:sz w:val="22"/>
                          <w:szCs w:val="22"/>
                        </w:rPr>
                        <m:t>SY</m:t>
                      </m:r>
                    </m:sub>
                  </m:sSub>
                  <m:r>
                    <w:rPr>
                      <w:rFonts w:ascii="Cambria Math" w:hAnsi="Cambria Math"/>
                      <w:sz w:val="22"/>
                      <w:szCs w:val="22"/>
                    </w:rPr>
                    <m:t xml:space="preserve"> -MSOC - </m:t>
                  </m:r>
                  <m:sSub>
                    <m:sSubPr>
                      <m:ctrlPr>
                        <w:rPr>
                          <w:rFonts w:ascii="Cambria Math" w:hAnsi="Cambria Math"/>
                          <w:i/>
                          <w:sz w:val="22"/>
                          <w:szCs w:val="22"/>
                        </w:rPr>
                      </m:ctrlPr>
                    </m:sSubPr>
                    <m:e>
                      <m:r>
                        <w:rPr>
                          <w:rFonts w:ascii="Cambria Math" w:hAnsi="Cambria Math"/>
                          <w:sz w:val="22"/>
                          <w:szCs w:val="22"/>
                        </w:rPr>
                        <m:t>TSC</m:t>
                      </m:r>
                    </m:e>
                    <m:sub>
                      <m:r>
                        <w:rPr>
                          <w:rFonts w:ascii="Cambria Math" w:hAnsi="Cambria Math"/>
                          <w:sz w:val="22"/>
                          <w:szCs w:val="22"/>
                        </w:rPr>
                        <m:t>OY</m:t>
                      </m:r>
                    </m:sub>
                  </m:sSub>
                </m:e>
              </m:d>
            </m:num>
            <m:den>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SC</m:t>
                      </m:r>
                    </m:e>
                    <m:sub>
                      <m:r>
                        <w:rPr>
                          <w:rFonts w:ascii="Cambria Math" w:hAnsi="Cambria Math"/>
                          <w:sz w:val="22"/>
                          <w:szCs w:val="22"/>
                        </w:rPr>
                        <m:t>SY</m:t>
                      </m:r>
                    </m:sub>
                  </m:sSub>
                  <m:r>
                    <w:rPr>
                      <w:rFonts w:ascii="Cambria Math" w:hAnsi="Cambria Math"/>
                      <w:sz w:val="22"/>
                      <w:szCs w:val="22"/>
                    </w:rPr>
                    <m:t xml:space="preserve"> -MSOC</m:t>
                  </m:r>
                </m:e>
              </m:d>
            </m:den>
          </m:f>
        </m:oMath>
      </m:oMathPara>
    </w:p>
    <w:p w14:paraId="56F4D2A3" w14:textId="77777777" w:rsidR="00760981" w:rsidRDefault="00760981" w:rsidP="00760981">
      <w:pPr>
        <w:pStyle w:val="Indent2"/>
        <w:keepNext/>
      </w:pPr>
      <w:r>
        <w:t>where:</w:t>
      </w:r>
    </w:p>
    <w:p w14:paraId="09418EF6" w14:textId="77777777" w:rsidR="00760981" w:rsidRDefault="00760981" w:rsidP="00760981">
      <w:pPr>
        <w:pStyle w:val="Indent2"/>
        <w:tabs>
          <w:tab w:val="left" w:pos="1560"/>
          <w:tab w:val="left" w:pos="1985"/>
        </w:tabs>
        <w:ind w:left="1985" w:hanging="1248"/>
      </w:pPr>
      <w:r>
        <w:rPr>
          <w:b/>
          <w:bCs/>
        </w:rPr>
        <w:t>SCP</w:t>
      </w:r>
      <w:r>
        <w:rPr>
          <w:b/>
          <w:bCs/>
          <w:vertAlign w:val="subscript"/>
        </w:rPr>
        <w:t>SY</w:t>
      </w:r>
      <w:r>
        <w:rPr>
          <w:b/>
          <w:bCs/>
          <w:vertAlign w:val="subscript"/>
        </w:rPr>
        <w:tab/>
      </w:r>
      <w:r>
        <w:t>=</w:t>
      </w:r>
      <w:r>
        <w:tab/>
        <w:t>the Storage Capacity Rebate Percentage for the Support Year (expressed as a percentage);</w:t>
      </w:r>
    </w:p>
    <w:p w14:paraId="33161B61" w14:textId="77777777" w:rsidR="00760981" w:rsidRDefault="00760981" w:rsidP="00760981">
      <w:pPr>
        <w:pStyle w:val="Indent2"/>
        <w:tabs>
          <w:tab w:val="left" w:pos="1560"/>
          <w:tab w:val="left" w:pos="1985"/>
        </w:tabs>
        <w:ind w:left="1985" w:hanging="1248"/>
      </w:pPr>
      <w:r>
        <w:rPr>
          <w:b/>
          <w:bCs/>
        </w:rPr>
        <w:t>SC</w:t>
      </w:r>
      <w:r>
        <w:rPr>
          <w:b/>
          <w:bCs/>
          <w:vertAlign w:val="subscript"/>
        </w:rPr>
        <w:t>SY</w:t>
      </w:r>
      <w:r>
        <w:rPr>
          <w:b/>
          <w:bCs/>
          <w:vertAlign w:val="subscript"/>
        </w:rPr>
        <w:tab/>
      </w:r>
      <w:r>
        <w:t>=</w:t>
      </w:r>
      <w:r>
        <w:tab/>
        <w:t xml:space="preserve">the Storage Capacity for that Support Year; </w:t>
      </w:r>
    </w:p>
    <w:p w14:paraId="722531ED" w14:textId="77777777" w:rsidR="00760981" w:rsidRDefault="00760981" w:rsidP="00760981">
      <w:pPr>
        <w:pStyle w:val="Indent2"/>
        <w:tabs>
          <w:tab w:val="left" w:pos="1560"/>
          <w:tab w:val="left" w:pos="1985"/>
        </w:tabs>
        <w:ind w:left="1985" w:hanging="1248"/>
      </w:pPr>
      <w:r>
        <w:rPr>
          <w:b/>
          <w:bCs/>
        </w:rPr>
        <w:t>MSOC</w:t>
      </w:r>
      <w:r>
        <w:rPr>
          <w:b/>
          <w:bCs/>
        </w:rPr>
        <w:tab/>
      </w:r>
      <w:r>
        <w:t>=</w:t>
      </w:r>
      <w:r>
        <w:tab/>
        <w:t>the Minimum State of Charge; and</w:t>
      </w:r>
    </w:p>
    <w:p w14:paraId="17F93B33" w14:textId="2865867D" w:rsidR="00760981" w:rsidRDefault="00760981" w:rsidP="00760981">
      <w:pPr>
        <w:pStyle w:val="Indent2"/>
        <w:tabs>
          <w:tab w:val="left" w:pos="1560"/>
          <w:tab w:val="left" w:pos="1985"/>
        </w:tabs>
        <w:ind w:left="1985" w:hanging="1248"/>
      </w:pPr>
      <w:r>
        <w:rPr>
          <w:b/>
          <w:bCs/>
        </w:rPr>
        <w:t>TSC</w:t>
      </w:r>
      <w:r>
        <w:rPr>
          <w:b/>
          <w:bCs/>
          <w:vertAlign w:val="subscript"/>
        </w:rPr>
        <w:t>OY</w:t>
      </w:r>
      <w:r>
        <w:rPr>
          <w:b/>
          <w:bCs/>
          <w:vertAlign w:val="subscript"/>
        </w:rPr>
        <w:tab/>
      </w:r>
      <w:r>
        <w:t>=</w:t>
      </w:r>
      <w:r>
        <w:tab/>
        <w:t xml:space="preserve">the Tested Storage Capacity for the Operations Year within which the Support Year falls, as determined under item </w:t>
      </w:r>
      <w:r>
        <w:fldChar w:fldCharType="begin"/>
      </w:r>
      <w:r>
        <w:instrText xml:space="preserve"> REF _Ref206529719 \n \h </w:instrText>
      </w:r>
      <w:r>
        <w:fldChar w:fldCharType="separate"/>
      </w:r>
      <w:r w:rsidR="002E5C6A">
        <w:t>5.4</w:t>
      </w:r>
      <w:r>
        <w:fldChar w:fldCharType="end"/>
      </w:r>
      <w:r>
        <w:t xml:space="preserve"> (“</w:t>
      </w:r>
      <w:r>
        <w:fldChar w:fldCharType="begin"/>
      </w:r>
      <w:r>
        <w:instrText xml:space="preserve"> REF _Ref206529719 \h </w:instrText>
      </w:r>
      <w:r>
        <w:fldChar w:fldCharType="separate"/>
      </w:r>
      <w:r w:rsidR="002E5C6A">
        <w:t>Determination of Tested Storage Capacity</w:t>
      </w:r>
      <w:r>
        <w:fldChar w:fldCharType="end"/>
      </w:r>
      <w:r>
        <w:t>”),</w:t>
      </w:r>
    </w:p>
    <w:p w14:paraId="4F60CECC" w14:textId="77777777" w:rsidR="00760981" w:rsidRDefault="00760981" w:rsidP="00760981">
      <w:pPr>
        <w:pStyle w:val="Indent2"/>
      </w:pPr>
      <w:r>
        <w:t>provided that if the Storage Capacity Rebate Percentage is less than 0% then it will be deemed to be 0%.</w:t>
      </w:r>
    </w:p>
    <w:p w14:paraId="4FEA3596" w14:textId="77777777" w:rsidR="00760981" w:rsidRDefault="00760981" w:rsidP="00760981">
      <w:pPr>
        <w:pStyle w:val="SchedH2"/>
        <w:numPr>
          <w:ilvl w:val="2"/>
          <w:numId w:val="43"/>
        </w:numPr>
      </w:pPr>
      <w:bookmarkStart w:id="5443" w:name="_Ref206529719"/>
      <w:r>
        <w:t>Determination of Tested Storage Capacity</w:t>
      </w:r>
      <w:bookmarkEnd w:id="5443"/>
    </w:p>
    <w:p w14:paraId="67168E49" w14:textId="64DE7923" w:rsidR="00760981" w:rsidRDefault="00760981" w:rsidP="008F660B">
      <w:pPr>
        <w:pStyle w:val="SchedH3"/>
        <w:numPr>
          <w:ilvl w:val="3"/>
          <w:numId w:val="91"/>
        </w:numPr>
      </w:pPr>
      <w:r>
        <w:t xml:space="preserve">Subject to paragraph </w:t>
      </w:r>
      <w:r>
        <w:fldChar w:fldCharType="begin"/>
      </w:r>
      <w:r>
        <w:instrText xml:space="preserve"> REF _Ref191371665 \r \h </w:instrText>
      </w:r>
      <w:r>
        <w:fldChar w:fldCharType="separate"/>
      </w:r>
      <w:r w:rsidR="002E5C6A">
        <w:t>(f)</w:t>
      </w:r>
      <w:r>
        <w:fldChar w:fldCharType="end"/>
      </w:r>
      <w:r>
        <w:t xml:space="preserve">, at or immediately before COD and in the three month period commencing on the last Quarterly Date of each Operations Year after COD, Project Operator must conduct a Storage Capacity [and EP Storage Capacity] test[s] in accordance with this item </w:t>
      </w:r>
      <w:r>
        <w:fldChar w:fldCharType="begin"/>
      </w:r>
      <w:r>
        <w:instrText xml:space="preserve"> REF _Ref206529719 \n \h </w:instrText>
      </w:r>
      <w:r>
        <w:fldChar w:fldCharType="separate"/>
      </w:r>
      <w:r w:rsidR="002E5C6A">
        <w:t>5.4</w:t>
      </w:r>
      <w:r>
        <w:fldChar w:fldCharType="end"/>
      </w:r>
      <w:r>
        <w:t>. [</w:t>
      </w:r>
      <w:r>
        <w:rPr>
          <w:b/>
          <w:i/>
          <w:highlight w:val="lightGray"/>
        </w:rPr>
        <w:t>Note: words in square brackets to be included for all Staged Projects, and the word ‘a’ before Storage Capacity to be removed for all Staged Projects.</w:t>
      </w:r>
      <w:r>
        <w:t xml:space="preserve">]. </w:t>
      </w:r>
    </w:p>
    <w:p w14:paraId="675D7BB5" w14:textId="77777777" w:rsidR="00760981" w:rsidRDefault="00760981" w:rsidP="008F660B">
      <w:pPr>
        <w:pStyle w:val="SchedH3"/>
        <w:numPr>
          <w:ilvl w:val="3"/>
          <w:numId w:val="91"/>
        </w:numPr>
      </w:pPr>
      <w:r>
        <w:t>Project Operator must use reasonable endeavours to undertake the Storage Capacity[ and EP Storage Capacity] test[s] at a time that is likely to maximise revenue.</w:t>
      </w:r>
    </w:p>
    <w:p w14:paraId="085FABE5" w14:textId="77777777" w:rsidR="00760981" w:rsidRDefault="00760981" w:rsidP="008F660B">
      <w:pPr>
        <w:pStyle w:val="SchedH3"/>
        <w:numPr>
          <w:ilvl w:val="3"/>
          <w:numId w:val="91"/>
        </w:numPr>
      </w:pPr>
      <w:r>
        <w:t>During the Storage Capacity [and EP Storage Capacity] test[s]:</w:t>
      </w:r>
    </w:p>
    <w:p w14:paraId="59521B33" w14:textId="7F609440" w:rsidR="00760981" w:rsidRDefault="00760981" w:rsidP="008F660B">
      <w:pPr>
        <w:pStyle w:val="SchedH4"/>
        <w:numPr>
          <w:ilvl w:val="4"/>
          <w:numId w:val="91"/>
        </w:numPr>
        <w:tabs>
          <w:tab w:val="clear" w:pos="2211"/>
          <w:tab w:val="num" w:pos="2948"/>
        </w:tabs>
        <w:ind w:left="2948"/>
      </w:pPr>
      <w:r>
        <w:t xml:space="preserve">Project Operator will charge the Project [and the Existing Project] until it reaches the Storage Capacity [and the EP Storage Capacity (as applicable)] for that Operations Year or the available charge power (as reported by the Project’s [and the Existing Project’s] SCADA system[s]) is zero; </w:t>
      </w:r>
    </w:p>
    <w:p w14:paraId="3DEA5768" w14:textId="335BAAA1" w:rsidR="00760981" w:rsidRDefault="00760981" w:rsidP="008F660B">
      <w:pPr>
        <w:pStyle w:val="SchedH4"/>
        <w:numPr>
          <w:ilvl w:val="4"/>
          <w:numId w:val="91"/>
        </w:numPr>
        <w:tabs>
          <w:tab w:val="clear" w:pos="2211"/>
          <w:tab w:val="num" w:pos="2948"/>
        </w:tabs>
        <w:ind w:left="2948"/>
      </w:pPr>
      <w:r>
        <w:t>Project Operator will then discharge the Project [and the Existing Project] at the Export Capacity [and the EP Export Capacity (respectively)] for that Operations Year until the state of charge (in MWh) of [each of] the Project[ and the Existing Project] is [are] less than or equal to the Minimum State of Charge [and the EP Minimum State of Charge (respectively)</w:t>
      </w:r>
      <w:r w:rsidR="00343AF3">
        <w:t>]</w:t>
      </w:r>
      <w:r>
        <w:t xml:space="preserve">; </w:t>
      </w:r>
    </w:p>
    <w:p w14:paraId="62280F7D" w14:textId="77777777" w:rsidR="00760981" w:rsidRDefault="00760981" w:rsidP="008F660B">
      <w:pPr>
        <w:pStyle w:val="SchedH4"/>
        <w:numPr>
          <w:ilvl w:val="4"/>
          <w:numId w:val="91"/>
        </w:numPr>
        <w:tabs>
          <w:tab w:val="clear" w:pos="2211"/>
          <w:tab w:val="num" w:pos="2948"/>
        </w:tabs>
        <w:ind w:left="2948"/>
      </w:pPr>
      <w:r>
        <w:t>all auxiliary loads must be operating normally and not restricted; and</w:t>
      </w:r>
    </w:p>
    <w:p w14:paraId="35E71F07" w14:textId="51E027F4" w:rsidR="00760981" w:rsidRDefault="00760981" w:rsidP="008F660B">
      <w:pPr>
        <w:pStyle w:val="SchedH4"/>
        <w:numPr>
          <w:ilvl w:val="4"/>
          <w:numId w:val="91"/>
        </w:numPr>
        <w:tabs>
          <w:tab w:val="clear" w:pos="2211"/>
          <w:tab w:val="num" w:pos="2948"/>
        </w:tabs>
        <w:ind w:left="2948"/>
      </w:pPr>
      <w:bookmarkStart w:id="5444" w:name="_Ref206084155"/>
      <w:r>
        <w:t>the ”</w:t>
      </w:r>
      <w:r>
        <w:rPr>
          <w:b/>
          <w:bCs/>
        </w:rPr>
        <w:t>Tested Storage Capacity</w:t>
      </w:r>
      <w:r>
        <w:t xml:space="preserve">” is the quantity of electricity discharged at the Export Capacity by the Project (in MWh) during the Storage Capacity test as measured at the </w:t>
      </w:r>
      <w:r w:rsidR="003775DD">
        <w:t xml:space="preserve">AC side of the </w:t>
      </w:r>
      <w:r>
        <w:t>Measurement Point for the Project.[; and</w:t>
      </w:r>
      <w:bookmarkEnd w:id="5444"/>
    </w:p>
    <w:p w14:paraId="7E9E299A" w14:textId="07D90E20" w:rsidR="00760981" w:rsidRDefault="00760981" w:rsidP="008F660B">
      <w:pPr>
        <w:pStyle w:val="SchedH4"/>
        <w:numPr>
          <w:ilvl w:val="4"/>
          <w:numId w:val="91"/>
        </w:numPr>
        <w:tabs>
          <w:tab w:val="clear" w:pos="2211"/>
          <w:tab w:val="num" w:pos="2948"/>
        </w:tabs>
        <w:ind w:left="2948"/>
      </w:pPr>
      <w:bookmarkStart w:id="5445" w:name="_Ref206084117"/>
      <w:r>
        <w:t>the “</w:t>
      </w:r>
      <w:r>
        <w:rPr>
          <w:b/>
          <w:bCs/>
        </w:rPr>
        <w:t>Tested EP Storage Capacity</w:t>
      </w:r>
      <w:r>
        <w:t xml:space="preserve">” is the quantity of electricity discharged at the EP Export Capacity by the Existing Project (in MWh) during the EP Storage Capacity test as measured at the </w:t>
      </w:r>
      <w:r w:rsidR="003775DD">
        <w:t xml:space="preserve">AC side of the </w:t>
      </w:r>
      <w:r>
        <w:t>Measurement Point for the Existing Project.</w:t>
      </w:r>
      <w:bookmarkEnd w:id="5445"/>
      <w:r>
        <w:t xml:space="preserve">] </w:t>
      </w:r>
    </w:p>
    <w:p w14:paraId="14AF05E3" w14:textId="77777777" w:rsidR="00760981" w:rsidRDefault="00760981" w:rsidP="00760981">
      <w:pPr>
        <w:pStyle w:val="Indent3"/>
      </w:pPr>
      <w:r>
        <w:t>[</w:t>
      </w:r>
      <w:r>
        <w:rPr>
          <w:b/>
          <w:bCs/>
          <w:i/>
          <w:iCs/>
          <w:highlight w:val="lightGray"/>
        </w:rPr>
        <w:t>Note: words in square brackets to be included for all Staged Projects, and the word ‘and’ at the end of paragraph (c)(iv) to be removed.</w:t>
      </w:r>
      <w:r>
        <w:t>]</w:t>
      </w:r>
    </w:p>
    <w:p w14:paraId="1981A292" w14:textId="77777777" w:rsidR="00760981" w:rsidRDefault="00760981" w:rsidP="008F660B">
      <w:pPr>
        <w:pStyle w:val="SchedH3"/>
        <w:numPr>
          <w:ilvl w:val="3"/>
          <w:numId w:val="91"/>
        </w:numPr>
      </w:pPr>
      <w:r>
        <w:t xml:space="preserve">No adjustments will be made for ambient temperature. </w:t>
      </w:r>
      <w:r w:rsidRPr="00982398">
        <w:t>[</w:t>
      </w:r>
      <w:r>
        <w:rPr>
          <w:b/>
          <w:bCs/>
          <w:i/>
          <w:iCs/>
          <w:highlight w:val="lightGray"/>
        </w:rPr>
        <w:t>Note: given Project Operator has a three month window to run the test it is not proposed to include testing conditions / limitations on the basis that Project Operator can choose one or more times to run the test when conditions are appropriate.</w:t>
      </w:r>
      <w:r w:rsidRPr="00982398">
        <w:t>]</w:t>
      </w:r>
    </w:p>
    <w:p w14:paraId="1D466AFF" w14:textId="77777777" w:rsidR="00760981" w:rsidRDefault="00760981" w:rsidP="008F660B">
      <w:pPr>
        <w:pStyle w:val="SchedH3"/>
        <w:numPr>
          <w:ilvl w:val="3"/>
          <w:numId w:val="91"/>
        </w:numPr>
      </w:pPr>
      <w:r>
        <w:t>Project Operator must include full details of the Storage Capacity test in the Annual Storage Capacity Report, including:</w:t>
      </w:r>
    </w:p>
    <w:p w14:paraId="318375B4" w14:textId="77777777" w:rsidR="00760981" w:rsidRDefault="00760981" w:rsidP="003E5DAD">
      <w:pPr>
        <w:pStyle w:val="SchedH4"/>
        <w:numPr>
          <w:ilvl w:val="4"/>
          <w:numId w:val="91"/>
        </w:numPr>
      </w:pPr>
      <w:r>
        <w:t>the ambient temperature;</w:t>
      </w:r>
    </w:p>
    <w:p w14:paraId="1B4755A8" w14:textId="77777777" w:rsidR="00760981" w:rsidRDefault="00760981" w:rsidP="003E5DAD">
      <w:pPr>
        <w:pStyle w:val="SchedH4"/>
        <w:numPr>
          <w:ilvl w:val="4"/>
          <w:numId w:val="91"/>
        </w:numPr>
      </w:pPr>
      <w:r>
        <w:t>the power at the Measurement Point for the Project[ and the Measurement Point for the Existing Project] during the Storage Capacity[ and EP Storage Capacity] test[s];</w:t>
      </w:r>
    </w:p>
    <w:p w14:paraId="1AADCAA7" w14:textId="77777777" w:rsidR="00760981" w:rsidRDefault="00760981" w:rsidP="003E5DAD">
      <w:pPr>
        <w:pStyle w:val="SchedH4"/>
        <w:numPr>
          <w:ilvl w:val="4"/>
          <w:numId w:val="91"/>
        </w:numPr>
      </w:pPr>
      <w:r>
        <w:t>auxiliary load use;</w:t>
      </w:r>
    </w:p>
    <w:p w14:paraId="18441A20" w14:textId="77777777" w:rsidR="00760981" w:rsidRDefault="00760981" w:rsidP="003E5DAD">
      <w:pPr>
        <w:pStyle w:val="SchedH4"/>
        <w:numPr>
          <w:ilvl w:val="4"/>
          <w:numId w:val="91"/>
        </w:numPr>
      </w:pPr>
      <w:r>
        <w:t xml:space="preserve">the state of charge during the </w:t>
      </w:r>
      <w:r w:rsidRPr="00282549">
        <w:t>Storage Capacity[and EP Storage Capacity] test[s]</w:t>
      </w:r>
      <w:r>
        <w:t xml:space="preserve"> for [each of] the Project[ and the Existing Project (respectively)] conducted at or immediately before COD; and</w:t>
      </w:r>
    </w:p>
    <w:p w14:paraId="07AAEC9C" w14:textId="77777777" w:rsidR="00760981" w:rsidRDefault="00760981" w:rsidP="003E5DAD">
      <w:pPr>
        <w:pStyle w:val="SchedH4"/>
        <w:numPr>
          <w:ilvl w:val="4"/>
          <w:numId w:val="91"/>
        </w:numPr>
      </w:pPr>
      <w:r>
        <w:t>the Tested Storage Capacity[ and the Tested EP Storage Capacity]. [</w:t>
      </w:r>
      <w:r>
        <w:rPr>
          <w:b/>
          <w:bCs/>
          <w:i/>
          <w:iCs/>
          <w:highlight w:val="lightGray"/>
        </w:rPr>
        <w:t>Note: words in square brackets to be included for all Staged Projects.]</w:t>
      </w:r>
    </w:p>
    <w:p w14:paraId="4343CBE0" w14:textId="77777777" w:rsidR="00760981" w:rsidRDefault="00760981" w:rsidP="008F660B">
      <w:pPr>
        <w:pStyle w:val="SchedH3"/>
        <w:numPr>
          <w:ilvl w:val="3"/>
          <w:numId w:val="91"/>
        </w:numPr>
      </w:pPr>
      <w:bookmarkStart w:id="5446" w:name="_Ref191371665"/>
      <w:r>
        <w:t>If the Commonwealth determines (acting reasonably) that a Project Force Majeure Event has materially impacted the Storage Capacity of the Project[, or the EP Storage Capacity of the Existing Project] for the entire three month period commencing on the last Quarterly Date of an Operations Year, Project Operator must conduct the Storage Capacity test [or EP Storage Capacity Test (as applicable)] as soon as practicable after the Project Force Majeure Event ends.</w:t>
      </w:r>
      <w:bookmarkEnd w:id="5446"/>
    </w:p>
    <w:p w14:paraId="1AF13ADA" w14:textId="77777777" w:rsidR="00760981" w:rsidRDefault="00760981" w:rsidP="00760981">
      <w:pPr>
        <w:pStyle w:val="Indent2"/>
      </w:pPr>
      <w:r>
        <w:t>[</w:t>
      </w:r>
      <w:r>
        <w:rPr>
          <w:b/>
          <w:bCs/>
          <w:i/>
          <w:iCs/>
          <w:highlight w:val="lightGray"/>
        </w:rPr>
        <w:t>Note: words in square brackets to be included for all Staged Projects.</w:t>
      </w:r>
      <w:r>
        <w:t>] [</w:t>
      </w:r>
      <w:r>
        <w:rPr>
          <w:b/>
          <w:bCs/>
          <w:i/>
          <w:iCs/>
          <w:highlight w:val="lightGray"/>
        </w:rPr>
        <w:t>Note: see agreement cover note regarding Non-Storage Projects</w:t>
      </w:r>
      <w:r>
        <w:rPr>
          <w:b/>
          <w:bCs/>
          <w:i/>
          <w:iCs/>
        </w:rPr>
        <w:t>.</w:t>
      </w:r>
      <w:r>
        <w:t>]</w:t>
      </w:r>
    </w:p>
    <w:p w14:paraId="336B74F1" w14:textId="77777777" w:rsidR="00760981" w:rsidRDefault="00760981" w:rsidP="003E5DAD">
      <w:pPr>
        <w:pStyle w:val="SchedH1"/>
        <w:numPr>
          <w:ilvl w:val="1"/>
          <w:numId w:val="91"/>
        </w:numPr>
      </w:pPr>
      <w:bookmarkStart w:id="5447" w:name="_Ref202789644"/>
      <w:r>
        <w:t>Annual Reconciliation Payment</w:t>
      </w:r>
      <w:bookmarkEnd w:id="5447"/>
      <w:r>
        <w:t xml:space="preserve"> </w:t>
      </w:r>
    </w:p>
    <w:p w14:paraId="3C7220C9" w14:textId="77777777" w:rsidR="00760981" w:rsidRDefault="00760981" w:rsidP="003E5DAD">
      <w:pPr>
        <w:pStyle w:val="SchedH2"/>
        <w:numPr>
          <w:ilvl w:val="2"/>
          <w:numId w:val="91"/>
        </w:numPr>
      </w:pPr>
      <w:r>
        <w:t>Annual Reconciliation Payment Calculation</w:t>
      </w:r>
    </w:p>
    <w:p w14:paraId="016093B1" w14:textId="31474263" w:rsidR="00760981" w:rsidRDefault="00760981" w:rsidP="003E5DAD">
      <w:pPr>
        <w:pStyle w:val="SchedH3"/>
        <w:keepNext/>
        <w:numPr>
          <w:ilvl w:val="3"/>
          <w:numId w:val="43"/>
        </w:numPr>
        <w:tabs>
          <w:tab w:val="clear" w:pos="737"/>
        </w:tabs>
        <w:ind w:left="1474"/>
      </w:pPr>
      <w:r>
        <w:t xml:space="preserve">The </w:t>
      </w:r>
      <w:r w:rsidRPr="00982398">
        <w:t>Annual Reconciliation Payment</w:t>
      </w:r>
      <w:r>
        <w:t xml:space="preserve"> for the relevant Support Year is payable in accordance with </w:t>
      </w:r>
      <w:r w:rsidRPr="007C4604">
        <w:t xml:space="preserve">clause </w:t>
      </w:r>
      <w:r w:rsidRPr="007C4604">
        <w:fldChar w:fldCharType="begin"/>
      </w:r>
      <w:r w:rsidRPr="007C4604">
        <w:instrText xml:space="preserve"> REF _Ref467049795 \w \h </w:instrText>
      </w:r>
      <w:r w:rsidRPr="00C118BA">
        <w:instrText xml:space="preserve"> \* MERGEFORMAT </w:instrText>
      </w:r>
      <w:r w:rsidRPr="007C4604">
        <w:fldChar w:fldCharType="separate"/>
      </w:r>
      <w:r w:rsidR="002E5C6A">
        <w:t>16</w:t>
      </w:r>
      <w:r w:rsidRPr="007C4604">
        <w:fldChar w:fldCharType="end"/>
      </w:r>
      <w:r w:rsidRPr="00C118BA">
        <w:t xml:space="preserve"> </w:t>
      </w:r>
      <w:r w:rsidRPr="007C4604">
        <w:t>(“</w:t>
      </w:r>
      <w:r w:rsidRPr="007C4604">
        <w:fldChar w:fldCharType="begin"/>
      </w:r>
      <w:r w:rsidRPr="007C4604">
        <w:instrText xml:space="preserve"> REF _Ref467049795 \h </w:instrText>
      </w:r>
      <w:r w:rsidRPr="00C118BA">
        <w:instrText xml:space="preserve"> \* MERGEFORMAT </w:instrText>
      </w:r>
      <w:r w:rsidRPr="007C4604">
        <w:fldChar w:fldCharType="separate"/>
      </w:r>
      <w:r w:rsidR="002E5C6A">
        <w:t>Billing and payment</w:t>
      </w:r>
      <w:r w:rsidRPr="007C4604">
        <w:fldChar w:fldCharType="end"/>
      </w:r>
      <w:r w:rsidRPr="007C4604">
        <w:t>”)</w:t>
      </w:r>
      <w:r>
        <w:t xml:space="preserve"> as follows:</w:t>
      </w:r>
    </w:p>
    <w:p w14:paraId="710EAA84" w14:textId="77777777" w:rsidR="00760981" w:rsidRDefault="00760981" w:rsidP="003E5DAD">
      <w:pPr>
        <w:pStyle w:val="SchedH4"/>
        <w:numPr>
          <w:ilvl w:val="4"/>
          <w:numId w:val="91"/>
        </w:numPr>
      </w:pPr>
      <w:r>
        <w:t xml:space="preserve">if the Annual Reconciliation Payment is a positive number, the Commonwealth must pay the Annual Reconciliation Payment to Project Operator; and </w:t>
      </w:r>
    </w:p>
    <w:p w14:paraId="5AB07327" w14:textId="77777777" w:rsidR="00760981" w:rsidRDefault="00760981" w:rsidP="003E5DAD">
      <w:pPr>
        <w:pStyle w:val="SchedH4"/>
        <w:numPr>
          <w:ilvl w:val="4"/>
          <w:numId w:val="91"/>
        </w:numPr>
      </w:pPr>
      <w:r>
        <w:t xml:space="preserve">if the Annual Reconciliation Payment is a negative number, Project Operator must pay the absolute value of the Annual Reconciliation Payment to the Commonwealth. </w:t>
      </w:r>
    </w:p>
    <w:p w14:paraId="3E3E8572" w14:textId="77777777" w:rsidR="00760981" w:rsidRDefault="00760981" w:rsidP="00760981">
      <w:pPr>
        <w:pStyle w:val="SchedH3"/>
        <w:keepNext/>
        <w:numPr>
          <w:ilvl w:val="3"/>
          <w:numId w:val="43"/>
        </w:numPr>
        <w:tabs>
          <w:tab w:val="clear" w:pos="737"/>
        </w:tabs>
        <w:ind w:left="1474"/>
      </w:pPr>
      <w:r>
        <w:t xml:space="preserve">The </w:t>
      </w:r>
      <w:r>
        <w:rPr>
          <w:b/>
          <w:bCs/>
        </w:rPr>
        <w:t>“</w:t>
      </w:r>
      <w:r w:rsidRPr="00507B20">
        <w:rPr>
          <w:b/>
        </w:rPr>
        <w:t>Annual Reconciliation Payment</w:t>
      </w:r>
      <w:r>
        <w:t>” for each Support Year during the Support Period is calculated as follows:</w:t>
      </w:r>
    </w:p>
    <w:p w14:paraId="7F923DED" w14:textId="77777777" w:rsidR="00760981" w:rsidRPr="00343AF3" w:rsidRDefault="0057509B" w:rsidP="008F660B">
      <w:pPr>
        <w:pStyle w:val="SchedH3"/>
        <w:keepNext/>
        <w:numPr>
          <w:ilvl w:val="0"/>
          <w:numId w:val="0"/>
        </w:numPr>
        <w:ind w:left="1474"/>
      </w:pPr>
      <m:oMathPara>
        <m:oMathParaPr>
          <m:jc m:val="center"/>
        </m:oMathParaPr>
        <m:oMath>
          <m:sSub>
            <m:sSubPr>
              <m:ctrlPr>
                <w:rPr>
                  <w:rFonts w:ascii="Cambria Math" w:hAnsi="Cambria Math"/>
                  <w:i/>
                </w:rPr>
              </m:ctrlPr>
            </m:sSubPr>
            <m:e>
              <m:r>
                <w:rPr>
                  <w:rFonts w:ascii="Cambria Math" w:hAnsi="Cambria Math"/>
                </w:rPr>
                <m:t>ARP</m:t>
              </m:r>
            </m:e>
            <m:sub>
              <m:r>
                <w:rPr>
                  <w:rFonts w:ascii="Cambria Math" w:hAnsi="Cambria Math"/>
                </w:rPr>
                <m:t>SY</m:t>
              </m:r>
            </m:sub>
          </m:sSub>
          <m:r>
            <w:rPr>
              <w:rFonts w:ascii="Cambria Math" w:hAnsi="Cambria Math"/>
            </w:rPr>
            <m:t xml:space="preserve"> = </m:t>
          </m:r>
          <m:sSub>
            <m:sSubPr>
              <m:ctrlPr>
                <w:rPr>
                  <w:rFonts w:ascii="Cambria Math" w:hAnsi="Cambria Math"/>
                  <w:i/>
                </w:rPr>
              </m:ctrlPr>
            </m:sSubPr>
            <m:e>
              <m:r>
                <w:rPr>
                  <w:rFonts w:ascii="Cambria Math" w:hAnsi="Cambria Math"/>
                </w:rPr>
                <m:t>NAP</m:t>
              </m:r>
            </m:e>
            <m:sub>
              <m:r>
                <w:rPr>
                  <w:rFonts w:ascii="Cambria Math" w:hAnsi="Cambria Math"/>
                </w:rPr>
                <m:t>SY</m:t>
              </m:r>
            </m:sub>
          </m:sSub>
          <m:r>
            <w:rPr>
              <w:rFonts w:ascii="Cambria Math" w:hAnsi="Cambria Math"/>
            </w:rPr>
            <m:t xml:space="preserve"> - Σ</m:t>
          </m:r>
          <m:sSub>
            <m:sSubPr>
              <m:ctrlPr>
                <w:rPr>
                  <w:rFonts w:ascii="Cambria Math" w:hAnsi="Cambria Math"/>
                  <w:i/>
                </w:rPr>
              </m:ctrlPr>
            </m:sSubPr>
            <m:e>
              <m:r>
                <w:rPr>
                  <w:rFonts w:ascii="Cambria Math" w:hAnsi="Cambria Math"/>
                </w:rPr>
                <m:t>QPA</m:t>
              </m:r>
            </m:e>
            <m:sub>
              <m:r>
                <w:rPr>
                  <w:rFonts w:ascii="Cambria Math" w:hAnsi="Cambria Math"/>
                </w:rPr>
                <m:t>Q</m:t>
              </m:r>
            </m:sub>
          </m:sSub>
        </m:oMath>
      </m:oMathPara>
    </w:p>
    <w:p w14:paraId="285EB34C" w14:textId="77777777" w:rsidR="00760981" w:rsidRDefault="00760981" w:rsidP="00760981">
      <w:pPr>
        <w:pStyle w:val="Indent3"/>
        <w:keepNext/>
      </w:pPr>
      <w:r>
        <w:t>where:</w:t>
      </w:r>
    </w:p>
    <w:p w14:paraId="54112A5F" w14:textId="77777777" w:rsidR="00760981" w:rsidRDefault="00760981" w:rsidP="00760981">
      <w:pPr>
        <w:pStyle w:val="Indent3"/>
        <w:tabs>
          <w:tab w:val="left" w:pos="1985"/>
          <w:tab w:val="left" w:pos="2381"/>
        </w:tabs>
        <w:ind w:left="2381" w:hanging="907"/>
      </w:pPr>
      <w:r>
        <w:rPr>
          <w:b/>
          <w:bCs/>
        </w:rPr>
        <w:t>ARP</w:t>
      </w:r>
      <w:r>
        <w:rPr>
          <w:b/>
          <w:bCs/>
          <w:vertAlign w:val="subscript"/>
        </w:rPr>
        <w:t>SY</w:t>
      </w:r>
      <w:r>
        <w:rPr>
          <w:b/>
          <w:bCs/>
          <w:vertAlign w:val="subscript"/>
        </w:rPr>
        <w:tab/>
      </w:r>
      <w:r>
        <w:rPr>
          <w:b/>
          <w:bCs/>
          <w:vertAlign w:val="subscript"/>
        </w:rPr>
        <w:tab/>
      </w:r>
      <w:r>
        <w:t>= the Annual Reconciliation Payment for the relevant Support Year;</w:t>
      </w:r>
    </w:p>
    <w:p w14:paraId="31936E75" w14:textId="57848245" w:rsidR="00760981" w:rsidRDefault="00760981" w:rsidP="00760981">
      <w:pPr>
        <w:pStyle w:val="Indent3"/>
        <w:tabs>
          <w:tab w:val="left" w:pos="1985"/>
          <w:tab w:val="left" w:pos="2381"/>
        </w:tabs>
        <w:ind w:left="2381" w:hanging="907"/>
      </w:pPr>
      <w:r>
        <w:rPr>
          <w:b/>
          <w:bCs/>
        </w:rPr>
        <w:t>NAP</w:t>
      </w:r>
      <w:r>
        <w:rPr>
          <w:b/>
          <w:bCs/>
          <w:vertAlign w:val="subscript"/>
        </w:rPr>
        <w:t>SY</w:t>
      </w:r>
      <w:r>
        <w:rPr>
          <w:b/>
          <w:bCs/>
          <w:vertAlign w:val="subscript"/>
        </w:rPr>
        <w:tab/>
      </w:r>
      <w:r>
        <w:t xml:space="preserve">= the Net Annual Payment for the relevant Support Year calculated in accordance with item </w:t>
      </w:r>
      <w:r>
        <w:fldChar w:fldCharType="begin"/>
      </w:r>
      <w:r>
        <w:instrText xml:space="preserve"> REF _Ref206083367 \n \h </w:instrText>
      </w:r>
      <w:r>
        <w:fldChar w:fldCharType="separate"/>
      </w:r>
      <w:r w:rsidR="002E5C6A">
        <w:t>7</w:t>
      </w:r>
      <w:r>
        <w:fldChar w:fldCharType="end"/>
      </w:r>
      <w:r>
        <w:t xml:space="preserve"> (“</w:t>
      </w:r>
      <w:r>
        <w:fldChar w:fldCharType="begin"/>
      </w:r>
      <w:r>
        <w:instrText xml:space="preserve"> REF _Ref206083367 \h </w:instrText>
      </w:r>
      <w:r>
        <w:fldChar w:fldCharType="separate"/>
      </w:r>
      <w:r w:rsidR="002E5C6A">
        <w:t>Calculation of Net Annual Payment</w:t>
      </w:r>
      <w:r>
        <w:fldChar w:fldCharType="end"/>
      </w:r>
      <w:r>
        <w:t>”); and</w:t>
      </w:r>
    </w:p>
    <w:p w14:paraId="00014038" w14:textId="0488AF6A" w:rsidR="00760981" w:rsidRDefault="00760981" w:rsidP="00760981">
      <w:pPr>
        <w:pStyle w:val="Indent3"/>
        <w:tabs>
          <w:tab w:val="left" w:pos="1985"/>
          <w:tab w:val="left" w:pos="2381"/>
        </w:tabs>
        <w:ind w:left="2381" w:hanging="907"/>
      </w:pPr>
      <w:r>
        <w:rPr>
          <w:b/>
          <w:bCs/>
        </w:rPr>
        <w:t>∑ QPA</w:t>
      </w:r>
      <w:r w:rsidR="00597F22">
        <w:rPr>
          <w:b/>
          <w:bCs/>
          <w:vertAlign w:val="subscript"/>
        </w:rPr>
        <w:t>Q</w:t>
      </w:r>
      <w:r>
        <w:rPr>
          <w:b/>
          <w:bCs/>
          <w:vertAlign w:val="subscript"/>
        </w:rPr>
        <w:tab/>
      </w:r>
      <w:r>
        <w:t xml:space="preserve">= the sum of the Quarterly Payment Amounts for the first three Quarters of the relevant Support Year, being all Quarterly Payment Amounts paid by the Commonwealth to Project Operator, less any Quarterly Payment Amounts paid by Project Operator to the Commonwealth during this period. </w:t>
      </w:r>
    </w:p>
    <w:p w14:paraId="4B096348" w14:textId="77777777" w:rsidR="00760981" w:rsidRDefault="00760981" w:rsidP="008F660B">
      <w:pPr>
        <w:pStyle w:val="SchedH1"/>
        <w:numPr>
          <w:ilvl w:val="1"/>
          <w:numId w:val="91"/>
        </w:numPr>
      </w:pPr>
      <w:bookmarkStart w:id="5448" w:name="_Ref206083367"/>
      <w:r>
        <w:t>Calculation of Net Annual Payment</w:t>
      </w:r>
      <w:bookmarkEnd w:id="5448"/>
    </w:p>
    <w:p w14:paraId="4232B12D" w14:textId="77777777" w:rsidR="00760981" w:rsidRDefault="00760981" w:rsidP="00760981">
      <w:pPr>
        <w:pStyle w:val="Indent2"/>
        <w:keepNext/>
      </w:pPr>
      <w:r>
        <w:t>The “</w:t>
      </w:r>
      <w:r>
        <w:rPr>
          <w:b/>
          <w:bCs/>
        </w:rPr>
        <w:t>Net Annual Payment</w:t>
      </w:r>
      <w:r>
        <w:t>” for each Support Year during the Support Period is calculated as follows:</w:t>
      </w:r>
    </w:p>
    <w:p w14:paraId="2DC3E1E4" w14:textId="6CD43C4C" w:rsidR="00760981" w:rsidRPr="008F660B" w:rsidRDefault="0057509B" w:rsidP="008F660B">
      <w:pPr>
        <w:pStyle w:val="SchedH3"/>
        <w:keepNext/>
        <w:numPr>
          <w:ilvl w:val="0"/>
          <w:numId w:val="0"/>
        </w:numPr>
        <w:ind w:left="737"/>
      </w:pPr>
      <m:oMathPara>
        <m:oMath>
          <m:sSub>
            <m:sSubPr>
              <m:ctrlPr>
                <w:rPr>
                  <w:rFonts w:ascii="Cambria Math" w:hAnsi="Cambria Math"/>
                  <w:i/>
                  <w:sz w:val="22"/>
                  <w:szCs w:val="22"/>
                </w:rPr>
              </m:ctrlPr>
            </m:sSubPr>
            <m:e>
              <m:r>
                <w:rPr>
                  <w:rFonts w:ascii="Cambria Math" w:hAnsi="Cambria Math"/>
                  <w:sz w:val="22"/>
                  <w:szCs w:val="22"/>
                </w:rPr>
                <m:t>NAP</m:t>
              </m:r>
            </m:e>
            <m:sub>
              <m:r>
                <w:rPr>
                  <w:rFonts w:ascii="Cambria Math" w:hAnsi="Cambria Math"/>
                  <w:sz w:val="22"/>
                  <w:szCs w:val="22"/>
                </w:rPr>
                <m:t>SY</m:t>
              </m:r>
            </m:sub>
          </m:sSub>
          <m:r>
            <w:rPr>
              <w:rFonts w:ascii="Cambria Math" w:hAnsi="Cambria Math"/>
              <w:sz w:val="22"/>
              <w:szCs w:val="22"/>
            </w:rPr>
            <m:t xml:space="preserve"> = </m:t>
          </m:r>
          <m:sSub>
            <m:sSubPr>
              <m:ctrlPr>
                <w:rPr>
                  <w:rFonts w:ascii="Cambria Math" w:hAnsi="Cambria Math"/>
                  <w:i/>
                  <w:sz w:val="22"/>
                  <w:szCs w:val="22"/>
                </w:rPr>
              </m:ctrlPr>
            </m:sSubPr>
            <m:e>
              <m:r>
                <w:rPr>
                  <w:rFonts w:ascii="Cambria Math" w:hAnsi="Cambria Math"/>
                  <w:sz w:val="22"/>
                  <w:szCs w:val="22"/>
                </w:rPr>
                <m:t>ASA</m:t>
              </m:r>
            </m:e>
            <m:sub>
              <m:r>
                <w:rPr>
                  <w:rFonts w:ascii="Cambria Math" w:hAnsi="Cambria Math"/>
                  <w:sz w:val="22"/>
                  <w:szCs w:val="22"/>
                </w:rPr>
                <m:t>SY</m:t>
              </m:r>
            </m:sub>
          </m:sSub>
          <m:r>
            <w:rPr>
              <w:rFonts w:ascii="Cambria Math" w:hAnsi="Cambria Math"/>
              <w:sz w:val="22"/>
              <w:szCs w:val="22"/>
            </w:rPr>
            <m:t xml:space="preserve"> - </m:t>
          </m:r>
          <m:sSub>
            <m:sSubPr>
              <m:ctrlPr>
                <w:rPr>
                  <w:rFonts w:ascii="Cambria Math" w:hAnsi="Cambria Math"/>
                  <w:i/>
                  <w:sz w:val="22"/>
                  <w:szCs w:val="22"/>
                </w:rPr>
              </m:ctrlPr>
            </m:sSubPr>
            <m:e>
              <m:r>
                <w:rPr>
                  <w:rFonts w:ascii="Cambria Math" w:hAnsi="Cambria Math"/>
                  <w:sz w:val="22"/>
                  <w:szCs w:val="22"/>
                </w:rPr>
                <m:t>ARS</m:t>
              </m:r>
            </m:e>
            <m:sub>
              <m:r>
                <w:rPr>
                  <w:rFonts w:ascii="Cambria Math" w:hAnsi="Cambria Math"/>
                  <w:sz w:val="22"/>
                  <w:szCs w:val="22"/>
                </w:rPr>
                <m:t>SY</m:t>
              </m:r>
            </m:sub>
          </m:sSub>
          <m:r>
            <w:rPr>
              <w:rFonts w:ascii="Cambria Math" w:hAnsi="Cambria Math"/>
              <w:sz w:val="22"/>
              <w:szCs w:val="22"/>
            </w:rPr>
            <m:t xml:space="preserve"> - </m:t>
          </m:r>
          <m:sSub>
            <m:sSubPr>
              <m:ctrlPr>
                <w:rPr>
                  <w:rFonts w:ascii="Cambria Math" w:hAnsi="Cambria Math"/>
                  <w:i/>
                  <w:sz w:val="22"/>
                  <w:szCs w:val="22"/>
                </w:rPr>
              </m:ctrlPr>
            </m:sSubPr>
            <m:e>
              <m:r>
                <w:rPr>
                  <w:rFonts w:ascii="Cambria Math" w:hAnsi="Cambria Math"/>
                  <w:sz w:val="22"/>
                  <w:szCs w:val="22"/>
                </w:rPr>
                <m:t>AAR</m:t>
              </m:r>
            </m:e>
            <m:sub>
              <m:r>
                <w:rPr>
                  <w:rFonts w:ascii="Cambria Math" w:hAnsi="Cambria Math"/>
                  <w:sz w:val="22"/>
                  <w:szCs w:val="22"/>
                </w:rPr>
                <m:t>SY</m:t>
              </m:r>
            </m:sub>
          </m:sSub>
        </m:oMath>
      </m:oMathPara>
    </w:p>
    <w:p w14:paraId="4EBDB9CD" w14:textId="77777777" w:rsidR="00760981" w:rsidRDefault="00760981" w:rsidP="00760981">
      <w:pPr>
        <w:pStyle w:val="Indent2"/>
        <w:keepNext/>
      </w:pPr>
      <w:r>
        <w:t>where:</w:t>
      </w:r>
    </w:p>
    <w:p w14:paraId="5F8DBC5F" w14:textId="77777777" w:rsidR="00760981" w:rsidRDefault="00760981" w:rsidP="00760981">
      <w:pPr>
        <w:pStyle w:val="Indent2"/>
        <w:tabs>
          <w:tab w:val="left" w:pos="1247"/>
          <w:tab w:val="left" w:pos="1701"/>
        </w:tabs>
      </w:pPr>
      <w:r>
        <w:rPr>
          <w:b/>
          <w:bCs/>
        </w:rPr>
        <w:t>NAP</w:t>
      </w:r>
      <w:r>
        <w:rPr>
          <w:b/>
          <w:bCs/>
          <w:vertAlign w:val="subscript"/>
        </w:rPr>
        <w:t>SY</w:t>
      </w:r>
      <w:r>
        <w:rPr>
          <w:b/>
          <w:bCs/>
          <w:vertAlign w:val="subscript"/>
        </w:rPr>
        <w:tab/>
      </w:r>
      <w:r>
        <w:t>= the Net Annual Payment for the relevant Support Year;</w:t>
      </w:r>
    </w:p>
    <w:p w14:paraId="5B806C9D" w14:textId="50647FD4" w:rsidR="00760981" w:rsidRDefault="00760981" w:rsidP="00760981">
      <w:pPr>
        <w:pStyle w:val="Indent2"/>
        <w:tabs>
          <w:tab w:val="left" w:pos="1247"/>
          <w:tab w:val="left" w:pos="1701"/>
        </w:tabs>
        <w:ind w:left="1701" w:hanging="964"/>
      </w:pPr>
      <w:r>
        <w:rPr>
          <w:b/>
          <w:bCs/>
        </w:rPr>
        <w:t>ASA</w:t>
      </w:r>
      <w:r>
        <w:rPr>
          <w:b/>
          <w:bCs/>
          <w:vertAlign w:val="subscript"/>
        </w:rPr>
        <w:t>SY</w:t>
      </w:r>
      <w:r>
        <w:rPr>
          <w:b/>
          <w:bCs/>
          <w:vertAlign w:val="subscript"/>
        </w:rPr>
        <w:tab/>
      </w:r>
      <w:r>
        <w:t xml:space="preserve">= the Annual Support Amount for the relevant Support Year (in $) calculated in accordance with item </w:t>
      </w:r>
      <w:r>
        <w:fldChar w:fldCharType="begin"/>
      </w:r>
      <w:r>
        <w:instrText xml:space="preserve"> REF _Ref206083303 \n \h </w:instrText>
      </w:r>
      <w:r>
        <w:fldChar w:fldCharType="separate"/>
      </w:r>
      <w:r w:rsidR="002E5C6A">
        <w:t>9</w:t>
      </w:r>
      <w:r>
        <w:fldChar w:fldCharType="end"/>
      </w:r>
      <w:r>
        <w:t xml:space="preserve"> (“</w:t>
      </w:r>
      <w:r>
        <w:fldChar w:fldCharType="begin"/>
      </w:r>
      <w:r>
        <w:instrText xml:space="preserve"> REF _Ref206083303 \h </w:instrText>
      </w:r>
      <w:r>
        <w:fldChar w:fldCharType="separate"/>
      </w:r>
      <w:r w:rsidR="002E5C6A">
        <w:t>Calculation of Annual Support Amount</w:t>
      </w:r>
      <w:r>
        <w:fldChar w:fldCharType="end"/>
      </w:r>
      <w:r>
        <w:t>”);</w:t>
      </w:r>
    </w:p>
    <w:p w14:paraId="68D3B6A6" w14:textId="354CEEE8" w:rsidR="00760981" w:rsidRDefault="00760981" w:rsidP="00760981">
      <w:pPr>
        <w:pStyle w:val="Indent2"/>
        <w:tabs>
          <w:tab w:val="left" w:pos="1247"/>
          <w:tab w:val="left" w:pos="1701"/>
        </w:tabs>
        <w:ind w:left="1701" w:hanging="964"/>
      </w:pPr>
      <w:r>
        <w:rPr>
          <w:b/>
          <w:bCs/>
        </w:rPr>
        <w:t>ARS</w:t>
      </w:r>
      <w:r>
        <w:rPr>
          <w:b/>
          <w:bCs/>
          <w:vertAlign w:val="subscript"/>
        </w:rPr>
        <w:t>SY</w:t>
      </w:r>
      <w:r>
        <w:rPr>
          <w:b/>
          <w:bCs/>
          <w:vertAlign w:val="subscript"/>
        </w:rPr>
        <w:tab/>
      </w:r>
      <w:r>
        <w:t xml:space="preserve">= the Annual Revenue Sharing Amount for the relevant Support Year calculated in accordance with item </w:t>
      </w:r>
      <w:r>
        <w:fldChar w:fldCharType="begin"/>
      </w:r>
      <w:r>
        <w:instrText xml:space="preserve"> REF _Ref206083268 \n \h </w:instrText>
      </w:r>
      <w:r>
        <w:fldChar w:fldCharType="separate"/>
      </w:r>
      <w:r w:rsidR="002E5C6A">
        <w:t>10</w:t>
      </w:r>
      <w:r>
        <w:fldChar w:fldCharType="end"/>
      </w:r>
      <w:r>
        <w:t xml:space="preserve"> (“</w:t>
      </w:r>
      <w:r>
        <w:fldChar w:fldCharType="begin"/>
      </w:r>
      <w:r>
        <w:instrText xml:space="preserve"> REF _Ref206083268 \h </w:instrText>
      </w:r>
      <w:r>
        <w:fldChar w:fldCharType="separate"/>
      </w:r>
      <w:r w:rsidR="002E5C6A">
        <w:t>Calculation of Annual Revenue Sharing Amount</w:t>
      </w:r>
      <w:r>
        <w:fldChar w:fldCharType="end"/>
      </w:r>
      <w:r>
        <w:t>”); and</w:t>
      </w:r>
    </w:p>
    <w:p w14:paraId="1D12E290" w14:textId="5CAEF1C5" w:rsidR="00760981" w:rsidRDefault="00760981" w:rsidP="00760981">
      <w:pPr>
        <w:pStyle w:val="Indent2"/>
        <w:tabs>
          <w:tab w:val="left" w:pos="1247"/>
          <w:tab w:val="left" w:pos="1701"/>
        </w:tabs>
        <w:ind w:left="1701" w:hanging="964"/>
      </w:pPr>
      <w:r>
        <w:rPr>
          <w:b/>
          <w:bCs/>
        </w:rPr>
        <w:t>AAR</w:t>
      </w:r>
      <w:r>
        <w:rPr>
          <w:b/>
          <w:bCs/>
          <w:vertAlign w:val="subscript"/>
        </w:rPr>
        <w:t>SY</w:t>
      </w:r>
      <w:r>
        <w:rPr>
          <w:b/>
          <w:bCs/>
          <w:vertAlign w:val="subscript"/>
        </w:rPr>
        <w:tab/>
      </w:r>
      <w:r>
        <w:t xml:space="preserve">= the Aggregate Annual Rebate for the relevant Support Year calculated in accordance with item </w:t>
      </w:r>
      <w:r>
        <w:fldChar w:fldCharType="begin"/>
      </w:r>
      <w:r>
        <w:instrText xml:space="preserve"> REF _Ref206083170 \n \h </w:instrText>
      </w:r>
      <w:r>
        <w:fldChar w:fldCharType="separate"/>
      </w:r>
      <w:r w:rsidR="002E5C6A">
        <w:t>8</w:t>
      </w:r>
      <w:r>
        <w:fldChar w:fldCharType="end"/>
      </w:r>
      <w:r>
        <w:t xml:space="preserve"> (“</w:t>
      </w:r>
      <w:r>
        <w:fldChar w:fldCharType="begin"/>
      </w:r>
      <w:r>
        <w:instrText xml:space="preserve"> REF _Ref206083170 \h </w:instrText>
      </w:r>
      <w:r>
        <w:fldChar w:fldCharType="separate"/>
      </w:r>
      <w:r w:rsidR="002E5C6A">
        <w:t>Calculation of Aggregate Annual Rebate</w:t>
      </w:r>
      <w:r>
        <w:fldChar w:fldCharType="end"/>
      </w:r>
      <w:r>
        <w:t xml:space="preserve">”). </w:t>
      </w:r>
    </w:p>
    <w:p w14:paraId="788A6322" w14:textId="77777777" w:rsidR="00760981" w:rsidRDefault="00760981" w:rsidP="008F660B">
      <w:pPr>
        <w:pStyle w:val="SchedH1"/>
        <w:numPr>
          <w:ilvl w:val="1"/>
          <w:numId w:val="91"/>
        </w:numPr>
      </w:pPr>
      <w:bookmarkStart w:id="5449" w:name="_Ref206083170"/>
      <w:r>
        <w:t>Calculation of Aggregate Annual Rebate</w:t>
      </w:r>
      <w:bookmarkEnd w:id="5449"/>
    </w:p>
    <w:p w14:paraId="700A11B9" w14:textId="77777777" w:rsidR="00760981" w:rsidRDefault="00760981" w:rsidP="00760981">
      <w:pPr>
        <w:pStyle w:val="Indent2"/>
        <w:keepNext/>
      </w:pPr>
      <w:r>
        <w:t xml:space="preserve">The </w:t>
      </w:r>
      <w:r>
        <w:rPr>
          <w:b/>
          <w:bCs/>
        </w:rPr>
        <w:t>Aggregate Annual Rebate</w:t>
      </w:r>
      <w:r>
        <w:t xml:space="preserve"> for a Support Year is calculated as:</w:t>
      </w:r>
    </w:p>
    <w:p w14:paraId="4D56E882" w14:textId="7B41153C" w:rsidR="00760981" w:rsidRPr="008F660B" w:rsidRDefault="0057509B" w:rsidP="008F660B">
      <w:pPr>
        <w:pStyle w:val="SchedH3"/>
        <w:keepNext/>
        <w:numPr>
          <w:ilvl w:val="0"/>
          <w:numId w:val="0"/>
        </w:numPr>
        <w:ind w:left="737"/>
      </w:pPr>
      <m:oMathPara>
        <m:oMath>
          <m:sSub>
            <m:sSubPr>
              <m:ctrlPr>
                <w:rPr>
                  <w:rFonts w:ascii="Cambria Math" w:hAnsi="Cambria Math"/>
                  <w:i/>
                  <w:sz w:val="22"/>
                  <w:szCs w:val="22"/>
                </w:rPr>
              </m:ctrlPr>
            </m:sSubPr>
            <m:e>
              <m:r>
                <w:rPr>
                  <w:rFonts w:ascii="Cambria Math" w:hAnsi="Cambria Math"/>
                  <w:sz w:val="22"/>
                  <w:szCs w:val="22"/>
                </w:rPr>
                <m:t>AAR</m:t>
              </m:r>
            </m:e>
            <m:sub>
              <m:r>
                <w:rPr>
                  <w:rFonts w:ascii="Cambria Math" w:hAnsi="Cambria Math"/>
                  <w:sz w:val="22"/>
                  <w:szCs w:val="22"/>
                </w:rPr>
                <m:t>SY</m:t>
              </m:r>
            </m:sub>
          </m:sSub>
          <m:r>
            <w:rPr>
              <w:rFonts w:ascii="Cambria Math" w:hAnsi="Cambria Math"/>
              <w:sz w:val="22"/>
              <w:szCs w:val="22"/>
            </w:rPr>
            <m:t xml:space="preserve"> = </m:t>
          </m:r>
          <m:sSub>
            <m:sSubPr>
              <m:ctrlPr>
                <w:rPr>
                  <w:rFonts w:ascii="Cambria Math" w:hAnsi="Cambria Math"/>
                  <w:i/>
                  <w:sz w:val="22"/>
                  <w:szCs w:val="22"/>
                </w:rPr>
              </m:ctrlPr>
            </m:sSubPr>
            <m:e>
              <m:r>
                <w:rPr>
                  <w:rFonts w:ascii="Cambria Math" w:hAnsi="Cambria Math"/>
                  <w:sz w:val="22"/>
                  <w:szCs w:val="22"/>
                </w:rPr>
                <m:t xml:space="preserve">AR </m:t>
              </m:r>
            </m:e>
            <m:sub>
              <m:r>
                <w:rPr>
                  <w:rFonts w:ascii="Cambria Math" w:hAnsi="Cambria Math"/>
                  <w:sz w:val="22"/>
                  <w:szCs w:val="22"/>
                </w:rPr>
                <m:t>SY</m:t>
              </m:r>
            </m:sub>
          </m:sSub>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SCR</m:t>
              </m:r>
            </m:e>
            <m:sub>
              <m:r>
                <w:rPr>
                  <w:rFonts w:ascii="Cambria Math" w:hAnsi="Cambria Math"/>
                  <w:sz w:val="22"/>
                  <w:szCs w:val="22"/>
                </w:rPr>
                <m:t>SY</m:t>
              </m:r>
            </m:sub>
          </m:sSub>
        </m:oMath>
      </m:oMathPara>
    </w:p>
    <w:p w14:paraId="1A229846" w14:textId="77777777" w:rsidR="00760981" w:rsidRDefault="00760981" w:rsidP="00760981">
      <w:pPr>
        <w:pStyle w:val="Indent2"/>
        <w:keepNext/>
      </w:pPr>
      <w:r>
        <w:t>where:</w:t>
      </w:r>
    </w:p>
    <w:p w14:paraId="3C386F20" w14:textId="77777777" w:rsidR="00760981" w:rsidRDefault="00760981" w:rsidP="00760981">
      <w:pPr>
        <w:pStyle w:val="Indent2"/>
        <w:tabs>
          <w:tab w:val="left" w:pos="1276"/>
          <w:tab w:val="left" w:pos="1701"/>
        </w:tabs>
      </w:pPr>
      <w:r>
        <w:rPr>
          <w:b/>
          <w:bCs/>
        </w:rPr>
        <w:t>AAR</w:t>
      </w:r>
      <w:r>
        <w:rPr>
          <w:b/>
          <w:bCs/>
          <w:vertAlign w:val="subscript"/>
        </w:rPr>
        <w:t>SY</w:t>
      </w:r>
      <w:r>
        <w:rPr>
          <w:b/>
          <w:bCs/>
          <w:vertAlign w:val="subscript"/>
        </w:rPr>
        <w:tab/>
      </w:r>
      <w:r>
        <w:t xml:space="preserve">= the Aggregate Annual Rebate for the relevant Support Year; </w:t>
      </w:r>
    </w:p>
    <w:p w14:paraId="5C0BF338" w14:textId="492245F3" w:rsidR="00760981" w:rsidRDefault="00760981" w:rsidP="00760981">
      <w:pPr>
        <w:pStyle w:val="Indent2"/>
        <w:tabs>
          <w:tab w:val="left" w:pos="1276"/>
          <w:tab w:val="left" w:pos="1701"/>
        </w:tabs>
      </w:pPr>
      <w:r>
        <w:rPr>
          <w:b/>
          <w:bCs/>
        </w:rPr>
        <w:t>AR</w:t>
      </w:r>
      <w:r>
        <w:rPr>
          <w:b/>
          <w:bCs/>
          <w:vertAlign w:val="subscript"/>
        </w:rPr>
        <w:t>SY</w:t>
      </w:r>
      <w:r>
        <w:rPr>
          <w:b/>
          <w:bCs/>
          <w:vertAlign w:val="subscript"/>
        </w:rPr>
        <w:tab/>
      </w:r>
      <w:r>
        <w:rPr>
          <w:b/>
          <w:bCs/>
          <w:vertAlign w:val="subscript"/>
        </w:rPr>
        <w:tab/>
      </w:r>
      <w:r>
        <w:t xml:space="preserve">= the Availability Rebate calculated in accordance with item </w:t>
      </w:r>
      <w:r>
        <w:fldChar w:fldCharType="begin"/>
      </w:r>
      <w:r>
        <w:instrText xml:space="preserve"> REF _Ref206531786 \n \h </w:instrText>
      </w:r>
      <w:r>
        <w:fldChar w:fldCharType="separate"/>
      </w:r>
      <w:r w:rsidR="002E5C6A">
        <w:t>4.1</w:t>
      </w:r>
      <w:r>
        <w:fldChar w:fldCharType="end"/>
      </w:r>
      <w:r>
        <w:t xml:space="preserve"> (“</w:t>
      </w:r>
      <w:r>
        <w:fldChar w:fldCharType="begin"/>
      </w:r>
      <w:r>
        <w:instrText xml:space="preserve"> REF _Ref206531786 \h </w:instrText>
      </w:r>
      <w:r>
        <w:fldChar w:fldCharType="separate"/>
      </w:r>
      <w:r w:rsidR="002E5C6A">
        <w:t>Calculation of Availability Rebate</w:t>
      </w:r>
      <w:r>
        <w:fldChar w:fldCharType="end"/>
      </w:r>
      <w:r>
        <w:t xml:space="preserve">”); </w:t>
      </w:r>
    </w:p>
    <w:p w14:paraId="517E87F4" w14:textId="3AB51EB5" w:rsidR="00760981" w:rsidRDefault="00760981" w:rsidP="00760981">
      <w:pPr>
        <w:pStyle w:val="Indent2"/>
        <w:tabs>
          <w:tab w:val="left" w:pos="1276"/>
          <w:tab w:val="left" w:pos="1701"/>
        </w:tabs>
      </w:pPr>
      <w:r>
        <w:rPr>
          <w:b/>
          <w:bCs/>
        </w:rPr>
        <w:t>SCR</w:t>
      </w:r>
      <w:r>
        <w:rPr>
          <w:b/>
          <w:bCs/>
          <w:vertAlign w:val="subscript"/>
        </w:rPr>
        <w:t>SY</w:t>
      </w:r>
      <w:r>
        <w:rPr>
          <w:b/>
          <w:bCs/>
          <w:vertAlign w:val="subscript"/>
        </w:rPr>
        <w:tab/>
      </w:r>
      <w:r>
        <w:t xml:space="preserve">= the Storage Capacity Rebate calculated in accordance with item </w:t>
      </w:r>
      <w:r>
        <w:fldChar w:fldCharType="begin"/>
      </w:r>
      <w:r>
        <w:instrText xml:space="preserve"> REF _Ref202784830 \n \h </w:instrText>
      </w:r>
      <w:r>
        <w:fldChar w:fldCharType="separate"/>
      </w:r>
      <w:r w:rsidR="002E5C6A">
        <w:t>5.2</w:t>
      </w:r>
      <w:r>
        <w:fldChar w:fldCharType="end"/>
      </w:r>
      <w:r>
        <w:t xml:space="preserve"> (“</w:t>
      </w:r>
      <w:r>
        <w:fldChar w:fldCharType="begin"/>
      </w:r>
      <w:r>
        <w:instrText xml:space="preserve"> REF _Ref202784830 \h </w:instrText>
      </w:r>
      <w:r>
        <w:fldChar w:fldCharType="separate"/>
      </w:r>
      <w:r w:rsidR="002E5C6A">
        <w:t>Calculation of Storage Capacity Rebate</w:t>
      </w:r>
      <w:r>
        <w:fldChar w:fldCharType="end"/>
      </w:r>
      <w:r>
        <w:t xml:space="preserve">”), </w:t>
      </w:r>
    </w:p>
    <w:p w14:paraId="7E3288F5" w14:textId="77777777" w:rsidR="00760981" w:rsidRDefault="00760981" w:rsidP="00760981">
      <w:pPr>
        <w:pStyle w:val="Indent2"/>
      </w:pPr>
      <w:r>
        <w:t>[</w:t>
      </w:r>
      <w:r>
        <w:rPr>
          <w:b/>
          <w:bCs/>
          <w:i/>
          <w:iCs/>
          <w:highlight w:val="lightGray"/>
        </w:rPr>
        <w:t>Note: see agreement cover note regarding Non-Storage Projects.</w:t>
      </w:r>
      <w:r>
        <w:t>]</w:t>
      </w:r>
    </w:p>
    <w:p w14:paraId="73BD1FBA" w14:textId="77777777" w:rsidR="00760981" w:rsidRDefault="00760981" w:rsidP="00760981">
      <w:pPr>
        <w:pStyle w:val="Indent2"/>
      </w:pPr>
      <w:r>
        <w:t>each for the relevant Support Year, provided that if the Aggregate Annual Rebate is greater than the Annual Support Amount (ASA</w:t>
      </w:r>
      <w:r>
        <w:rPr>
          <w:vertAlign w:val="subscript"/>
        </w:rPr>
        <w:t>SY</w:t>
      </w:r>
      <w:r>
        <w:t>),</w:t>
      </w:r>
      <w:r>
        <w:rPr>
          <w:vertAlign w:val="subscript"/>
        </w:rPr>
        <w:t xml:space="preserve"> </w:t>
      </w:r>
      <w:r>
        <w:t>then it will be deemed to be equal to ASA</w:t>
      </w:r>
      <w:r>
        <w:rPr>
          <w:vertAlign w:val="subscript"/>
        </w:rPr>
        <w:t>SY</w:t>
      </w:r>
      <w:r>
        <w:t>.</w:t>
      </w:r>
    </w:p>
    <w:p w14:paraId="3977252C" w14:textId="77777777" w:rsidR="00760981" w:rsidRDefault="00760981" w:rsidP="008F660B">
      <w:pPr>
        <w:pStyle w:val="SchedH1"/>
        <w:numPr>
          <w:ilvl w:val="1"/>
          <w:numId w:val="91"/>
        </w:numPr>
      </w:pPr>
      <w:bookmarkStart w:id="5450" w:name="_Ref206083303"/>
      <w:r>
        <w:t>Calculation of Annual Support Amount</w:t>
      </w:r>
      <w:bookmarkEnd w:id="5450"/>
    </w:p>
    <w:p w14:paraId="2AD9D38A" w14:textId="77777777" w:rsidR="00760981" w:rsidRDefault="00760981" w:rsidP="008F660B">
      <w:pPr>
        <w:pStyle w:val="SchedH3"/>
        <w:keepNext/>
        <w:numPr>
          <w:ilvl w:val="0"/>
          <w:numId w:val="0"/>
        </w:numPr>
        <w:ind w:left="737"/>
      </w:pPr>
      <w:r>
        <w:t xml:space="preserve">The </w:t>
      </w:r>
      <w:r>
        <w:rPr>
          <w:b/>
          <w:bCs/>
        </w:rPr>
        <w:t>Annual Support Amount</w:t>
      </w:r>
      <w:r>
        <w:t xml:space="preserve"> for each Support Year is calculated as follows:</w:t>
      </w:r>
    </w:p>
    <w:p w14:paraId="019524B6" w14:textId="77777777" w:rsidR="00760981" w:rsidRPr="00597F22" w:rsidRDefault="0057509B" w:rsidP="008F660B">
      <w:pPr>
        <w:pStyle w:val="SchedH3"/>
        <w:keepNext/>
        <w:numPr>
          <w:ilvl w:val="0"/>
          <w:numId w:val="0"/>
        </w:numPr>
        <w:ind w:left="737"/>
        <w:rPr>
          <w:i/>
        </w:rPr>
      </w:pPr>
      <w:sdt>
        <w:sdtPr>
          <w:rPr>
            <w:rFonts w:ascii="Cambria Math" w:hAnsi="Cambria Math"/>
            <w:i/>
          </w:rPr>
          <w:id w:val="-1604338678"/>
          <w:placeholder>
            <w:docPart w:val="33C24E20E2AC4F1096DF01EB6F78291D"/>
          </w:placeholder>
          <w:temporary/>
          <w:equation/>
        </w:sdtPr>
        <w:sdtContent>
          <m:oMathPara>
            <m:oMath>
              <m:sSub>
                <m:sSubPr>
                  <m:ctrlPr>
                    <w:rPr>
                      <w:rFonts w:ascii="Cambria Math" w:hAnsi="Cambria Math"/>
                      <w:i/>
                    </w:rPr>
                  </m:ctrlPr>
                </m:sSubPr>
                <m:e>
                  <m:r>
                    <m:rPr>
                      <m:sty m:val="p"/>
                    </m:rPr>
                    <w:rPr>
                      <w:rFonts w:ascii="Cambria Math" w:hAnsi="Cambria Math"/>
                    </w:rPr>
                    <m:t>ASA</m:t>
                  </m:r>
                </m:e>
                <m:sub>
                  <m:r>
                    <m:rPr>
                      <m:sty m:val="p"/>
                    </m:rPr>
                    <w:rPr>
                      <w:rFonts w:ascii="Cambria Math" w:hAnsi="Cambria Math"/>
                    </w:rPr>
                    <m:t>SY</m:t>
                  </m:r>
                </m:sub>
              </m:sSub>
              <m:r>
                <m:rPr>
                  <m:sty m:val="p"/>
                </m:rPr>
                <w:rPr>
                  <w:rFonts w:ascii="Cambria Math" w:hAnsi="Cambria Math"/>
                </w:rPr>
                <m:t xml:space="preserve"> = </m:t>
              </m:r>
              <m:d>
                <m:dPr>
                  <m:ctrlPr>
                    <w:rPr>
                      <w:rFonts w:ascii="Cambria Math" w:hAnsi="Cambria Math"/>
                      <w:i/>
                    </w:rPr>
                  </m:ctrlPr>
                </m:dPr>
                <m:e>
                  <m:sSub>
                    <m:sSubPr>
                      <m:ctrlPr>
                        <w:rPr>
                          <w:rFonts w:ascii="Cambria Math" w:hAnsi="Cambria Math"/>
                          <w:i/>
                        </w:rPr>
                      </m:ctrlPr>
                    </m:sSubPr>
                    <m:e>
                      <m:r>
                        <m:rPr>
                          <m:sty m:val="p"/>
                        </m:rPr>
                        <w:rPr>
                          <w:rFonts w:ascii="Cambria Math" w:hAnsi="Cambria Math"/>
                        </w:rPr>
                        <m:t>AF</m:t>
                      </m:r>
                    </m:e>
                    <m:sub>
                      <m:r>
                        <m:rPr>
                          <m:sty m:val="p"/>
                        </m:rPr>
                        <w:rPr>
                          <w:rFonts w:ascii="Cambria Math" w:hAnsi="Cambria Math"/>
                        </w:rPr>
                        <m:t>SY</m:t>
                      </m:r>
                    </m:sub>
                  </m:sSub>
                  <m:r>
                    <m:rPr>
                      <m:sty m:val="p"/>
                    </m:rPr>
                    <w:rPr>
                      <w:rFonts w:ascii="Cambria Math" w:hAnsi="Cambria Math"/>
                    </w:rPr>
                    <m:t xml:space="preserve"> - </m:t>
                  </m:r>
                  <m:sSub>
                    <m:sSubPr>
                      <m:ctrlPr>
                        <w:rPr>
                          <w:rFonts w:ascii="Cambria Math" w:hAnsi="Cambria Math"/>
                          <w:i/>
                        </w:rPr>
                      </m:ctrlPr>
                    </m:sSubPr>
                    <m:e>
                      <m:r>
                        <m:rPr>
                          <m:sty m:val="p"/>
                        </m:rPr>
                        <w:rPr>
                          <w:rFonts w:ascii="Cambria Math" w:hAnsi="Cambria Math"/>
                        </w:rPr>
                        <m:t>NOR</m:t>
                      </m:r>
                    </m:e>
                    <m:sub>
                      <m:r>
                        <m:rPr>
                          <m:sty m:val="p"/>
                        </m:rPr>
                        <w:rPr>
                          <w:rFonts w:ascii="Cambria Math" w:hAnsi="Cambria Math"/>
                        </w:rPr>
                        <m:t>SY</m:t>
                      </m:r>
                    </m:sub>
                  </m:sSub>
                </m:e>
              </m:d>
              <m:r>
                <m:rPr>
                  <m:sty m:val="p"/>
                </m:rPr>
                <w:rPr>
                  <w:rFonts w:ascii="Cambria Math" w:hAnsi="Cambria Math"/>
                </w:rPr>
                <m:t xml:space="preserve"> × J</m:t>
              </m:r>
            </m:oMath>
          </m:oMathPara>
        </w:sdtContent>
      </w:sdt>
    </w:p>
    <w:p w14:paraId="51AE09D9" w14:textId="77777777" w:rsidR="00760981" w:rsidRDefault="00760981" w:rsidP="00760981">
      <w:pPr>
        <w:pStyle w:val="Indent2"/>
        <w:keepNext/>
      </w:pPr>
      <w:r>
        <w:t>where:</w:t>
      </w:r>
    </w:p>
    <w:p w14:paraId="1CBC985C" w14:textId="77777777" w:rsidR="00760981" w:rsidRDefault="00760981" w:rsidP="00760981">
      <w:pPr>
        <w:pStyle w:val="Indent2"/>
        <w:tabs>
          <w:tab w:val="left" w:pos="1276"/>
          <w:tab w:val="left" w:pos="1701"/>
        </w:tabs>
        <w:ind w:left="1701" w:hanging="964"/>
      </w:pPr>
      <w:r>
        <w:rPr>
          <w:b/>
          <w:bCs/>
        </w:rPr>
        <w:t>ASA</w:t>
      </w:r>
      <w:r>
        <w:rPr>
          <w:b/>
          <w:bCs/>
          <w:vertAlign w:val="subscript"/>
        </w:rPr>
        <w:t>SY</w:t>
      </w:r>
      <w:r>
        <w:rPr>
          <w:b/>
          <w:bCs/>
          <w:vertAlign w:val="subscript"/>
        </w:rPr>
        <w:tab/>
      </w:r>
      <w:r>
        <w:t>= the Annual Support Amount for the Support Year;</w:t>
      </w:r>
    </w:p>
    <w:p w14:paraId="0A2DCE27" w14:textId="3AA8C127" w:rsidR="00760981" w:rsidRDefault="00760981" w:rsidP="00760981">
      <w:pPr>
        <w:pStyle w:val="Indent2"/>
        <w:tabs>
          <w:tab w:val="left" w:pos="1276"/>
          <w:tab w:val="left" w:pos="1701"/>
        </w:tabs>
        <w:ind w:left="1701" w:hanging="964"/>
      </w:pPr>
      <w:r>
        <w:rPr>
          <w:b/>
          <w:bCs/>
        </w:rPr>
        <w:t>AF</w:t>
      </w:r>
      <w:r>
        <w:rPr>
          <w:b/>
          <w:bCs/>
          <w:vertAlign w:val="subscript"/>
        </w:rPr>
        <w:t>SY</w:t>
      </w:r>
      <w:r>
        <w:rPr>
          <w:b/>
          <w:bCs/>
          <w:vertAlign w:val="subscript"/>
        </w:rPr>
        <w:tab/>
      </w:r>
      <w:r>
        <w:rPr>
          <w:b/>
          <w:bCs/>
          <w:vertAlign w:val="subscript"/>
        </w:rPr>
        <w:tab/>
      </w:r>
      <w:r>
        <w:t xml:space="preserve">= the Annual Floor (as adjusted in accordance with item </w:t>
      </w:r>
      <w:r>
        <w:fldChar w:fldCharType="begin"/>
      </w:r>
      <w:r>
        <w:instrText xml:space="preserve"> REF _Ref206532029 \n \h </w:instrText>
      </w:r>
      <w:r>
        <w:fldChar w:fldCharType="separate"/>
      </w:r>
      <w:r w:rsidR="002E5C6A">
        <w:t>2.2</w:t>
      </w:r>
      <w:r>
        <w:fldChar w:fldCharType="end"/>
      </w:r>
      <w:r>
        <w:t xml:space="preserve"> (“</w:t>
      </w:r>
      <w:r>
        <w:fldChar w:fldCharType="begin"/>
      </w:r>
      <w:r>
        <w:instrText xml:space="preserve"> REF _Ref206532029 \h </w:instrText>
      </w:r>
      <w:r>
        <w:fldChar w:fldCharType="separate"/>
      </w:r>
      <w:r w:rsidR="002E5C6A">
        <w:t>Adjustment to Annual Floor and Annual Ceiling</w:t>
      </w:r>
      <w:r>
        <w:fldChar w:fldCharType="end"/>
      </w:r>
      <w:r>
        <w:t xml:space="preserve">”)) for the Support Year calculated in accordance with item </w:t>
      </w:r>
      <w:r>
        <w:fldChar w:fldCharType="begin"/>
      </w:r>
      <w:r>
        <w:instrText xml:space="preserve"> REF _Ref182216613 \n \h </w:instrText>
      </w:r>
      <w:r>
        <w:fldChar w:fldCharType="separate"/>
      </w:r>
      <w:r w:rsidR="002E5C6A">
        <w:t>11.1</w:t>
      </w:r>
      <w:r>
        <w:fldChar w:fldCharType="end"/>
      </w:r>
      <w:r>
        <w:t xml:space="preserve"> (“</w:t>
      </w:r>
      <w:r>
        <w:fldChar w:fldCharType="begin"/>
      </w:r>
      <w:r>
        <w:instrText xml:space="preserve"> REF _Ref182216613 \h </w:instrText>
      </w:r>
      <w:r>
        <w:fldChar w:fldCharType="separate"/>
      </w:r>
      <w:r w:rsidR="002E5C6A">
        <w:t>Annual Floor Calculation</w:t>
      </w:r>
      <w:r>
        <w:fldChar w:fldCharType="end"/>
      </w:r>
      <w:r>
        <w:t xml:space="preserve">”), multiplied by the number of Peak Capacity Credits assigned to the Project by AEMO in accordance with the ESM Rules in respect of the Support Year; </w:t>
      </w:r>
    </w:p>
    <w:p w14:paraId="1A4A61A5" w14:textId="77777777" w:rsidR="00760981" w:rsidRDefault="00760981" w:rsidP="00760981">
      <w:pPr>
        <w:pStyle w:val="Indent2"/>
        <w:tabs>
          <w:tab w:val="left" w:pos="1276"/>
          <w:tab w:val="left" w:pos="1701"/>
        </w:tabs>
        <w:ind w:left="1701" w:hanging="964"/>
      </w:pPr>
      <w:r>
        <w:rPr>
          <w:b/>
          <w:bCs/>
        </w:rPr>
        <w:t>NOR</w:t>
      </w:r>
      <w:r>
        <w:rPr>
          <w:b/>
          <w:bCs/>
          <w:vertAlign w:val="subscript"/>
        </w:rPr>
        <w:t>SY</w:t>
      </w:r>
      <w:r>
        <w:rPr>
          <w:b/>
          <w:bCs/>
          <w:vertAlign w:val="subscript"/>
        </w:rPr>
        <w:tab/>
      </w:r>
      <w:r>
        <w:t xml:space="preserve">= the Net Operational Revenue for the Support Year; and </w:t>
      </w:r>
    </w:p>
    <w:p w14:paraId="3290C89D" w14:textId="77777777" w:rsidR="00760981" w:rsidRDefault="00760981" w:rsidP="00760981">
      <w:pPr>
        <w:pStyle w:val="Indent2"/>
        <w:tabs>
          <w:tab w:val="left" w:pos="1276"/>
          <w:tab w:val="left" w:pos="1701"/>
        </w:tabs>
        <w:ind w:left="1701" w:hanging="964"/>
      </w:pPr>
      <w:r>
        <w:rPr>
          <w:b/>
          <w:bCs/>
        </w:rPr>
        <w:t>J</w:t>
      </w:r>
      <w:r>
        <w:rPr>
          <w:b/>
          <w:bCs/>
        </w:rPr>
        <w:tab/>
      </w:r>
      <w:r>
        <w:rPr>
          <w:b/>
          <w:bCs/>
        </w:rPr>
        <w:tab/>
      </w:r>
      <w:r>
        <w:t>= the Revenue Floor Support Percentage for the Support Year, being 90%,</w:t>
      </w:r>
    </w:p>
    <w:p w14:paraId="776D086C" w14:textId="77777777" w:rsidR="00760981" w:rsidRDefault="00760981" w:rsidP="00760981">
      <w:pPr>
        <w:pStyle w:val="Indent2"/>
      </w:pPr>
      <w:r>
        <w:t>provided that if the Annual Support Amount:</w:t>
      </w:r>
    </w:p>
    <w:p w14:paraId="2CE90BD3" w14:textId="4006E90D" w:rsidR="00760981" w:rsidRDefault="00760981" w:rsidP="00760981">
      <w:pPr>
        <w:pStyle w:val="SchedH3"/>
        <w:keepNext/>
        <w:numPr>
          <w:ilvl w:val="3"/>
          <w:numId w:val="43"/>
        </w:numPr>
        <w:tabs>
          <w:tab w:val="clear" w:pos="737"/>
        </w:tabs>
        <w:ind w:left="1474"/>
      </w:pPr>
      <w:r>
        <w:t xml:space="preserve">exceeds the Annual Payment Cap for the relevant Support Year, as calculated for that Support Year in accordance with item </w:t>
      </w:r>
      <w:r>
        <w:fldChar w:fldCharType="begin"/>
      </w:r>
      <w:r>
        <w:instrText xml:space="preserve"> REF _Ref182216565 \n \h </w:instrText>
      </w:r>
      <w:r>
        <w:fldChar w:fldCharType="separate"/>
      </w:r>
      <w:r w:rsidR="002E5C6A">
        <w:t>11.3</w:t>
      </w:r>
      <w:r>
        <w:fldChar w:fldCharType="end"/>
      </w:r>
      <w:r>
        <w:t xml:space="preserve"> (“</w:t>
      </w:r>
      <w:r>
        <w:fldChar w:fldCharType="begin"/>
      </w:r>
      <w:r>
        <w:instrText xml:space="preserve"> REF _Ref182216565 \h </w:instrText>
      </w:r>
      <w:r>
        <w:fldChar w:fldCharType="separate"/>
      </w:r>
      <w:r w:rsidR="002E5C6A">
        <w:t>Annual Payment Cap Calculation</w:t>
      </w:r>
      <w:r>
        <w:fldChar w:fldCharType="end"/>
      </w:r>
      <w:r>
        <w:t>”), then it will be deemed to be equal to the Annual Payment Cap; or</w:t>
      </w:r>
    </w:p>
    <w:p w14:paraId="03776969" w14:textId="77777777" w:rsidR="00760981" w:rsidRDefault="00760981" w:rsidP="00760981">
      <w:pPr>
        <w:pStyle w:val="SchedH3"/>
        <w:keepNext/>
        <w:numPr>
          <w:ilvl w:val="3"/>
          <w:numId w:val="43"/>
        </w:numPr>
        <w:tabs>
          <w:tab w:val="clear" w:pos="737"/>
        </w:tabs>
        <w:ind w:left="1474"/>
      </w:pPr>
      <w:r>
        <w:t>is less than zero, then it will be deemed to be zero.</w:t>
      </w:r>
    </w:p>
    <w:p w14:paraId="171386C3" w14:textId="77777777" w:rsidR="00760981" w:rsidRDefault="00760981" w:rsidP="008F660B">
      <w:pPr>
        <w:pStyle w:val="SchedH1"/>
        <w:numPr>
          <w:ilvl w:val="1"/>
          <w:numId w:val="91"/>
        </w:numPr>
      </w:pPr>
      <w:bookmarkStart w:id="5451" w:name="_Ref206083268"/>
      <w:r>
        <w:t>Calculation of Annual Revenue Sharing Amount</w:t>
      </w:r>
      <w:bookmarkEnd w:id="5451"/>
    </w:p>
    <w:p w14:paraId="6325A15B" w14:textId="77777777" w:rsidR="00760981" w:rsidRDefault="00760981" w:rsidP="00760981">
      <w:pPr>
        <w:pStyle w:val="Indent2"/>
        <w:keepNext/>
      </w:pPr>
      <w:r>
        <w:t>The “</w:t>
      </w:r>
      <w:r>
        <w:rPr>
          <w:b/>
          <w:bCs/>
        </w:rPr>
        <w:t>Annual Revenue Sharing Amount</w:t>
      </w:r>
      <w:r>
        <w:t>” for each Support Year is calculated as follows:</w:t>
      </w:r>
    </w:p>
    <w:p w14:paraId="35AC1AF1" w14:textId="77777777" w:rsidR="00760981" w:rsidRDefault="0057509B" w:rsidP="00760981">
      <w:pPr>
        <w:pStyle w:val="Indent2"/>
        <w:keepNext/>
      </w:pPr>
      <w:sdt>
        <w:sdtPr>
          <w:rPr>
            <w:rFonts w:ascii="Cambria Math" w:hAnsi="Cambria Math"/>
            <w:i/>
          </w:rPr>
          <w:id w:val="468716521"/>
          <w:placeholder>
            <w:docPart w:val="33C24E20E2AC4F1096DF01EB6F78291D"/>
          </w:placeholder>
          <w:temporary/>
          <w:equation/>
        </w:sdtPr>
        <w:sdtContent>
          <m:oMathPara>
            <m:oMath>
              <m:sSub>
                <m:sSubPr>
                  <m:ctrlPr>
                    <w:rPr>
                      <w:rFonts w:ascii="Cambria Math" w:hAnsi="Cambria Math"/>
                      <w:i/>
                    </w:rPr>
                  </m:ctrlPr>
                </m:sSubPr>
                <m:e>
                  <m:r>
                    <m:rPr>
                      <m:sty m:val="p"/>
                    </m:rPr>
                    <w:rPr>
                      <w:rFonts w:ascii="Cambria Math" w:hAnsi="Cambria Math"/>
                    </w:rPr>
                    <m:t>ARS</m:t>
                  </m:r>
                </m:e>
                <m:sub>
                  <m:r>
                    <m:rPr>
                      <m:sty m:val="p"/>
                    </m:rPr>
                    <w:rPr>
                      <w:rFonts w:ascii="Cambria Math" w:hAnsi="Cambria Math"/>
                    </w:rPr>
                    <m:t>SY</m:t>
                  </m:r>
                </m:sub>
              </m:sSub>
              <m:r>
                <m:rPr>
                  <m:sty m:val="p"/>
                </m:rPr>
                <w:rPr>
                  <w:rFonts w:ascii="Cambria Math" w:hAnsi="Cambria Math"/>
                </w:rPr>
                <m:t xml:space="preserve"> = </m:t>
              </m:r>
              <m:d>
                <m:dPr>
                  <m:ctrlPr>
                    <w:rPr>
                      <w:rFonts w:ascii="Cambria Math" w:hAnsi="Cambria Math"/>
                      <w:i/>
                    </w:rPr>
                  </m:ctrlPr>
                </m:dPr>
                <m:e>
                  <m:sSub>
                    <m:sSubPr>
                      <m:ctrlPr>
                        <w:rPr>
                          <w:rFonts w:ascii="Cambria Math" w:hAnsi="Cambria Math"/>
                          <w:i/>
                        </w:rPr>
                      </m:ctrlPr>
                    </m:sSubPr>
                    <m:e>
                      <m:r>
                        <m:rPr>
                          <m:sty m:val="p"/>
                        </m:rPr>
                        <w:rPr>
                          <w:rFonts w:ascii="Cambria Math" w:hAnsi="Cambria Math"/>
                        </w:rPr>
                        <m:t>NOR</m:t>
                      </m:r>
                    </m:e>
                    <m:sub>
                      <m:r>
                        <m:rPr>
                          <m:sty m:val="p"/>
                        </m:rPr>
                        <w:rPr>
                          <w:rFonts w:ascii="Cambria Math" w:hAnsi="Cambria Math"/>
                        </w:rPr>
                        <m:t>SY</m:t>
                      </m:r>
                    </m:sub>
                  </m:sSub>
                  <m:r>
                    <m:rPr>
                      <m:sty m:val="p"/>
                    </m:rPr>
                    <w:rPr>
                      <w:rFonts w:ascii="Cambria Math" w:hAnsi="Cambria Math"/>
                    </w:rPr>
                    <m:t xml:space="preserve"> - </m:t>
                  </m:r>
                  <m:sSub>
                    <m:sSubPr>
                      <m:ctrlPr>
                        <w:rPr>
                          <w:rFonts w:ascii="Cambria Math" w:hAnsi="Cambria Math"/>
                          <w:i/>
                        </w:rPr>
                      </m:ctrlPr>
                    </m:sSubPr>
                    <m:e>
                      <m:r>
                        <m:rPr>
                          <m:sty m:val="p"/>
                        </m:rPr>
                        <w:rPr>
                          <w:rFonts w:ascii="Cambria Math" w:hAnsi="Cambria Math"/>
                        </w:rPr>
                        <m:t>AC</m:t>
                      </m:r>
                    </m:e>
                    <m:sub>
                      <m:r>
                        <m:rPr>
                          <m:sty m:val="p"/>
                        </m:rPr>
                        <w:rPr>
                          <w:rFonts w:ascii="Cambria Math" w:hAnsi="Cambria Math"/>
                        </w:rPr>
                        <m:t>SY</m:t>
                      </m:r>
                    </m:sub>
                  </m:sSub>
                </m:e>
              </m:d>
              <m:r>
                <m:rPr>
                  <m:sty m:val="p"/>
                </m:rPr>
                <w:rPr>
                  <w:rFonts w:ascii="Cambria Math" w:hAnsi="Cambria Math"/>
                </w:rPr>
                <m:t xml:space="preserve"> × L</m:t>
              </m:r>
            </m:oMath>
          </m:oMathPara>
        </w:sdtContent>
      </w:sdt>
    </w:p>
    <w:p w14:paraId="26926532" w14:textId="77777777" w:rsidR="00760981" w:rsidRDefault="00760981" w:rsidP="00760981">
      <w:pPr>
        <w:pStyle w:val="Indent2"/>
        <w:keepNext/>
      </w:pPr>
      <w:r>
        <w:t>where:</w:t>
      </w:r>
    </w:p>
    <w:p w14:paraId="5940FA3E" w14:textId="77777777" w:rsidR="00760981" w:rsidRDefault="00760981" w:rsidP="00760981">
      <w:pPr>
        <w:pStyle w:val="Indent2"/>
        <w:tabs>
          <w:tab w:val="left" w:pos="1276"/>
          <w:tab w:val="left" w:pos="1701"/>
        </w:tabs>
        <w:ind w:left="1701" w:hanging="964"/>
      </w:pPr>
      <w:r>
        <w:rPr>
          <w:b/>
          <w:bCs/>
        </w:rPr>
        <w:t>ARS</w:t>
      </w:r>
      <w:r>
        <w:rPr>
          <w:b/>
          <w:bCs/>
          <w:vertAlign w:val="subscript"/>
        </w:rPr>
        <w:t>SY</w:t>
      </w:r>
      <w:r>
        <w:rPr>
          <w:b/>
          <w:bCs/>
          <w:vertAlign w:val="subscript"/>
        </w:rPr>
        <w:tab/>
      </w:r>
      <w:r>
        <w:t>= the Annual Revenue Sharing Amount for the Support Year;</w:t>
      </w:r>
    </w:p>
    <w:p w14:paraId="2CCCF684" w14:textId="77777777" w:rsidR="00760981" w:rsidRDefault="00760981" w:rsidP="00760981">
      <w:pPr>
        <w:pStyle w:val="Indent2"/>
        <w:tabs>
          <w:tab w:val="left" w:pos="1276"/>
          <w:tab w:val="left" w:pos="1701"/>
        </w:tabs>
        <w:ind w:left="1701" w:hanging="964"/>
      </w:pPr>
      <w:r>
        <w:rPr>
          <w:b/>
          <w:bCs/>
        </w:rPr>
        <w:t>NOR</w:t>
      </w:r>
      <w:r>
        <w:rPr>
          <w:b/>
          <w:bCs/>
          <w:vertAlign w:val="subscript"/>
        </w:rPr>
        <w:t>SY</w:t>
      </w:r>
      <w:r>
        <w:rPr>
          <w:b/>
          <w:bCs/>
          <w:vertAlign w:val="subscript"/>
        </w:rPr>
        <w:tab/>
      </w:r>
      <w:r>
        <w:t xml:space="preserve">= the Net Operational Revenue for the Support Year; </w:t>
      </w:r>
    </w:p>
    <w:p w14:paraId="4E19DF33" w14:textId="79DE7FCB" w:rsidR="00760981" w:rsidRDefault="00760981" w:rsidP="00760981">
      <w:pPr>
        <w:pStyle w:val="Indent2"/>
        <w:tabs>
          <w:tab w:val="left" w:pos="1276"/>
          <w:tab w:val="left" w:pos="1701"/>
        </w:tabs>
        <w:ind w:left="1701" w:hanging="964"/>
      </w:pPr>
      <w:r>
        <w:rPr>
          <w:b/>
          <w:bCs/>
        </w:rPr>
        <w:t>AC</w:t>
      </w:r>
      <w:r>
        <w:rPr>
          <w:b/>
          <w:bCs/>
          <w:vertAlign w:val="subscript"/>
        </w:rPr>
        <w:t>SY</w:t>
      </w:r>
      <w:r>
        <w:rPr>
          <w:b/>
          <w:bCs/>
          <w:vertAlign w:val="subscript"/>
        </w:rPr>
        <w:tab/>
      </w:r>
      <w:r>
        <w:rPr>
          <w:b/>
          <w:bCs/>
          <w:vertAlign w:val="subscript"/>
        </w:rPr>
        <w:tab/>
      </w:r>
      <w:r>
        <w:t xml:space="preserve">= the Annual Ceiling (as adjusted in accordance with item </w:t>
      </w:r>
      <w:r>
        <w:fldChar w:fldCharType="begin"/>
      </w:r>
      <w:r>
        <w:instrText xml:space="preserve"> REF _Ref206532029 \n \h </w:instrText>
      </w:r>
      <w:r>
        <w:fldChar w:fldCharType="separate"/>
      </w:r>
      <w:r w:rsidR="002E5C6A">
        <w:t>2.2</w:t>
      </w:r>
      <w:r>
        <w:fldChar w:fldCharType="end"/>
      </w:r>
      <w:r>
        <w:t xml:space="preserve"> (“</w:t>
      </w:r>
      <w:r>
        <w:fldChar w:fldCharType="begin"/>
      </w:r>
      <w:r>
        <w:instrText xml:space="preserve"> REF _Ref206532029 \h </w:instrText>
      </w:r>
      <w:r>
        <w:fldChar w:fldCharType="separate"/>
      </w:r>
      <w:r w:rsidR="002E5C6A">
        <w:t>Adjustment to Annual Floor and Annual Ceiling</w:t>
      </w:r>
      <w:r>
        <w:fldChar w:fldCharType="end"/>
      </w:r>
      <w:r>
        <w:t xml:space="preserve">”)), for the Support Year calculated in accordance with item </w:t>
      </w:r>
      <w:r>
        <w:fldChar w:fldCharType="begin"/>
      </w:r>
      <w:r>
        <w:instrText xml:space="preserve"> REF _Ref182216697 \n \h </w:instrText>
      </w:r>
      <w:r>
        <w:fldChar w:fldCharType="separate"/>
      </w:r>
      <w:r w:rsidR="002E5C6A">
        <w:t>11.2</w:t>
      </w:r>
      <w:r>
        <w:fldChar w:fldCharType="end"/>
      </w:r>
      <w:r>
        <w:t xml:space="preserve"> (“</w:t>
      </w:r>
      <w:r>
        <w:fldChar w:fldCharType="begin"/>
      </w:r>
      <w:r>
        <w:instrText xml:space="preserve"> REF _Ref182216697 \h </w:instrText>
      </w:r>
      <w:r>
        <w:fldChar w:fldCharType="separate"/>
      </w:r>
      <w:r w:rsidR="002E5C6A">
        <w:t>Annual Ceiling Calculation</w:t>
      </w:r>
      <w:r>
        <w:fldChar w:fldCharType="end"/>
      </w:r>
      <w:r>
        <w:t>”), multiplied by the number of Peak Capacity Credits assigned to the Project by AEMO in accordance with the ESM Rules in respect of the Support Year; and</w:t>
      </w:r>
    </w:p>
    <w:p w14:paraId="519478AD" w14:textId="77777777" w:rsidR="00760981" w:rsidRDefault="00760981" w:rsidP="00760981">
      <w:pPr>
        <w:pStyle w:val="Indent2"/>
        <w:tabs>
          <w:tab w:val="left" w:pos="1276"/>
          <w:tab w:val="left" w:pos="1701"/>
        </w:tabs>
        <w:ind w:left="1701" w:hanging="964"/>
      </w:pPr>
      <w:r>
        <w:rPr>
          <w:b/>
          <w:bCs/>
        </w:rPr>
        <w:t>L</w:t>
      </w:r>
      <w:r>
        <w:rPr>
          <w:b/>
          <w:bCs/>
        </w:rPr>
        <w:tab/>
      </w:r>
      <w:r>
        <w:rPr>
          <w:b/>
          <w:bCs/>
        </w:rPr>
        <w:tab/>
      </w:r>
      <w:r>
        <w:t>= the Revenue Ceiling Sharing Percentage for the Support Year, being 50%,</w:t>
      </w:r>
    </w:p>
    <w:p w14:paraId="47E653D2" w14:textId="77777777" w:rsidR="00760981" w:rsidRDefault="00760981" w:rsidP="00760981">
      <w:pPr>
        <w:pStyle w:val="Indent2"/>
      </w:pPr>
      <w:r>
        <w:t xml:space="preserve">provided that, if the Annual Revenue Sharing Amount: </w:t>
      </w:r>
    </w:p>
    <w:p w14:paraId="6A2A8A5C" w14:textId="57301D62" w:rsidR="00760981" w:rsidRDefault="00760981" w:rsidP="00760981">
      <w:pPr>
        <w:pStyle w:val="SchedH3"/>
        <w:keepNext/>
        <w:numPr>
          <w:ilvl w:val="3"/>
          <w:numId w:val="43"/>
        </w:numPr>
        <w:tabs>
          <w:tab w:val="clear" w:pos="737"/>
        </w:tabs>
        <w:ind w:left="1474"/>
      </w:pPr>
      <w:r>
        <w:t xml:space="preserve">exceeds the Annual Payment Cap for the relevant Support Year, as calculated for that Support Year in accordance with item </w:t>
      </w:r>
      <w:r>
        <w:fldChar w:fldCharType="begin"/>
      </w:r>
      <w:r>
        <w:instrText xml:space="preserve"> REF _Ref182216565 \n \h </w:instrText>
      </w:r>
      <w:r>
        <w:fldChar w:fldCharType="separate"/>
      </w:r>
      <w:r w:rsidR="002E5C6A">
        <w:t>11.3</w:t>
      </w:r>
      <w:r>
        <w:fldChar w:fldCharType="end"/>
      </w:r>
      <w:r>
        <w:t xml:space="preserve"> (“</w:t>
      </w:r>
      <w:r>
        <w:fldChar w:fldCharType="begin"/>
      </w:r>
      <w:r>
        <w:instrText xml:space="preserve"> REF _Ref182216565 \h </w:instrText>
      </w:r>
      <w:r>
        <w:fldChar w:fldCharType="separate"/>
      </w:r>
      <w:r w:rsidR="002E5C6A">
        <w:t>Annual Payment Cap Calculation</w:t>
      </w:r>
      <w:r>
        <w:fldChar w:fldCharType="end"/>
      </w:r>
      <w:r>
        <w:t>”), then it will be deemed to be equal to the Annual Payment Cap; or</w:t>
      </w:r>
    </w:p>
    <w:p w14:paraId="7D0ADAE9" w14:textId="77777777" w:rsidR="00760981" w:rsidRDefault="00760981" w:rsidP="00760981">
      <w:pPr>
        <w:pStyle w:val="SchedH3"/>
        <w:keepNext/>
        <w:numPr>
          <w:ilvl w:val="3"/>
          <w:numId w:val="43"/>
        </w:numPr>
        <w:tabs>
          <w:tab w:val="clear" w:pos="737"/>
        </w:tabs>
        <w:ind w:left="1474"/>
      </w:pPr>
      <w:r>
        <w:t>is less than zero then it will be deemed to be zero.</w:t>
      </w:r>
    </w:p>
    <w:p w14:paraId="247D27A3" w14:textId="77777777" w:rsidR="00760981" w:rsidRDefault="00760981" w:rsidP="008F660B">
      <w:pPr>
        <w:pStyle w:val="SchedH1"/>
        <w:numPr>
          <w:ilvl w:val="1"/>
          <w:numId w:val="108"/>
        </w:numPr>
        <w:ind w:left="737" w:hanging="737"/>
      </w:pPr>
      <w:r>
        <w:t>Calculation of Annual Floor, Annual Ceiling and Annual Payment Cap</w:t>
      </w:r>
    </w:p>
    <w:p w14:paraId="70666FF4" w14:textId="77777777" w:rsidR="00760981" w:rsidRDefault="00760981" w:rsidP="008F660B">
      <w:pPr>
        <w:pStyle w:val="SchedH2"/>
        <w:numPr>
          <w:ilvl w:val="2"/>
          <w:numId w:val="108"/>
        </w:numPr>
      </w:pPr>
      <w:bookmarkStart w:id="5452" w:name="_Ref182216613"/>
      <w:r>
        <w:t>Annual Floor Calculation</w:t>
      </w:r>
      <w:bookmarkEnd w:id="5452"/>
    </w:p>
    <w:p w14:paraId="24E1D862" w14:textId="3DA02D65" w:rsidR="00760981" w:rsidRDefault="00760981" w:rsidP="00760981">
      <w:pPr>
        <w:pStyle w:val="Indent2"/>
        <w:ind w:left="1474" w:hanging="737"/>
      </w:pPr>
      <w:r w:rsidRPr="00597F22">
        <w:rPr>
          <w:b/>
          <w:bCs/>
        </w:rPr>
        <w:t>AF</w:t>
      </w:r>
      <w:r w:rsidRPr="00597F22">
        <w:rPr>
          <w:b/>
          <w:bCs/>
          <w:vertAlign w:val="subscript"/>
        </w:rPr>
        <w:t>SY</w:t>
      </w:r>
      <w:r>
        <w:rPr>
          <w:b/>
          <w:bCs/>
          <w:i/>
          <w:iCs/>
          <w:vertAlign w:val="subscript"/>
        </w:rPr>
        <w:tab/>
      </w:r>
      <w:r>
        <w:t xml:space="preserve">is the </w:t>
      </w:r>
      <w:r>
        <w:rPr>
          <w:b/>
          <w:bCs/>
        </w:rPr>
        <w:t>“Annual Floor”</w:t>
      </w:r>
      <w:r>
        <w:t xml:space="preserve"> for each Support Year (as adjusted in accordance with item </w:t>
      </w:r>
      <w:r>
        <w:fldChar w:fldCharType="begin"/>
      </w:r>
      <w:r>
        <w:instrText xml:space="preserve"> REF _Ref206532029 \n \h </w:instrText>
      </w:r>
      <w:r>
        <w:fldChar w:fldCharType="separate"/>
      </w:r>
      <w:r w:rsidR="002E5C6A">
        <w:t>2.2</w:t>
      </w:r>
      <w:r>
        <w:fldChar w:fldCharType="end"/>
      </w:r>
      <w:r>
        <w:t xml:space="preserve"> (“</w:t>
      </w:r>
      <w:r>
        <w:fldChar w:fldCharType="begin"/>
      </w:r>
      <w:r>
        <w:instrText xml:space="preserve"> REF _Ref206532029 \h </w:instrText>
      </w:r>
      <w:r>
        <w:fldChar w:fldCharType="separate"/>
      </w:r>
      <w:r w:rsidR="002E5C6A">
        <w:t>Adjustment to Annual Floor and Annual Ceiling</w:t>
      </w:r>
      <w:r>
        <w:fldChar w:fldCharType="end"/>
      </w:r>
      <w:r>
        <w:t>”)), except that for each of the first and last Support Year, the Annual Floor will be adjusted as follows:</w:t>
      </w:r>
    </w:p>
    <w:p w14:paraId="0736DB15" w14:textId="77777777" w:rsidR="00760981" w:rsidRDefault="00760981" w:rsidP="008F660B">
      <w:pPr>
        <w:pStyle w:val="SchedH3"/>
        <w:numPr>
          <w:ilvl w:val="0"/>
          <w:numId w:val="0"/>
        </w:numPr>
        <w:ind w:left="737"/>
        <w:jc w:val="center"/>
        <w:rPr>
          <w:sz w:val="22"/>
          <w:szCs w:val="22"/>
        </w:rPr>
      </w:pPr>
      <m:oMathPara>
        <m:oMath>
          <m:r>
            <w:rPr>
              <w:rFonts w:ascii="Cambria Math" w:hAnsi="Cambria Math"/>
              <w:sz w:val="22"/>
              <w:szCs w:val="22"/>
            </w:rPr>
            <m:t>A</m:t>
          </m:r>
          <m:sSub>
            <m:sSubPr>
              <m:ctrlPr>
                <w:rPr>
                  <w:rFonts w:ascii="Cambria Math" w:hAnsi="Cambria Math"/>
                  <w:b/>
                  <w:bCs/>
                  <w:i/>
                  <w:sz w:val="22"/>
                  <w:szCs w:val="22"/>
                </w:rPr>
              </m:ctrlPr>
            </m:sSubPr>
            <m:e>
              <m:r>
                <w:rPr>
                  <w:rFonts w:ascii="Cambria Math" w:hAnsi="Cambria Math"/>
                  <w:sz w:val="22"/>
                  <w:szCs w:val="22"/>
                </w:rPr>
                <m:t>AF</m:t>
              </m:r>
            </m:e>
            <m:sub>
              <m:r>
                <w:rPr>
                  <w:rFonts w:ascii="Cambria Math" w:hAnsi="Cambria Math"/>
                  <w:sz w:val="22"/>
                  <w:szCs w:val="22"/>
                </w:rPr>
                <m:t>SY</m:t>
              </m:r>
            </m:sub>
          </m:sSub>
          <m:r>
            <w:rPr>
              <w:rFonts w:ascii="Cambria Math" w:hAnsi="Cambria Math"/>
              <w:sz w:val="22"/>
              <w:szCs w:val="22"/>
            </w:rPr>
            <m:t xml:space="preserve">= </m:t>
          </m:r>
          <m:sSub>
            <m:sSubPr>
              <m:ctrlPr>
                <w:rPr>
                  <w:rFonts w:ascii="Cambria Math" w:hAnsi="Cambria Math"/>
                  <w:b/>
                  <w:bCs/>
                  <w:i/>
                  <w:sz w:val="22"/>
                  <w:szCs w:val="22"/>
                </w:rPr>
              </m:ctrlPr>
            </m:sSubPr>
            <m:e>
              <m:r>
                <w:rPr>
                  <w:rFonts w:ascii="Cambria Math" w:hAnsi="Cambria Math"/>
                  <w:sz w:val="22"/>
                  <w:szCs w:val="22"/>
                </w:rPr>
                <m:t>AF</m:t>
              </m:r>
            </m:e>
            <m:sub>
              <m:r>
                <w:rPr>
                  <w:rFonts w:ascii="Cambria Math" w:hAnsi="Cambria Math"/>
                  <w:sz w:val="22"/>
                  <w:szCs w:val="22"/>
                </w:rPr>
                <m:t>SY</m:t>
              </m:r>
            </m:sub>
          </m:sSub>
          <m:r>
            <w:rPr>
              <w:rFonts w:ascii="Cambria Math" w:hAnsi="Cambria Math"/>
              <w:sz w:val="22"/>
              <w:szCs w:val="22"/>
            </w:rPr>
            <m:t xml:space="preserve">× </m:t>
          </m:r>
          <m:f>
            <m:fPr>
              <m:ctrlPr>
                <w:rPr>
                  <w:rFonts w:ascii="Cambria Math" w:hAnsi="Cambria Math"/>
                  <w:b/>
                  <w:bCs/>
                  <w:i/>
                  <w:sz w:val="22"/>
                  <w:szCs w:val="22"/>
                </w:rPr>
              </m:ctrlPr>
            </m:fPr>
            <m:num>
              <m:sSub>
                <m:sSubPr>
                  <m:ctrlPr>
                    <w:rPr>
                      <w:rFonts w:ascii="Cambria Math" w:hAnsi="Cambria Math"/>
                      <w:b/>
                      <w:bCs/>
                      <w:i/>
                      <w:sz w:val="22"/>
                      <w:szCs w:val="22"/>
                    </w:rPr>
                  </m:ctrlPr>
                </m:sSubPr>
                <m:e>
                  <m:r>
                    <w:rPr>
                      <w:rFonts w:ascii="Cambria Math" w:hAnsi="Cambria Math"/>
                      <w:sz w:val="22"/>
                      <w:szCs w:val="22"/>
                    </w:rPr>
                    <m:t>N</m:t>
                  </m:r>
                </m:e>
                <m:sub>
                  <m:r>
                    <w:rPr>
                      <w:rFonts w:ascii="Cambria Math" w:hAnsi="Cambria Math"/>
                      <w:sz w:val="22"/>
                      <w:szCs w:val="22"/>
                    </w:rPr>
                    <m:t>SY</m:t>
                  </m:r>
                </m:sub>
              </m:sSub>
            </m:num>
            <m:den>
              <m:sSub>
                <m:sSubPr>
                  <m:ctrlPr>
                    <w:rPr>
                      <w:rFonts w:ascii="Cambria Math" w:hAnsi="Cambria Math"/>
                      <w:b/>
                      <w:bCs/>
                      <w:i/>
                      <w:sz w:val="22"/>
                      <w:szCs w:val="22"/>
                    </w:rPr>
                  </m:ctrlPr>
                </m:sSubPr>
                <m:e>
                  <m:r>
                    <w:rPr>
                      <w:rFonts w:ascii="Cambria Math" w:hAnsi="Cambria Math"/>
                      <w:sz w:val="22"/>
                      <w:szCs w:val="22"/>
                    </w:rPr>
                    <m:t>N</m:t>
                  </m:r>
                </m:e>
                <m:sub>
                  <m:r>
                    <w:rPr>
                      <w:rFonts w:ascii="Cambria Math" w:hAnsi="Cambria Math"/>
                      <w:sz w:val="22"/>
                      <w:szCs w:val="22"/>
                    </w:rPr>
                    <m:t>CY</m:t>
                  </m:r>
                </m:sub>
              </m:sSub>
            </m:den>
          </m:f>
        </m:oMath>
      </m:oMathPara>
    </w:p>
    <w:p w14:paraId="5E7F5FF0" w14:textId="77777777" w:rsidR="00760981" w:rsidRDefault="00760981" w:rsidP="00760981">
      <w:pPr>
        <w:pStyle w:val="Indent2"/>
        <w:ind w:left="2211" w:hanging="737"/>
      </w:pPr>
      <w:r>
        <w:t>where:</w:t>
      </w:r>
    </w:p>
    <w:p w14:paraId="57905393" w14:textId="77777777" w:rsidR="00760981" w:rsidRDefault="00760981" w:rsidP="003E5DAD">
      <w:pPr>
        <w:pStyle w:val="Indent2"/>
        <w:tabs>
          <w:tab w:val="left" w:pos="2410"/>
        </w:tabs>
        <w:ind w:left="2552" w:hanging="1078"/>
      </w:pPr>
      <w:r w:rsidRPr="00597F22">
        <w:rPr>
          <w:b/>
          <w:bCs/>
        </w:rPr>
        <w:t>AAF</w:t>
      </w:r>
      <w:r w:rsidRPr="00597F22">
        <w:rPr>
          <w:b/>
          <w:bCs/>
          <w:vertAlign w:val="subscript"/>
        </w:rPr>
        <w:t>SY</w:t>
      </w:r>
      <w:r>
        <w:tab/>
        <w:t>= the adjusted Annual Floor for the first or last Support Year (as applicable);</w:t>
      </w:r>
    </w:p>
    <w:p w14:paraId="56E322FD" w14:textId="52499AE3" w:rsidR="00760981" w:rsidRDefault="00760981" w:rsidP="003E5DAD">
      <w:pPr>
        <w:pStyle w:val="Indent2"/>
        <w:tabs>
          <w:tab w:val="left" w:pos="2410"/>
        </w:tabs>
        <w:ind w:left="2552" w:hanging="1078"/>
      </w:pPr>
      <w:r w:rsidRPr="00597F22">
        <w:rPr>
          <w:b/>
          <w:bCs/>
        </w:rPr>
        <w:t>AF</w:t>
      </w:r>
      <w:r w:rsidRPr="00597F22">
        <w:rPr>
          <w:b/>
          <w:bCs/>
          <w:vertAlign w:val="subscript"/>
        </w:rPr>
        <w:t>SY</w:t>
      </w:r>
      <w:r>
        <w:rPr>
          <w:b/>
          <w:bCs/>
        </w:rPr>
        <w:t xml:space="preserve"> </w:t>
      </w:r>
      <w:r>
        <w:rPr>
          <w:b/>
          <w:bCs/>
        </w:rPr>
        <w:tab/>
      </w:r>
      <w:r w:rsidRPr="005E5A23">
        <w:t>=</w:t>
      </w:r>
      <w:r>
        <w:t xml:space="preserve"> the Annual Floor for the first or last Support Year (as applicable) (as adjusted under item </w:t>
      </w:r>
      <w:r>
        <w:fldChar w:fldCharType="begin"/>
      </w:r>
      <w:r>
        <w:instrText xml:space="preserve"> REF _Ref206532029 \n \h </w:instrText>
      </w:r>
      <w:r>
        <w:fldChar w:fldCharType="separate"/>
      </w:r>
      <w:r w:rsidR="002E5C6A">
        <w:t>2.2</w:t>
      </w:r>
      <w:r>
        <w:fldChar w:fldCharType="end"/>
      </w:r>
      <w:r>
        <w:t xml:space="preserve"> (“</w:t>
      </w:r>
      <w:r>
        <w:fldChar w:fldCharType="begin"/>
      </w:r>
      <w:r>
        <w:instrText xml:space="preserve"> REF _Ref206532029 \h </w:instrText>
      </w:r>
      <w:r>
        <w:fldChar w:fldCharType="separate"/>
      </w:r>
      <w:r w:rsidR="002E5C6A">
        <w:t>Adjustment to Annual Floor and Annual Ceiling</w:t>
      </w:r>
      <w:r>
        <w:fldChar w:fldCharType="end"/>
      </w:r>
      <w:r>
        <w:t>”));</w:t>
      </w:r>
    </w:p>
    <w:p w14:paraId="62C23606" w14:textId="454CFA12" w:rsidR="00760981" w:rsidRDefault="00760981" w:rsidP="003E5DAD">
      <w:pPr>
        <w:pStyle w:val="Indent2"/>
        <w:tabs>
          <w:tab w:val="left" w:pos="2410"/>
        </w:tabs>
        <w:ind w:left="2552" w:hanging="1078"/>
      </w:pPr>
      <w:r w:rsidRPr="00597F22">
        <w:rPr>
          <w:b/>
          <w:bCs/>
        </w:rPr>
        <w:t>N</w:t>
      </w:r>
      <w:r w:rsidRPr="00597F22">
        <w:rPr>
          <w:b/>
          <w:bCs/>
          <w:vertAlign w:val="subscript"/>
        </w:rPr>
        <w:t>SY</w:t>
      </w:r>
      <w:r>
        <w:rPr>
          <w:b/>
          <w:bCs/>
          <w:vertAlign w:val="subscript"/>
        </w:rPr>
        <w:tab/>
      </w:r>
      <w:r>
        <w:t>= the total number of days in the first or last Support Year (as applicable);</w:t>
      </w:r>
      <w:r w:rsidR="006174FB">
        <w:t xml:space="preserve"> and</w:t>
      </w:r>
    </w:p>
    <w:p w14:paraId="4F9F7685" w14:textId="77777777" w:rsidR="00760981" w:rsidRDefault="00760981" w:rsidP="003E5DAD">
      <w:pPr>
        <w:pStyle w:val="Indent2"/>
        <w:tabs>
          <w:tab w:val="left" w:pos="2410"/>
        </w:tabs>
        <w:ind w:left="2552" w:hanging="1078"/>
      </w:pPr>
      <w:r w:rsidRPr="00597F22">
        <w:rPr>
          <w:b/>
          <w:bCs/>
        </w:rPr>
        <w:t>N</w:t>
      </w:r>
      <w:r w:rsidRPr="00597F22">
        <w:rPr>
          <w:b/>
          <w:bCs/>
          <w:vertAlign w:val="subscript"/>
        </w:rPr>
        <w:t>CY</w:t>
      </w:r>
      <w:r w:rsidRPr="00597F22">
        <w:rPr>
          <w:b/>
          <w:bCs/>
        </w:rPr>
        <w:t xml:space="preserve"> </w:t>
      </w:r>
      <w:r>
        <w:tab/>
        <w:t>= the total number of days in the full Capacity Year in which the first or last Support Year (as applicable) falls.</w:t>
      </w:r>
    </w:p>
    <w:p w14:paraId="3392AD33" w14:textId="77777777" w:rsidR="00760981" w:rsidRDefault="00760981" w:rsidP="008F660B">
      <w:pPr>
        <w:pStyle w:val="SchedH2"/>
        <w:numPr>
          <w:ilvl w:val="2"/>
          <w:numId w:val="108"/>
        </w:numPr>
      </w:pPr>
      <w:bookmarkStart w:id="5453" w:name="_Ref182216697"/>
      <w:r>
        <w:t>Annual Ceiling Calculation</w:t>
      </w:r>
      <w:bookmarkEnd w:id="5453"/>
    </w:p>
    <w:p w14:paraId="1D0B520D" w14:textId="2278F248" w:rsidR="00760981" w:rsidRDefault="00760981" w:rsidP="008F660B">
      <w:pPr>
        <w:pStyle w:val="SchedH3"/>
        <w:numPr>
          <w:ilvl w:val="0"/>
          <w:numId w:val="0"/>
        </w:numPr>
        <w:ind w:left="1474" w:hanging="737"/>
      </w:pPr>
      <w:r>
        <w:rPr>
          <w:b/>
          <w:bCs/>
        </w:rPr>
        <w:t>AC</w:t>
      </w:r>
      <w:r>
        <w:rPr>
          <w:b/>
          <w:bCs/>
          <w:vertAlign w:val="subscript"/>
        </w:rPr>
        <w:t>SY</w:t>
      </w:r>
      <w:r>
        <w:tab/>
        <w:t>is the “</w:t>
      </w:r>
      <w:r>
        <w:rPr>
          <w:b/>
          <w:bCs/>
        </w:rPr>
        <w:t>Annual Ceiling</w:t>
      </w:r>
      <w:r>
        <w:t xml:space="preserve">” for the Support Year (as adjusted in accordance with item </w:t>
      </w:r>
      <w:r>
        <w:fldChar w:fldCharType="begin"/>
      </w:r>
      <w:r>
        <w:instrText xml:space="preserve"> REF _Ref206532029 \n \h </w:instrText>
      </w:r>
      <w:r>
        <w:fldChar w:fldCharType="separate"/>
      </w:r>
      <w:r w:rsidR="002E5C6A">
        <w:t>2.2</w:t>
      </w:r>
      <w:r>
        <w:fldChar w:fldCharType="end"/>
      </w:r>
      <w:r>
        <w:t xml:space="preserve"> (“</w:t>
      </w:r>
      <w:r>
        <w:fldChar w:fldCharType="begin"/>
      </w:r>
      <w:r>
        <w:instrText xml:space="preserve"> REF _Ref206532029 \h </w:instrText>
      </w:r>
      <w:r>
        <w:fldChar w:fldCharType="separate"/>
      </w:r>
      <w:r w:rsidR="002E5C6A">
        <w:t>Adjustment to Annual Floor and Annual Ceiling</w:t>
      </w:r>
      <w:r>
        <w:fldChar w:fldCharType="end"/>
      </w:r>
      <w:r>
        <w:t>”)), except that for each of</w:t>
      </w:r>
      <w:r>
        <w:rPr>
          <w:b/>
          <w:bCs/>
        </w:rPr>
        <w:t xml:space="preserve"> </w:t>
      </w:r>
      <w:r>
        <w:t>the first and last Support Year, the Annual Ceiling will be adjusted as follows:</w:t>
      </w:r>
    </w:p>
    <w:p w14:paraId="56576C00" w14:textId="77777777" w:rsidR="00760981" w:rsidRPr="00322B21" w:rsidRDefault="0057509B" w:rsidP="008F660B">
      <w:pPr>
        <w:pStyle w:val="SchedH3"/>
        <w:numPr>
          <w:ilvl w:val="0"/>
          <w:numId w:val="0"/>
        </w:numPr>
        <w:ind w:left="3685"/>
        <w:jc w:val="center"/>
        <w:rPr>
          <w:b/>
          <w:sz w:val="22"/>
          <w:szCs w:val="22"/>
        </w:rPr>
      </w:pPr>
      <m:oMathPara>
        <m:oMathParaPr>
          <m:jc m:val="left"/>
        </m:oMathParaPr>
        <m:oMath>
          <m:sSub>
            <m:sSubPr>
              <m:ctrlPr>
                <w:rPr>
                  <w:rFonts w:ascii="Cambria Math" w:hAnsi="Cambria Math"/>
                  <w:b/>
                  <w:i/>
                  <w:sz w:val="22"/>
                  <w:szCs w:val="22"/>
                </w:rPr>
              </m:ctrlPr>
            </m:sSubPr>
            <m:e>
              <m:r>
                <w:rPr>
                  <w:rFonts w:ascii="Cambria Math" w:hAnsi="Cambria Math"/>
                  <w:sz w:val="22"/>
                  <w:szCs w:val="22"/>
                </w:rPr>
                <m:t>AAC</m:t>
              </m:r>
            </m:e>
            <m:sub>
              <m:r>
                <w:rPr>
                  <w:rFonts w:ascii="Cambria Math" w:hAnsi="Cambria Math"/>
                  <w:sz w:val="22"/>
                  <w:szCs w:val="22"/>
                </w:rPr>
                <m:t>SY</m:t>
              </m:r>
            </m:sub>
          </m:sSub>
          <m:r>
            <w:rPr>
              <w:rFonts w:ascii="Cambria Math" w:hAnsi="Cambria Math"/>
              <w:sz w:val="22"/>
              <w:szCs w:val="22"/>
            </w:rPr>
            <m:t xml:space="preserve"> = </m:t>
          </m:r>
          <m:sSub>
            <m:sSubPr>
              <m:ctrlPr>
                <w:rPr>
                  <w:rFonts w:ascii="Cambria Math" w:hAnsi="Cambria Math"/>
                  <w:b/>
                  <w:i/>
                  <w:sz w:val="22"/>
                  <w:szCs w:val="22"/>
                </w:rPr>
              </m:ctrlPr>
            </m:sSubPr>
            <m:e>
              <m:r>
                <w:rPr>
                  <w:rFonts w:ascii="Cambria Math" w:hAnsi="Cambria Math"/>
                  <w:sz w:val="22"/>
                  <w:szCs w:val="22"/>
                </w:rPr>
                <m:t>AC</m:t>
              </m:r>
            </m:e>
            <m:sub>
              <m:r>
                <w:rPr>
                  <w:rFonts w:ascii="Cambria Math" w:hAnsi="Cambria Math"/>
                  <w:sz w:val="22"/>
                  <w:szCs w:val="22"/>
                </w:rPr>
                <m:t>SY</m:t>
              </m:r>
            </m:sub>
          </m:sSub>
          <m:r>
            <w:rPr>
              <w:rFonts w:ascii="Cambria Math" w:hAnsi="Cambria Math"/>
              <w:sz w:val="22"/>
              <w:szCs w:val="22"/>
            </w:rPr>
            <m:t xml:space="preserve"> × </m:t>
          </m:r>
          <m:f>
            <m:fPr>
              <m:ctrlPr>
                <w:rPr>
                  <w:rFonts w:ascii="Cambria Math" w:hAnsi="Cambria Math"/>
                  <w:b/>
                  <w:i/>
                  <w:sz w:val="22"/>
                  <w:szCs w:val="22"/>
                </w:rPr>
              </m:ctrlPr>
            </m:fPr>
            <m:num>
              <m:sSub>
                <m:sSubPr>
                  <m:ctrlPr>
                    <w:rPr>
                      <w:rFonts w:ascii="Cambria Math" w:hAnsi="Cambria Math"/>
                      <w:b/>
                      <w:i/>
                      <w:sz w:val="22"/>
                      <w:szCs w:val="22"/>
                    </w:rPr>
                  </m:ctrlPr>
                </m:sSubPr>
                <m:e>
                  <m:r>
                    <w:rPr>
                      <w:rFonts w:ascii="Cambria Math" w:hAnsi="Cambria Math"/>
                      <w:sz w:val="22"/>
                      <w:szCs w:val="22"/>
                    </w:rPr>
                    <m:t>N</m:t>
                  </m:r>
                </m:e>
                <m:sub>
                  <m:r>
                    <w:rPr>
                      <w:rFonts w:ascii="Cambria Math" w:hAnsi="Cambria Math"/>
                      <w:sz w:val="22"/>
                      <w:szCs w:val="22"/>
                    </w:rPr>
                    <m:t>SY</m:t>
                  </m:r>
                </m:sub>
              </m:sSub>
            </m:num>
            <m:den>
              <m:sSub>
                <m:sSubPr>
                  <m:ctrlPr>
                    <w:rPr>
                      <w:rFonts w:ascii="Cambria Math" w:hAnsi="Cambria Math"/>
                      <w:b/>
                      <w:i/>
                      <w:sz w:val="22"/>
                      <w:szCs w:val="22"/>
                    </w:rPr>
                  </m:ctrlPr>
                </m:sSubPr>
                <m:e>
                  <m:r>
                    <w:rPr>
                      <w:rFonts w:ascii="Cambria Math" w:hAnsi="Cambria Math"/>
                      <w:sz w:val="22"/>
                      <w:szCs w:val="22"/>
                    </w:rPr>
                    <m:t>N</m:t>
                  </m:r>
                </m:e>
                <m:sub>
                  <m:r>
                    <w:rPr>
                      <w:rFonts w:ascii="Cambria Math" w:hAnsi="Cambria Math"/>
                      <w:sz w:val="22"/>
                      <w:szCs w:val="22"/>
                    </w:rPr>
                    <m:t>CY</m:t>
                  </m:r>
                </m:sub>
              </m:sSub>
            </m:den>
          </m:f>
        </m:oMath>
      </m:oMathPara>
    </w:p>
    <w:p w14:paraId="72D72D70" w14:textId="77777777" w:rsidR="00760981" w:rsidRDefault="00760981" w:rsidP="008F660B">
      <w:pPr>
        <w:pStyle w:val="SchedH3"/>
        <w:numPr>
          <w:ilvl w:val="0"/>
          <w:numId w:val="0"/>
        </w:numPr>
        <w:ind w:left="1474"/>
      </w:pPr>
      <w:r>
        <w:t>where:</w:t>
      </w:r>
    </w:p>
    <w:p w14:paraId="43F7220A" w14:textId="77777777" w:rsidR="00760981" w:rsidRDefault="00760981" w:rsidP="003E5DAD">
      <w:pPr>
        <w:pStyle w:val="Indent2"/>
        <w:tabs>
          <w:tab w:val="left" w:pos="2410"/>
        </w:tabs>
        <w:ind w:left="2552" w:hanging="1078"/>
      </w:pPr>
      <w:r w:rsidRPr="00597F22">
        <w:rPr>
          <w:b/>
          <w:bCs/>
        </w:rPr>
        <w:t>AAC</w:t>
      </w:r>
      <w:r w:rsidRPr="00597F22">
        <w:rPr>
          <w:b/>
          <w:bCs/>
          <w:vertAlign w:val="subscript"/>
        </w:rPr>
        <w:t>SY</w:t>
      </w:r>
      <w:r>
        <w:tab/>
        <w:t>= the adjusted Annual Ceiling for the first or last Support Year (as applicable);</w:t>
      </w:r>
    </w:p>
    <w:p w14:paraId="7AE1B950" w14:textId="4B53983A" w:rsidR="00760981" w:rsidRDefault="00760981" w:rsidP="003E5DAD">
      <w:pPr>
        <w:pStyle w:val="Indent2"/>
        <w:tabs>
          <w:tab w:val="left" w:pos="2410"/>
        </w:tabs>
        <w:ind w:left="2552" w:hanging="1078"/>
      </w:pPr>
      <w:r w:rsidRPr="00597F22">
        <w:rPr>
          <w:b/>
          <w:bCs/>
        </w:rPr>
        <w:t>AC</w:t>
      </w:r>
      <w:r w:rsidRPr="00597F22">
        <w:rPr>
          <w:b/>
          <w:bCs/>
          <w:vertAlign w:val="subscript"/>
        </w:rPr>
        <w:t>SY</w:t>
      </w:r>
      <w:r w:rsidRPr="00597F22">
        <w:rPr>
          <w:b/>
          <w:bCs/>
        </w:rPr>
        <w:t xml:space="preserve"> </w:t>
      </w:r>
      <w:r>
        <w:rPr>
          <w:b/>
          <w:bCs/>
        </w:rPr>
        <w:tab/>
      </w:r>
      <w:r>
        <w:t xml:space="preserve">= the Annual Ceiling for the first or last Support Year (as applicable) (as adjusted under item </w:t>
      </w:r>
      <w:r>
        <w:fldChar w:fldCharType="begin"/>
      </w:r>
      <w:r>
        <w:instrText xml:space="preserve"> REF _Ref206532029 \n \h </w:instrText>
      </w:r>
      <w:r>
        <w:fldChar w:fldCharType="separate"/>
      </w:r>
      <w:r w:rsidR="002E5C6A">
        <w:t>2.2</w:t>
      </w:r>
      <w:r>
        <w:fldChar w:fldCharType="end"/>
      </w:r>
      <w:r>
        <w:t xml:space="preserve"> (“</w:t>
      </w:r>
      <w:r>
        <w:fldChar w:fldCharType="begin"/>
      </w:r>
      <w:r>
        <w:instrText xml:space="preserve"> REF _Ref206532029 \h </w:instrText>
      </w:r>
      <w:r>
        <w:fldChar w:fldCharType="separate"/>
      </w:r>
      <w:r w:rsidR="002E5C6A">
        <w:t>Adjustment to Annual Floor and Annual Ceiling</w:t>
      </w:r>
      <w:r>
        <w:fldChar w:fldCharType="end"/>
      </w:r>
      <w:r>
        <w:t>”));</w:t>
      </w:r>
    </w:p>
    <w:p w14:paraId="408F308B" w14:textId="59E96D4E" w:rsidR="00760981" w:rsidRDefault="00760981" w:rsidP="003E5DAD">
      <w:pPr>
        <w:pStyle w:val="Indent2"/>
        <w:tabs>
          <w:tab w:val="left" w:pos="2410"/>
        </w:tabs>
        <w:ind w:left="2552" w:hanging="1078"/>
      </w:pPr>
      <w:r w:rsidRPr="00597F22">
        <w:rPr>
          <w:b/>
          <w:bCs/>
        </w:rPr>
        <w:t>N</w:t>
      </w:r>
      <w:r w:rsidRPr="00597F22">
        <w:rPr>
          <w:b/>
          <w:bCs/>
          <w:vertAlign w:val="subscript"/>
        </w:rPr>
        <w:t>SY</w:t>
      </w:r>
      <w:r>
        <w:rPr>
          <w:b/>
          <w:bCs/>
          <w:vertAlign w:val="subscript"/>
        </w:rPr>
        <w:tab/>
      </w:r>
      <w:r>
        <w:t>= the total number of days in the first or last Support Year (as applicable);</w:t>
      </w:r>
      <w:r w:rsidR="006174FB">
        <w:t xml:space="preserve"> and</w:t>
      </w:r>
    </w:p>
    <w:p w14:paraId="50460F59" w14:textId="77777777" w:rsidR="00760981" w:rsidRDefault="00760981" w:rsidP="003E5DAD">
      <w:pPr>
        <w:pStyle w:val="Indent2"/>
        <w:tabs>
          <w:tab w:val="left" w:pos="2410"/>
        </w:tabs>
        <w:ind w:left="2552" w:hanging="1078"/>
      </w:pPr>
      <w:r w:rsidRPr="00597F22">
        <w:rPr>
          <w:b/>
          <w:bCs/>
        </w:rPr>
        <w:t>N</w:t>
      </w:r>
      <w:r w:rsidRPr="00597F22">
        <w:rPr>
          <w:b/>
          <w:bCs/>
          <w:vertAlign w:val="subscript"/>
        </w:rPr>
        <w:t>CY</w:t>
      </w:r>
      <w:r w:rsidRPr="00597F22">
        <w:rPr>
          <w:b/>
          <w:bCs/>
        </w:rPr>
        <w:t xml:space="preserve"> </w:t>
      </w:r>
      <w:r>
        <w:tab/>
        <w:t>= the total number of days in the full Capacity Year in which the first or last Support Year (as applicable) falls.</w:t>
      </w:r>
    </w:p>
    <w:p w14:paraId="2AC7B4C8" w14:textId="77777777" w:rsidR="00760981" w:rsidRDefault="00760981" w:rsidP="008F660B">
      <w:pPr>
        <w:pStyle w:val="SchedH2"/>
        <w:numPr>
          <w:ilvl w:val="2"/>
          <w:numId w:val="108"/>
        </w:numPr>
      </w:pPr>
      <w:bookmarkStart w:id="5454" w:name="_Ref182216565"/>
      <w:r>
        <w:t>Annual Payment Cap Calculation</w:t>
      </w:r>
      <w:bookmarkEnd w:id="5454"/>
    </w:p>
    <w:p w14:paraId="4A6F2244" w14:textId="77777777" w:rsidR="00760981" w:rsidRDefault="00760981" w:rsidP="00760981">
      <w:pPr>
        <w:pStyle w:val="Indent2"/>
        <w:ind w:left="1474" w:hanging="737"/>
      </w:pPr>
      <w:r w:rsidRPr="00597F22">
        <w:rPr>
          <w:b/>
          <w:bCs/>
        </w:rPr>
        <w:t>APC</w:t>
      </w:r>
      <w:r w:rsidRPr="00597F22">
        <w:rPr>
          <w:b/>
          <w:bCs/>
          <w:vertAlign w:val="subscript"/>
        </w:rPr>
        <w:t>SY</w:t>
      </w:r>
      <w:r>
        <w:rPr>
          <w:b/>
          <w:bCs/>
          <w:i/>
          <w:iCs/>
          <w:vertAlign w:val="subscript"/>
        </w:rPr>
        <w:tab/>
      </w:r>
      <w:r>
        <w:t>is the “</w:t>
      </w:r>
      <w:r>
        <w:rPr>
          <w:b/>
          <w:bCs/>
        </w:rPr>
        <w:t>Annual Payment Cap</w:t>
      </w:r>
      <w:r>
        <w:t>” for the Support Year, except that for each of the first and last Support Year, the Annual Payment Cap will be adjusted as follows:</w:t>
      </w:r>
    </w:p>
    <w:p w14:paraId="24825ABB" w14:textId="77777777" w:rsidR="00760981" w:rsidRDefault="0057509B" w:rsidP="008F660B">
      <w:pPr>
        <w:pStyle w:val="Indent2"/>
        <w:ind w:left="1842" w:hanging="1105"/>
        <w:jc w:val="center"/>
      </w:pPr>
      <m:oMathPara>
        <m:oMath>
          <m:sSub>
            <m:sSubPr>
              <m:ctrlPr>
                <w:rPr>
                  <w:rFonts w:ascii="Cambria Math" w:hAnsi="Cambria Math"/>
                  <w:b/>
                  <w:bCs/>
                  <w:i/>
                  <w:sz w:val="22"/>
                  <w:szCs w:val="22"/>
                </w:rPr>
              </m:ctrlPr>
            </m:sSubPr>
            <m:e>
              <m:sSub>
                <m:sSubPr>
                  <m:ctrlPr>
                    <w:rPr>
                      <w:rFonts w:ascii="Cambria Math" w:hAnsi="Cambria Math"/>
                      <w:b/>
                      <w:bCs/>
                      <w:i/>
                      <w:sz w:val="22"/>
                      <w:szCs w:val="22"/>
                    </w:rPr>
                  </m:ctrlPr>
                </m:sSubPr>
                <m:e>
                  <m:r>
                    <w:rPr>
                      <w:rFonts w:ascii="Cambria Math" w:hAnsi="Cambria Math"/>
                      <w:sz w:val="22"/>
                      <w:szCs w:val="22"/>
                    </w:rPr>
                    <m:t>AAPC</m:t>
                  </m:r>
                </m:e>
                <m:sub>
                  <m:r>
                    <w:rPr>
                      <w:rFonts w:ascii="Cambria Math" w:hAnsi="Cambria Math"/>
                      <w:sz w:val="22"/>
                      <w:szCs w:val="22"/>
                    </w:rPr>
                    <m:t>SY</m:t>
                  </m:r>
                </m:sub>
              </m:sSub>
              <m:r>
                <w:rPr>
                  <w:rFonts w:ascii="Cambria Math" w:hAnsi="Cambria Math"/>
                  <w:sz w:val="22"/>
                  <w:szCs w:val="22"/>
                </w:rPr>
                <m:t>= APC</m:t>
              </m:r>
            </m:e>
            <m:sub>
              <m:r>
                <w:rPr>
                  <w:rFonts w:ascii="Cambria Math" w:hAnsi="Cambria Math"/>
                  <w:sz w:val="22"/>
                  <w:szCs w:val="22"/>
                </w:rPr>
                <m:t>SY</m:t>
              </m:r>
            </m:sub>
          </m:sSub>
          <m:r>
            <w:rPr>
              <w:rFonts w:ascii="Cambria Math" w:hAnsi="Cambria Math"/>
              <w:sz w:val="22"/>
              <w:szCs w:val="22"/>
            </w:rPr>
            <m:t xml:space="preserve"> × </m:t>
          </m:r>
          <m:f>
            <m:fPr>
              <m:ctrlPr>
                <w:rPr>
                  <w:rFonts w:ascii="Cambria Math" w:hAnsi="Cambria Math"/>
                  <w:b/>
                  <w:bCs/>
                  <w:i/>
                  <w:sz w:val="22"/>
                  <w:szCs w:val="22"/>
                </w:rPr>
              </m:ctrlPr>
            </m:fPr>
            <m:num>
              <m:sSub>
                <m:sSubPr>
                  <m:ctrlPr>
                    <w:rPr>
                      <w:rFonts w:ascii="Cambria Math" w:hAnsi="Cambria Math"/>
                      <w:b/>
                      <w:bCs/>
                      <w:i/>
                      <w:sz w:val="22"/>
                      <w:szCs w:val="22"/>
                    </w:rPr>
                  </m:ctrlPr>
                </m:sSubPr>
                <m:e>
                  <m:r>
                    <w:rPr>
                      <w:rFonts w:ascii="Cambria Math" w:hAnsi="Cambria Math"/>
                      <w:sz w:val="22"/>
                      <w:szCs w:val="22"/>
                    </w:rPr>
                    <m:t>N</m:t>
                  </m:r>
                </m:e>
                <m:sub>
                  <m:r>
                    <w:rPr>
                      <w:rFonts w:ascii="Cambria Math" w:hAnsi="Cambria Math"/>
                      <w:sz w:val="22"/>
                      <w:szCs w:val="22"/>
                    </w:rPr>
                    <m:t>SY</m:t>
                  </m:r>
                </m:sub>
              </m:sSub>
            </m:num>
            <m:den>
              <m:sSub>
                <m:sSubPr>
                  <m:ctrlPr>
                    <w:rPr>
                      <w:rFonts w:ascii="Cambria Math" w:hAnsi="Cambria Math"/>
                      <w:b/>
                      <w:bCs/>
                      <w:i/>
                      <w:sz w:val="22"/>
                      <w:szCs w:val="22"/>
                    </w:rPr>
                  </m:ctrlPr>
                </m:sSubPr>
                <m:e>
                  <m:r>
                    <w:rPr>
                      <w:rFonts w:ascii="Cambria Math" w:hAnsi="Cambria Math"/>
                      <w:sz w:val="22"/>
                      <w:szCs w:val="22"/>
                    </w:rPr>
                    <m:t>N</m:t>
                  </m:r>
                </m:e>
                <m:sub>
                  <m:r>
                    <w:rPr>
                      <w:rFonts w:ascii="Cambria Math" w:hAnsi="Cambria Math"/>
                      <w:sz w:val="22"/>
                      <w:szCs w:val="22"/>
                    </w:rPr>
                    <m:t>CY</m:t>
                  </m:r>
                </m:sub>
              </m:sSub>
            </m:den>
          </m:f>
        </m:oMath>
      </m:oMathPara>
    </w:p>
    <w:p w14:paraId="37DF6B1C" w14:textId="77777777" w:rsidR="00760981" w:rsidRDefault="00760981" w:rsidP="00760981">
      <w:pPr>
        <w:pStyle w:val="Indent2"/>
        <w:ind w:left="2211" w:hanging="737"/>
      </w:pPr>
      <w:r>
        <w:t>where:</w:t>
      </w:r>
    </w:p>
    <w:p w14:paraId="111CED56" w14:textId="77777777" w:rsidR="00760981" w:rsidRDefault="00760981" w:rsidP="003E5DAD">
      <w:pPr>
        <w:pStyle w:val="Indent2"/>
        <w:tabs>
          <w:tab w:val="left" w:pos="2410"/>
        </w:tabs>
        <w:ind w:left="2552" w:hanging="1078"/>
      </w:pPr>
      <w:r w:rsidRPr="00597F22">
        <w:rPr>
          <w:b/>
          <w:bCs/>
        </w:rPr>
        <w:t>AAPC</w:t>
      </w:r>
      <w:r w:rsidRPr="00597F22">
        <w:rPr>
          <w:b/>
          <w:bCs/>
          <w:vertAlign w:val="subscript"/>
        </w:rPr>
        <w:t>SY</w:t>
      </w:r>
      <w:r>
        <w:tab/>
        <w:t>= the adjusted Annual Payment Cap for each of the first or last Support Year (as applicable);</w:t>
      </w:r>
    </w:p>
    <w:p w14:paraId="1DC9BFC1" w14:textId="77777777" w:rsidR="00760981" w:rsidRDefault="00760981" w:rsidP="003E5DAD">
      <w:pPr>
        <w:pStyle w:val="Indent2"/>
        <w:tabs>
          <w:tab w:val="left" w:pos="2410"/>
        </w:tabs>
        <w:ind w:left="2552" w:hanging="1078"/>
      </w:pPr>
      <w:r w:rsidRPr="00597F22">
        <w:rPr>
          <w:b/>
          <w:bCs/>
        </w:rPr>
        <w:t>APC</w:t>
      </w:r>
      <w:r w:rsidRPr="00597F22">
        <w:rPr>
          <w:b/>
          <w:bCs/>
          <w:vertAlign w:val="subscript"/>
        </w:rPr>
        <w:t>SY</w:t>
      </w:r>
      <w:r>
        <w:tab/>
        <w:t>= the Annual Payment Cap for the first or last Support Year (as applicable);</w:t>
      </w:r>
    </w:p>
    <w:p w14:paraId="5FCE1BD7" w14:textId="058A8839" w:rsidR="00760981" w:rsidRDefault="00760981" w:rsidP="003E5DAD">
      <w:pPr>
        <w:pStyle w:val="Indent2"/>
        <w:tabs>
          <w:tab w:val="left" w:pos="2410"/>
        </w:tabs>
        <w:ind w:left="2552" w:hanging="1078"/>
      </w:pPr>
      <w:r w:rsidRPr="00597F22">
        <w:rPr>
          <w:b/>
          <w:bCs/>
        </w:rPr>
        <w:t>N</w:t>
      </w:r>
      <w:r w:rsidRPr="00597F22">
        <w:rPr>
          <w:b/>
          <w:bCs/>
          <w:vertAlign w:val="subscript"/>
        </w:rPr>
        <w:t>SY</w:t>
      </w:r>
      <w:r>
        <w:rPr>
          <w:b/>
          <w:bCs/>
          <w:vertAlign w:val="subscript"/>
        </w:rPr>
        <w:tab/>
      </w:r>
      <w:r>
        <w:t>= the total number of days in the first or last Support Year (as applicable);</w:t>
      </w:r>
      <w:r w:rsidR="006174FB">
        <w:t xml:space="preserve"> and</w:t>
      </w:r>
    </w:p>
    <w:p w14:paraId="010EE0F3" w14:textId="77777777" w:rsidR="00760981" w:rsidRDefault="00760981" w:rsidP="003E5DAD">
      <w:pPr>
        <w:pStyle w:val="Indent2"/>
        <w:tabs>
          <w:tab w:val="left" w:pos="2410"/>
        </w:tabs>
        <w:ind w:left="2552" w:hanging="1078"/>
      </w:pPr>
      <w:r w:rsidRPr="00597F22">
        <w:rPr>
          <w:b/>
          <w:bCs/>
        </w:rPr>
        <w:t>N</w:t>
      </w:r>
      <w:r w:rsidRPr="00597F22">
        <w:rPr>
          <w:b/>
          <w:bCs/>
          <w:vertAlign w:val="subscript"/>
        </w:rPr>
        <w:t>CY</w:t>
      </w:r>
      <w:r w:rsidRPr="00597F22">
        <w:rPr>
          <w:b/>
          <w:bCs/>
        </w:rPr>
        <w:t xml:space="preserve"> </w:t>
      </w:r>
      <w:r>
        <w:tab/>
        <w:t>= the total number of days in the full Capacity Year in which the first or last Support Year (as applicable) falls.</w:t>
      </w:r>
    </w:p>
    <w:p w14:paraId="32D87596" w14:textId="77777777" w:rsidR="00760981" w:rsidRPr="00C118BA" w:rsidRDefault="00760981" w:rsidP="00760981">
      <w:pPr>
        <w:spacing w:before="120"/>
        <w:ind w:left="680"/>
        <w:rPr>
          <w:lang w:val="en-GB"/>
        </w:rPr>
      </w:pPr>
    </w:p>
    <w:p w14:paraId="0AA56009" w14:textId="77777777" w:rsidR="00A32D4C" w:rsidRDefault="00A32D4C" w:rsidP="00A32D4C">
      <w:pPr>
        <w:pStyle w:val="Indent2"/>
        <w:ind w:left="0"/>
        <w:sectPr w:rsidR="00A32D4C" w:rsidSect="00E5595F">
          <w:headerReference w:type="even" r:id="rId37"/>
          <w:headerReference w:type="default" r:id="rId38"/>
          <w:footerReference w:type="even" r:id="rId39"/>
          <w:footerReference w:type="default" r:id="rId40"/>
          <w:headerReference w:type="first" r:id="rId41"/>
          <w:footerReference w:type="first" r:id="rId42"/>
          <w:pgSz w:w="11907" w:h="16840" w:code="9"/>
          <w:pgMar w:top="1134" w:right="1134" w:bottom="1418" w:left="2835" w:header="425" w:footer="567" w:gutter="0"/>
          <w:cols w:space="720"/>
          <w:titlePg/>
          <w:docGrid w:linePitch="313"/>
        </w:sectPr>
      </w:pPr>
    </w:p>
    <w:p w14:paraId="0561E149" w14:textId="77777777" w:rsidR="00A32D4C" w:rsidRPr="00792B2E" w:rsidRDefault="001472D1" w:rsidP="00467340">
      <w:pPr>
        <w:pStyle w:val="SchedulePageHeading"/>
        <w:numPr>
          <w:ilvl w:val="0"/>
          <w:numId w:val="42"/>
        </w:numPr>
      </w:pPr>
      <w:bookmarkStart w:id="5455" w:name="_Ref159507374"/>
      <w:bookmarkStart w:id="5456" w:name="_Ref_ContractCompanion_9kb9Ur46A"/>
      <w:bookmarkStart w:id="5457" w:name="_Ref206066924"/>
      <w:bookmarkStart w:id="5458" w:name="_Ref206066932"/>
      <w:bookmarkStart w:id="5459" w:name="_Toc207309764"/>
      <w:r w:rsidRPr="00792B2E">
        <w:t xml:space="preserve">Social Licence </w:t>
      </w:r>
      <w:r w:rsidR="00E75A43" w:rsidRPr="00792B2E">
        <w:t>Commitments</w:t>
      </w:r>
      <w:bookmarkEnd w:id="5455"/>
      <w:bookmarkEnd w:id="5456"/>
      <w:bookmarkEnd w:id="5457"/>
      <w:bookmarkEnd w:id="5458"/>
      <w:bookmarkEnd w:id="5459"/>
    </w:p>
    <w:p w14:paraId="02972673" w14:textId="77777777" w:rsidR="0024371D" w:rsidRDefault="0024371D" w:rsidP="0024371D">
      <w:pPr>
        <w:spacing w:before="120"/>
        <w:ind w:left="680"/>
        <w:rPr>
          <w:rFonts w:eastAsia="SimSun"/>
          <w:b/>
          <w:i/>
          <w:highlight w:val="lightGray"/>
        </w:rPr>
      </w:pPr>
      <w:r>
        <w:rPr>
          <w:rFonts w:eastAsia="SimSun"/>
          <w:b/>
          <w:i/>
          <w:highlight w:val="lightGray"/>
        </w:rPr>
        <w:t xml:space="preserve">[Notes: </w:t>
      </w:r>
    </w:p>
    <w:p w14:paraId="7BAABA41" w14:textId="77777777" w:rsidR="0024371D" w:rsidRDefault="0024371D" w:rsidP="0024371D">
      <w:pPr>
        <w:spacing w:before="120"/>
        <w:ind w:left="993" w:hanging="284"/>
        <w:rPr>
          <w:rFonts w:eastAsia="SimSun"/>
          <w:b/>
          <w:i/>
          <w:highlight w:val="lightGray"/>
        </w:rPr>
      </w:pPr>
      <w:r>
        <w:rPr>
          <w:rFonts w:eastAsia="SimSun"/>
          <w:b/>
          <w:i/>
          <w:highlight w:val="lightGray"/>
        </w:rPr>
        <w:t>1.</w:t>
      </w:r>
      <w:r>
        <w:rPr>
          <w:rFonts w:eastAsia="SimSun"/>
          <w:b/>
          <w:i/>
          <w:highlight w:val="lightGray"/>
        </w:rPr>
        <w:tab/>
        <w:t>This Schedule 2 applies to all Projects.</w:t>
      </w:r>
    </w:p>
    <w:p w14:paraId="5FB83D75" w14:textId="77777777" w:rsidR="0024371D" w:rsidRDefault="0024371D" w:rsidP="0024371D">
      <w:pPr>
        <w:spacing w:before="120"/>
        <w:ind w:left="993" w:hanging="284"/>
        <w:rPr>
          <w:rFonts w:eastAsia="SimSun"/>
          <w:b/>
          <w:i/>
          <w:highlight w:val="lightGray"/>
        </w:rPr>
      </w:pPr>
      <w:r>
        <w:rPr>
          <w:rFonts w:eastAsia="SimSun"/>
          <w:b/>
          <w:i/>
          <w:highlight w:val="lightGray"/>
        </w:rPr>
        <w:t>2.</w:t>
      </w:r>
      <w:r>
        <w:rPr>
          <w:rFonts w:eastAsia="SimSun"/>
          <w:b/>
          <w:i/>
          <w:highlight w:val="lightGray"/>
        </w:rPr>
        <w:tab/>
      </w:r>
      <w:r>
        <w:rPr>
          <w:rFonts w:eastAsia="SimSun"/>
          <w:b/>
          <w:bCs/>
          <w:i/>
          <w:iCs/>
          <w:highlight w:val="lightGray"/>
        </w:rPr>
        <w:t>Proponents are not to manually insert these details – please refer to the Returnable Schedules</w:t>
      </w:r>
      <w:r>
        <w:rPr>
          <w:rFonts w:eastAsia="SimSun"/>
          <w:b/>
          <w:i/>
          <w:highlight w:val="lightGray"/>
        </w:rPr>
        <w:t>.</w:t>
      </w:r>
    </w:p>
    <w:p w14:paraId="3A1AAD5C" w14:textId="2FE0E3C5" w:rsidR="0024371D" w:rsidRDefault="0024371D" w:rsidP="0024371D">
      <w:pPr>
        <w:spacing w:before="120"/>
        <w:ind w:left="993" w:hanging="284"/>
        <w:rPr>
          <w:rFonts w:eastAsia="SimSun"/>
          <w:b/>
          <w:i/>
          <w:highlight w:val="lightGray"/>
        </w:rPr>
      </w:pPr>
      <w:r>
        <w:rPr>
          <w:rFonts w:eastAsia="SimSun"/>
          <w:b/>
          <w:i/>
          <w:highlight w:val="lightGray"/>
        </w:rPr>
        <w:t>3.</w:t>
      </w:r>
      <w:r>
        <w:rPr>
          <w:rFonts w:eastAsia="SimSun"/>
          <w:b/>
          <w:i/>
          <w:highlight w:val="lightGray"/>
        </w:rPr>
        <w:tab/>
      </w:r>
      <w:r>
        <w:rPr>
          <w:rFonts w:eastAsia="SimSun"/>
          <w:b/>
          <w:bCs/>
          <w:i/>
          <w:iCs/>
          <w:highlight w:val="lightGray"/>
        </w:rPr>
        <w:t xml:space="preserve">Where indicated, Project Operator must fulfil all Social Licence Commitments as set out in this Schedule, which form part of its obligations under </w:t>
      </w:r>
      <w:r w:rsidRPr="007C4604">
        <w:rPr>
          <w:rFonts w:eastAsia="SimSun"/>
          <w:b/>
          <w:i/>
          <w:highlight w:val="lightGray"/>
        </w:rPr>
        <w:t>clause</w:t>
      </w:r>
      <w:r w:rsidR="00883C27">
        <w:rPr>
          <w:rFonts w:eastAsia="SimSun"/>
          <w:b/>
          <w:i/>
          <w:highlight w:val="lightGray"/>
        </w:rPr>
        <w:t xml:space="preserve"> </w:t>
      </w:r>
      <w:r w:rsidR="00883C27">
        <w:rPr>
          <w:rFonts w:eastAsia="SimSun"/>
          <w:b/>
          <w:i/>
          <w:highlight w:val="lightGray"/>
        </w:rPr>
        <w:fldChar w:fldCharType="begin"/>
      </w:r>
      <w:r w:rsidR="00883C27">
        <w:rPr>
          <w:rFonts w:eastAsia="SimSun"/>
          <w:b/>
          <w:i/>
          <w:highlight w:val="lightGray"/>
        </w:rPr>
        <w:instrText xml:space="preserve"> REF _Ref206706719 \r \h </w:instrText>
      </w:r>
      <w:r w:rsidR="00883C27">
        <w:rPr>
          <w:rFonts w:eastAsia="SimSun"/>
          <w:b/>
          <w:i/>
          <w:highlight w:val="lightGray"/>
        </w:rPr>
      </w:r>
      <w:r w:rsidR="00883C27">
        <w:rPr>
          <w:rFonts w:eastAsia="SimSun"/>
          <w:b/>
          <w:i/>
          <w:highlight w:val="lightGray"/>
        </w:rPr>
        <w:fldChar w:fldCharType="separate"/>
      </w:r>
      <w:r w:rsidR="002E5C6A">
        <w:rPr>
          <w:rFonts w:eastAsia="SimSun"/>
          <w:b/>
          <w:i/>
          <w:highlight w:val="lightGray"/>
        </w:rPr>
        <w:t>11.1</w:t>
      </w:r>
      <w:r w:rsidR="00883C27">
        <w:rPr>
          <w:rFonts w:eastAsia="SimSun"/>
          <w:b/>
          <w:i/>
          <w:highlight w:val="lightGray"/>
        </w:rPr>
        <w:fldChar w:fldCharType="end"/>
      </w:r>
      <w:r w:rsidR="00883C27">
        <w:rPr>
          <w:rFonts w:eastAsia="SimSun"/>
          <w:b/>
          <w:i/>
          <w:highlight w:val="lightGray"/>
        </w:rPr>
        <w:t xml:space="preserve"> </w:t>
      </w:r>
      <w:r w:rsidR="00883C27" w:rsidRPr="00883C27">
        <w:rPr>
          <w:rFonts w:eastAsia="SimSun"/>
          <w:b/>
          <w:i/>
          <w:highlight w:val="lightGray"/>
        </w:rPr>
        <w:t>(“</w:t>
      </w:r>
      <w:r w:rsidR="00883C27" w:rsidRPr="00883C27">
        <w:rPr>
          <w:rFonts w:eastAsia="SimSun"/>
          <w:b/>
          <w:i/>
          <w:highlight w:val="lightGray"/>
        </w:rPr>
        <w:fldChar w:fldCharType="begin"/>
      </w:r>
      <w:r w:rsidR="00883C27" w:rsidRPr="00883C27">
        <w:rPr>
          <w:rFonts w:eastAsia="SimSun"/>
          <w:b/>
          <w:i/>
          <w:highlight w:val="lightGray"/>
        </w:rPr>
        <w:instrText xml:space="preserve"> REF _Ref206706721 \h </w:instrText>
      </w:r>
      <w:r w:rsidR="00883C27" w:rsidRPr="008F660B">
        <w:rPr>
          <w:rFonts w:eastAsia="SimSun"/>
          <w:b/>
          <w:i/>
          <w:highlight w:val="lightGray"/>
        </w:rPr>
        <w:instrText xml:space="preserve"> \* MERGEFORMAT </w:instrText>
      </w:r>
      <w:r w:rsidR="00883C27" w:rsidRPr="00883C27">
        <w:rPr>
          <w:rFonts w:eastAsia="SimSun"/>
          <w:b/>
          <w:i/>
          <w:highlight w:val="lightGray"/>
        </w:rPr>
      </w:r>
      <w:r w:rsidR="00883C27" w:rsidRPr="00883C27">
        <w:rPr>
          <w:rFonts w:eastAsia="SimSun"/>
          <w:b/>
          <w:i/>
          <w:highlight w:val="lightGray"/>
        </w:rPr>
        <w:fldChar w:fldCharType="separate"/>
      </w:r>
      <w:r w:rsidR="002E5C6A" w:rsidRPr="006C780B">
        <w:rPr>
          <w:b/>
          <w:i/>
        </w:rPr>
        <w:t>Performance</w:t>
      </w:r>
      <w:r w:rsidR="00883C27" w:rsidRPr="00883C27">
        <w:rPr>
          <w:rFonts w:eastAsia="SimSun"/>
          <w:b/>
          <w:i/>
          <w:highlight w:val="lightGray"/>
        </w:rPr>
        <w:fldChar w:fldCharType="end"/>
      </w:r>
      <w:r w:rsidR="00883C27" w:rsidRPr="00883C27">
        <w:rPr>
          <w:rFonts w:eastAsia="SimSun"/>
          <w:b/>
          <w:i/>
          <w:highlight w:val="lightGray"/>
        </w:rPr>
        <w:t>”</w:t>
      </w:r>
      <w:r w:rsidR="00883C27">
        <w:rPr>
          <w:rFonts w:eastAsia="SimSun"/>
          <w:b/>
          <w:i/>
          <w:highlight w:val="lightGray"/>
        </w:rPr>
        <w:t>)</w:t>
      </w:r>
      <w:r w:rsidR="003F76A0">
        <w:rPr>
          <w:rFonts w:eastAsia="SimSun"/>
          <w:b/>
          <w:bCs/>
          <w:i/>
          <w:iCs/>
          <w:highlight w:val="lightGray"/>
        </w:rPr>
        <w:t xml:space="preserve"> and clause </w:t>
      </w:r>
      <w:r>
        <w:rPr>
          <w:rFonts w:eastAsia="SimSun"/>
          <w:b/>
          <w:bCs/>
          <w:i/>
          <w:iCs/>
          <w:highlight w:val="lightGray"/>
        </w:rPr>
        <w:fldChar w:fldCharType="begin"/>
      </w:r>
      <w:r>
        <w:rPr>
          <w:rFonts w:eastAsia="SimSun"/>
          <w:b/>
          <w:bCs/>
          <w:i/>
          <w:iCs/>
          <w:highlight w:val="lightGray"/>
        </w:rPr>
        <w:instrText xml:space="preserve"> REF _Ref94878032 \n \h  \* MERGEFORMAT </w:instrText>
      </w:r>
      <w:r>
        <w:rPr>
          <w:rFonts w:eastAsia="SimSun"/>
          <w:b/>
          <w:bCs/>
          <w:i/>
          <w:iCs/>
          <w:highlight w:val="lightGray"/>
        </w:rPr>
      </w:r>
      <w:r>
        <w:rPr>
          <w:rFonts w:eastAsia="SimSun"/>
          <w:b/>
          <w:bCs/>
          <w:i/>
          <w:iCs/>
          <w:highlight w:val="lightGray"/>
        </w:rPr>
        <w:fldChar w:fldCharType="separate"/>
      </w:r>
      <w:r w:rsidR="002E5C6A">
        <w:rPr>
          <w:rFonts w:eastAsia="SimSun"/>
          <w:b/>
          <w:bCs/>
          <w:i/>
          <w:iCs/>
          <w:highlight w:val="lightGray"/>
        </w:rPr>
        <w:t>12.4</w:t>
      </w:r>
      <w:r>
        <w:rPr>
          <w:rFonts w:eastAsia="SimSun"/>
          <w:b/>
          <w:i/>
          <w:highlight w:val="lightGray"/>
        </w:rPr>
        <w:fldChar w:fldCharType="end"/>
      </w:r>
      <w:r>
        <w:rPr>
          <w:rFonts w:eastAsia="SimSun"/>
          <w:b/>
          <w:bCs/>
          <w:i/>
          <w:iCs/>
          <w:highlight w:val="lightGray"/>
        </w:rPr>
        <w:t xml:space="preserve"> (“</w:t>
      </w:r>
      <w:r>
        <w:rPr>
          <w:rFonts w:eastAsia="SimSun"/>
          <w:b/>
          <w:bCs/>
          <w:i/>
          <w:iCs/>
          <w:highlight w:val="lightGray"/>
        </w:rPr>
        <w:fldChar w:fldCharType="begin"/>
      </w:r>
      <w:r>
        <w:rPr>
          <w:rFonts w:eastAsia="SimSun"/>
          <w:b/>
          <w:bCs/>
          <w:i/>
          <w:iCs/>
          <w:highlight w:val="lightGray"/>
        </w:rPr>
        <w:instrText xml:space="preserve"> REF _Ref94878032 \h  \* MERGEFORMAT </w:instrText>
      </w:r>
      <w:r>
        <w:rPr>
          <w:rFonts w:eastAsia="SimSun"/>
          <w:b/>
          <w:bCs/>
          <w:i/>
          <w:iCs/>
          <w:highlight w:val="lightGray"/>
        </w:rPr>
      </w:r>
      <w:r>
        <w:rPr>
          <w:rFonts w:eastAsia="SimSun"/>
          <w:b/>
          <w:bCs/>
          <w:i/>
          <w:iCs/>
          <w:highlight w:val="lightGray"/>
        </w:rPr>
        <w:fldChar w:fldCharType="separate"/>
      </w:r>
      <w:r w:rsidR="002E5C6A" w:rsidRPr="006C780B">
        <w:rPr>
          <w:rFonts w:eastAsia="SimSun"/>
          <w:b/>
          <w:i/>
          <w:highlight w:val="lightGray"/>
        </w:rPr>
        <w:t>Social Licence Commitments Reporting</w:t>
      </w:r>
      <w:r>
        <w:rPr>
          <w:rFonts w:eastAsia="SimSun"/>
          <w:b/>
          <w:i/>
          <w:highlight w:val="lightGray"/>
        </w:rPr>
        <w:fldChar w:fldCharType="end"/>
      </w:r>
      <w:r>
        <w:rPr>
          <w:rFonts w:eastAsia="SimSun"/>
          <w:b/>
          <w:bCs/>
          <w:i/>
          <w:iCs/>
          <w:highlight w:val="lightGray"/>
        </w:rPr>
        <w:t>”) of this agreement.</w:t>
      </w:r>
      <w:r>
        <w:rPr>
          <w:rFonts w:eastAsia="SimSun"/>
          <w:b/>
          <w:i/>
          <w:highlight w:val="lightGray"/>
        </w:rPr>
        <w:t>]</w:t>
      </w:r>
    </w:p>
    <w:p w14:paraId="2C7985EE" w14:textId="77777777" w:rsidR="0024371D" w:rsidRDefault="0024371D" w:rsidP="003F76A0">
      <w:pPr>
        <w:pStyle w:val="SchedH1"/>
        <w:numPr>
          <w:ilvl w:val="1"/>
          <w:numId w:val="42"/>
        </w:numPr>
      </w:pPr>
      <w:r>
        <w:t>Definitions</w:t>
      </w:r>
    </w:p>
    <w:p w14:paraId="4D13B754" w14:textId="533D4490" w:rsidR="0024371D" w:rsidRDefault="0024371D" w:rsidP="008F660B">
      <w:pPr>
        <w:pStyle w:val="Heading7"/>
        <w:numPr>
          <w:ilvl w:val="6"/>
          <w:numId w:val="87"/>
        </w:numPr>
      </w:pPr>
      <w:r>
        <w:t xml:space="preserve">In this </w:t>
      </w:r>
      <w:r>
        <w:fldChar w:fldCharType="begin"/>
      </w:r>
      <w:r>
        <w:instrText xml:space="preserve"> REF _Ref159507374 \n \h  \* MERGEFORMAT </w:instrText>
      </w:r>
      <w:r>
        <w:fldChar w:fldCharType="separate"/>
      </w:r>
      <w:r w:rsidR="002E5C6A">
        <w:t>Schedule 2</w:t>
      </w:r>
      <w:r>
        <w:fldChar w:fldCharType="end"/>
      </w:r>
      <w:r>
        <w:t xml:space="preserve">, unless the context otherwise requires: </w:t>
      </w:r>
    </w:p>
    <w:p w14:paraId="086CF061" w14:textId="057CA96E" w:rsidR="0024371D" w:rsidRDefault="0024371D" w:rsidP="008F660B">
      <w:pPr>
        <w:pStyle w:val="Heading7"/>
        <w:numPr>
          <w:ilvl w:val="6"/>
          <w:numId w:val="87"/>
        </w:numPr>
      </w:pPr>
      <w:r>
        <w:rPr>
          <w:b/>
          <w:bCs/>
        </w:rPr>
        <w:t>Apprentice</w:t>
      </w:r>
      <w:r>
        <w:t xml:space="preserve"> means a person who is working on the</w:t>
      </w:r>
      <w:r w:rsidR="00BC2BE9">
        <w:t xml:space="preserve"> </w:t>
      </w:r>
      <w:r>
        <w:t>Project who is undertaking an approved structured employment-based training program (apprenticeship) under a registered training contract that leads to a nationally recognised qualification.</w:t>
      </w:r>
      <w:r w:rsidR="003F76A0">
        <w:t xml:space="preserve"> </w:t>
      </w:r>
    </w:p>
    <w:p w14:paraId="564E6B11" w14:textId="77777777" w:rsidR="0024371D" w:rsidRDefault="0024371D" w:rsidP="008F660B">
      <w:pPr>
        <w:pStyle w:val="Heading7"/>
        <w:numPr>
          <w:ilvl w:val="6"/>
          <w:numId w:val="87"/>
        </w:numPr>
      </w:pPr>
      <w:r>
        <w:rPr>
          <w:b/>
          <w:bCs/>
        </w:rPr>
        <w:t xml:space="preserve">First Nations Businesses </w:t>
      </w:r>
      <w:r>
        <w:t>means a business that is at least 50 per cent First Nations-owned and is certified as a First Nations business through an appropriate organisation, such as Supply Nation, Indigenous Chamber of Commerce or equivalent.</w:t>
      </w:r>
    </w:p>
    <w:p w14:paraId="196E3D00" w14:textId="3962B255" w:rsidR="0024371D" w:rsidRDefault="0024371D" w:rsidP="008F660B">
      <w:pPr>
        <w:pStyle w:val="Heading7"/>
        <w:numPr>
          <w:ilvl w:val="6"/>
          <w:numId w:val="87"/>
        </w:numPr>
        <w:rPr>
          <w:b/>
          <w:bCs/>
        </w:rPr>
      </w:pPr>
      <w:r>
        <w:rPr>
          <w:b/>
          <w:bCs/>
        </w:rPr>
        <w:t xml:space="preserve">Learner Worker </w:t>
      </w:r>
      <w:r>
        <w:t>means a worker with or without qualifications, who needs to update their qualifications or skills to meet the needs of the infrastructure project.</w:t>
      </w:r>
      <w:r w:rsidR="00BC2BE9">
        <w:t xml:space="preserve"> </w:t>
      </w:r>
      <w:r>
        <w:t xml:space="preserve">This includes </w:t>
      </w:r>
      <w:r w:rsidR="003F76A0" w:rsidRPr="008F660B">
        <w:t>(</w:t>
      </w:r>
      <w:r>
        <w:t>but is not limited to</w:t>
      </w:r>
      <w:r w:rsidR="003F76A0" w:rsidRPr="008F660B">
        <w:t>)</w:t>
      </w:r>
      <w:r w:rsidR="003F76A0" w:rsidRPr="003F76A0">
        <w:t>:</w:t>
      </w:r>
      <w:r>
        <w:rPr>
          <w:b/>
          <w:bCs/>
        </w:rPr>
        <w:t xml:space="preserve"> </w:t>
      </w:r>
    </w:p>
    <w:p w14:paraId="3526E9F7" w14:textId="6312C932" w:rsidR="0024371D" w:rsidRDefault="0024371D" w:rsidP="008F660B">
      <w:pPr>
        <w:pStyle w:val="Heading8"/>
        <w:numPr>
          <w:ilvl w:val="7"/>
          <w:numId w:val="87"/>
        </w:numPr>
      </w:pPr>
      <w:r>
        <w:t>Trainees and Apprentices</w:t>
      </w:r>
      <w:r w:rsidR="003F76A0" w:rsidRPr="008F660B">
        <w:t>;</w:t>
      </w:r>
      <w:r>
        <w:t xml:space="preserve"> </w:t>
      </w:r>
    </w:p>
    <w:p w14:paraId="30EA6EB7" w14:textId="77777777" w:rsidR="0024371D" w:rsidRDefault="0024371D" w:rsidP="008F660B">
      <w:pPr>
        <w:pStyle w:val="Heading8"/>
        <w:numPr>
          <w:ilvl w:val="7"/>
          <w:numId w:val="87"/>
        </w:numPr>
      </w:pPr>
      <w:r>
        <w:t>School-Based Apprenticeships and Traineeships (SBATs) and other vocational education and training (VET) training from Certificate I through to Advanced Diploma, as well as part qualification short courses and Micro credentials; and</w:t>
      </w:r>
    </w:p>
    <w:p w14:paraId="2CA62EFC" w14:textId="799CC4A4" w:rsidR="0024371D" w:rsidRDefault="0024371D" w:rsidP="008F660B">
      <w:pPr>
        <w:pStyle w:val="Heading8"/>
        <w:numPr>
          <w:ilvl w:val="7"/>
          <w:numId w:val="87"/>
        </w:numPr>
      </w:pPr>
      <w:r>
        <w:t>Cadet or undergraduate engineers working on site.</w:t>
      </w:r>
      <w:r w:rsidR="00BC2BE9">
        <w:t xml:space="preserve"> </w:t>
      </w:r>
    </w:p>
    <w:p w14:paraId="7E653E7A" w14:textId="65462AEB" w:rsidR="0024371D" w:rsidRDefault="0024371D" w:rsidP="008F660B">
      <w:pPr>
        <w:pStyle w:val="Heading7"/>
        <w:numPr>
          <w:ilvl w:val="6"/>
          <w:numId w:val="87"/>
        </w:numPr>
      </w:pPr>
      <w:r>
        <w:rPr>
          <w:b/>
          <w:bCs/>
        </w:rPr>
        <w:t>Local</w:t>
      </w:r>
      <w:r w:rsidRPr="00982398">
        <w:t xml:space="preserve"> </w:t>
      </w:r>
      <w:r>
        <w:rPr>
          <w:b/>
          <w:bCs/>
        </w:rPr>
        <w:t>Content</w:t>
      </w:r>
      <w:r>
        <w:t xml:space="preserve"> means goods, services and resources produced, manufactured, or supplied within Australia and New Zealand. </w:t>
      </w:r>
    </w:p>
    <w:p w14:paraId="0646161D" w14:textId="1FEFB48B" w:rsidR="003F76A0" w:rsidRPr="003F76A0" w:rsidRDefault="003F76A0" w:rsidP="008F660B">
      <w:pPr>
        <w:pStyle w:val="Heading7"/>
        <w:numPr>
          <w:ilvl w:val="6"/>
          <w:numId w:val="87"/>
        </w:numPr>
      </w:pPr>
      <w:r w:rsidRPr="003F76A0">
        <w:rPr>
          <w:b/>
          <w:bCs/>
        </w:rPr>
        <w:t>Local Trade</w:t>
      </w:r>
      <w:r w:rsidRPr="003F76A0">
        <w:t xml:space="preserve"> means jobs for people from the Relevant Jurisdiction who have completed a contract of training as an apprentice, and who hold a certificate of proficiency in that trade and are working in that occupation on the Project. </w:t>
      </w:r>
    </w:p>
    <w:p w14:paraId="49CAFC60" w14:textId="77777777" w:rsidR="003F76A0" w:rsidRPr="003F76A0" w:rsidRDefault="003F76A0" w:rsidP="008F660B">
      <w:pPr>
        <w:pStyle w:val="Heading7"/>
        <w:numPr>
          <w:ilvl w:val="6"/>
          <w:numId w:val="87"/>
        </w:numPr>
      </w:pPr>
      <w:r w:rsidRPr="003F76A0">
        <w:rPr>
          <w:b/>
          <w:bCs/>
        </w:rPr>
        <w:t>Local Worker</w:t>
      </w:r>
      <w:r w:rsidRPr="003F76A0">
        <w:t xml:space="preserve"> means jobs for people from the Relevant Jurisdiction.</w:t>
      </w:r>
    </w:p>
    <w:p w14:paraId="0B40BE4D" w14:textId="77777777" w:rsidR="003F76A0" w:rsidRPr="003F76A0" w:rsidRDefault="003F76A0" w:rsidP="008F660B">
      <w:pPr>
        <w:pStyle w:val="Heading7"/>
        <w:numPr>
          <w:ilvl w:val="6"/>
          <w:numId w:val="87"/>
        </w:numPr>
      </w:pPr>
      <w:r w:rsidRPr="003F76A0">
        <w:rPr>
          <w:b/>
          <w:bCs/>
        </w:rPr>
        <w:t>Micro-credentials</w:t>
      </w:r>
      <w:r w:rsidRPr="003F76A0">
        <w:t xml:space="preserve"> means a certification of assessed learning or competency, with a minimum volume of learning of three (3) hours and less than an AQF award qualification, that is additional, alternate, complementary to, or a component of, an AQF award qualification. It can be accredited or non accredited learning.</w:t>
      </w:r>
    </w:p>
    <w:p w14:paraId="3075E977" w14:textId="77777777" w:rsidR="0024371D" w:rsidRDefault="0024371D" w:rsidP="008F660B">
      <w:pPr>
        <w:pStyle w:val="Heading7"/>
        <w:numPr>
          <w:ilvl w:val="6"/>
          <w:numId w:val="87"/>
        </w:numPr>
      </w:pPr>
      <w:r>
        <w:rPr>
          <w:b/>
          <w:bCs/>
        </w:rPr>
        <w:t>Overarching Apprentice Target</w:t>
      </w:r>
      <w:r>
        <w:t xml:space="preserve"> </w:t>
      </w:r>
      <w:r>
        <w:rPr>
          <w:b/>
          <w:bCs/>
        </w:rPr>
        <w:t>for Women</w:t>
      </w:r>
      <w:r>
        <w:t xml:space="preserve"> is a target, expressed as a minimum that requires a minimum percentage, of all apprentice labour hours spent on the Project which must be undertaken by women.</w:t>
      </w:r>
    </w:p>
    <w:p w14:paraId="368A40F7" w14:textId="68506025" w:rsidR="0024371D" w:rsidRDefault="0024371D" w:rsidP="008F660B">
      <w:pPr>
        <w:pStyle w:val="Heading7"/>
        <w:numPr>
          <w:ilvl w:val="6"/>
          <w:numId w:val="87"/>
        </w:numPr>
      </w:pPr>
      <w:r>
        <w:rPr>
          <w:b/>
        </w:rPr>
        <w:t xml:space="preserve">Social Licence </w:t>
      </w:r>
      <w:r w:rsidRPr="00982398">
        <w:rPr>
          <w:b/>
        </w:rPr>
        <w:t>Commitments</w:t>
      </w:r>
      <w:r>
        <w:rPr>
          <w:bCs/>
        </w:rPr>
        <w:t xml:space="preserve"> </w:t>
      </w:r>
      <w:r w:rsidRPr="00982398">
        <w:t>including those made in respect of First Nations</w:t>
      </w:r>
      <w:r>
        <w:rPr>
          <w:b/>
          <w:bCs/>
          <w:i/>
          <w:iCs/>
        </w:rPr>
        <w:t xml:space="preserve"> </w:t>
      </w:r>
      <w:r>
        <w:t>and</w:t>
      </w:r>
      <w:r>
        <w:rPr>
          <w:b/>
          <w:bCs/>
          <w:i/>
          <w:iCs/>
        </w:rPr>
        <w:t xml:space="preserve"> </w:t>
      </w:r>
      <w:r>
        <w:t xml:space="preserve">means the social licence commitments described in this </w:t>
      </w:r>
      <w:r>
        <w:fldChar w:fldCharType="begin"/>
      </w:r>
      <w:r>
        <w:instrText xml:space="preserve"> REF _Ref159507374 \n \h  \* MERGEFORMAT </w:instrText>
      </w:r>
      <w:r>
        <w:fldChar w:fldCharType="separate"/>
      </w:r>
      <w:r w:rsidR="002E5C6A">
        <w:t>Schedule 2</w:t>
      </w:r>
      <w:r>
        <w:fldChar w:fldCharType="end"/>
      </w:r>
      <w:r>
        <w:t xml:space="preserve">. </w:t>
      </w:r>
    </w:p>
    <w:p w14:paraId="70EB0930" w14:textId="77777777" w:rsidR="0024371D" w:rsidRDefault="0024371D" w:rsidP="008F660B">
      <w:pPr>
        <w:pStyle w:val="Heading7"/>
        <w:numPr>
          <w:ilvl w:val="6"/>
          <w:numId w:val="87"/>
        </w:numPr>
        <w:rPr>
          <w:b/>
          <w:bCs/>
        </w:rPr>
      </w:pPr>
      <w:r>
        <w:rPr>
          <w:b/>
          <w:bCs/>
        </w:rPr>
        <w:t xml:space="preserve">Steel </w:t>
      </w:r>
      <w:r>
        <w:t>means all steel intensive components, such as anchor cages, wind turbine tower sections, racking and mounting for solar, transmission towers, piling, and civil and structural works for substations, but excludes steel components integral to a component not available locally at the time of bidding, such as steel inside a solar module, and miscellaneous small hardware items such as nails and bolts.</w:t>
      </w:r>
    </w:p>
    <w:p w14:paraId="6204DCE2" w14:textId="64A8BC71" w:rsidR="003F76A0" w:rsidRPr="003F76A0" w:rsidRDefault="003F76A0" w:rsidP="008F660B">
      <w:pPr>
        <w:pStyle w:val="Heading7"/>
        <w:keepNext/>
        <w:numPr>
          <w:ilvl w:val="6"/>
          <w:numId w:val="87"/>
        </w:numPr>
        <w:rPr>
          <w:b/>
          <w:bCs/>
        </w:rPr>
      </w:pPr>
      <w:r w:rsidRPr="003F76A0">
        <w:rPr>
          <w:b/>
          <w:bCs/>
        </w:rPr>
        <w:t>Total</w:t>
      </w:r>
      <w:r w:rsidR="00BC2BE9">
        <w:rPr>
          <w:b/>
          <w:bCs/>
        </w:rPr>
        <w:t xml:space="preserve"> </w:t>
      </w:r>
      <w:r w:rsidRPr="003F76A0">
        <w:rPr>
          <w:b/>
          <w:bCs/>
        </w:rPr>
        <w:t xml:space="preserve">Project Contract Value </w:t>
      </w:r>
      <w:r w:rsidRPr="003F76A0">
        <w:t>means the sum of all the costs that Project Operator has to pay to develop, construct, operate and maintain the</w:t>
      </w:r>
      <w:r w:rsidR="00BC2BE9">
        <w:t xml:space="preserve"> </w:t>
      </w:r>
      <w:r w:rsidRPr="003F76A0">
        <w:t>Project exclusive of GST calculated as follows:</w:t>
      </w:r>
    </w:p>
    <w:p w14:paraId="52610C65" w14:textId="77777777" w:rsidR="0024371D" w:rsidRDefault="0024371D" w:rsidP="0024371D">
      <w:pPr>
        <w:pStyle w:val="Indent2"/>
        <w:keepNext/>
        <w:ind w:left="0"/>
        <w:rPr>
          <w:bCs/>
        </w:rPr>
      </w:pPr>
      <m:oMathPara>
        <m:oMathParaPr>
          <m:jc m:val="center"/>
        </m:oMathParaPr>
        <m:oMath>
          <m:r>
            <m:rPr>
              <m:sty m:val="bi"/>
            </m:rPr>
            <w:rPr>
              <w:rFonts w:ascii="Cambria Math" w:hAnsi="Cambria Math"/>
            </w:rPr>
            <m:t>TPCV</m:t>
          </m:r>
          <m:r>
            <m:rPr>
              <m:sty m:val="p"/>
            </m:rPr>
            <w:rPr>
              <w:rFonts w:ascii="Cambria Math" w:hAnsi="Cambria Math"/>
              <w:vertAlign w:val="subscript"/>
            </w:rPr>
            <m:t>=</m:t>
          </m:r>
          <m:r>
            <m:rPr>
              <m:sty m:val="bi"/>
            </m:rPr>
            <w:rPr>
              <w:rFonts w:ascii="Cambria Math" w:hAnsi="Cambria Math"/>
            </w:rPr>
            <m:t>A</m:t>
          </m:r>
          <m:r>
            <m:rPr>
              <m:sty m:val="p"/>
            </m:rPr>
            <w:rPr>
              <w:rFonts w:ascii="Cambria Math" w:hAnsi="Cambria Math"/>
            </w:rPr>
            <m:t>+</m:t>
          </m:r>
          <m:r>
            <m:rPr>
              <m:sty m:val="bi"/>
            </m:rPr>
            <w:rPr>
              <w:rFonts w:ascii="Cambria Math" w:hAnsi="Cambria Math"/>
            </w:rPr>
            <m:t>B</m:t>
          </m:r>
        </m:oMath>
      </m:oMathPara>
    </w:p>
    <w:p w14:paraId="7025680A" w14:textId="77777777" w:rsidR="0024371D" w:rsidRDefault="0024371D" w:rsidP="0024371D">
      <w:pPr>
        <w:pStyle w:val="Indent2"/>
        <w:keepNext/>
      </w:pPr>
      <w:r>
        <w:t>where:</w:t>
      </w:r>
    </w:p>
    <w:p w14:paraId="6615304E" w14:textId="4277D3B0" w:rsidR="0024371D" w:rsidRDefault="0024371D" w:rsidP="0024371D">
      <w:pPr>
        <w:pStyle w:val="Indent2"/>
        <w:tabs>
          <w:tab w:val="left" w:pos="1418"/>
          <w:tab w:val="left" w:pos="1843"/>
        </w:tabs>
        <w:ind w:left="1843" w:hanging="1106"/>
      </w:pPr>
      <w:r>
        <w:rPr>
          <w:b/>
          <w:bCs/>
        </w:rPr>
        <w:t>TPCV</w:t>
      </w:r>
      <w:r>
        <w:tab/>
        <w:t>=</w:t>
      </w:r>
      <w:r>
        <w:tab/>
        <w:t>Total</w:t>
      </w:r>
      <w:r w:rsidR="00BC2BE9">
        <w:t xml:space="preserve"> </w:t>
      </w:r>
      <w:r>
        <w:t xml:space="preserve">Project Contract Value </w:t>
      </w:r>
    </w:p>
    <w:p w14:paraId="67F558DA" w14:textId="77777777" w:rsidR="003F76A0" w:rsidRPr="003F76A0" w:rsidRDefault="003F76A0" w:rsidP="003F76A0">
      <w:pPr>
        <w:pStyle w:val="Indent2"/>
        <w:tabs>
          <w:tab w:val="left" w:pos="1418"/>
          <w:tab w:val="left" w:pos="1843"/>
        </w:tabs>
        <w:ind w:left="1843" w:hanging="1106"/>
      </w:pPr>
      <w:r w:rsidRPr="003F76A0">
        <w:rPr>
          <w:b/>
          <w:bCs/>
        </w:rPr>
        <w:t>A</w:t>
      </w:r>
      <w:r w:rsidRPr="003F76A0">
        <w:tab/>
        <w:t>=</w:t>
      </w:r>
      <w:r w:rsidRPr="003F76A0">
        <w:tab/>
        <w:t>Total capital expenditure (</w:t>
      </w:r>
      <w:r w:rsidRPr="003F76A0">
        <w:rPr>
          <w:bCs/>
        </w:rPr>
        <w:t>CAPEX</w:t>
      </w:r>
      <w:r w:rsidRPr="003F76A0">
        <w:t xml:space="preserve">) </w:t>
      </w:r>
      <w:r w:rsidRPr="008F660B">
        <w:t>including development expenditure</w:t>
      </w:r>
      <w:r w:rsidRPr="003F76A0">
        <w:t xml:space="preserve"> (DEVEX) </w:t>
      </w:r>
      <w:r w:rsidRPr="008F660B">
        <w:t xml:space="preserve">; </w:t>
      </w:r>
    </w:p>
    <w:p w14:paraId="36E1F01A" w14:textId="77777777" w:rsidR="0024371D" w:rsidRDefault="0024371D" w:rsidP="0024371D">
      <w:pPr>
        <w:pStyle w:val="Indent2"/>
        <w:tabs>
          <w:tab w:val="left" w:pos="1418"/>
          <w:tab w:val="left" w:pos="1843"/>
        </w:tabs>
        <w:ind w:left="1843" w:hanging="1106"/>
      </w:pPr>
      <w:r>
        <w:rPr>
          <w:b/>
          <w:bCs/>
        </w:rPr>
        <w:t>B</w:t>
      </w:r>
      <w:r>
        <w:tab/>
        <w:t>=</w:t>
      </w:r>
      <w:r>
        <w:tab/>
        <w:t>Total operation and maintenance expenditure (</w:t>
      </w:r>
      <w:r>
        <w:rPr>
          <w:bCs/>
        </w:rPr>
        <w:t>OPEX</w:t>
      </w:r>
      <w:r>
        <w:t>)</w:t>
      </w:r>
    </w:p>
    <w:p w14:paraId="2BE30F66" w14:textId="0BB99612" w:rsidR="003F76A0" w:rsidRPr="003F76A0" w:rsidRDefault="003F76A0" w:rsidP="003F76A0">
      <w:pPr>
        <w:pStyle w:val="Indent2"/>
      </w:pPr>
      <w:r w:rsidRPr="003F76A0">
        <w:t>which as at the Signing Date is estimated to be $</w:t>
      </w:r>
      <w:r w:rsidRPr="008F660B">
        <w:t>[</w:t>
      </w:r>
      <w:r w:rsidRPr="008F660B">
        <w:rPr>
          <w:highlight w:val="yellow"/>
        </w:rPr>
        <w:t>insert</w:t>
      </w:r>
      <w:r w:rsidRPr="008F660B">
        <w:t xml:space="preserve">], </w:t>
      </w:r>
      <w:r w:rsidRPr="003F76A0">
        <w:t xml:space="preserve">which will be updated from time to time under this </w:t>
      </w:r>
      <w:r w:rsidRPr="003F76A0">
        <w:fldChar w:fldCharType="begin"/>
      </w:r>
      <w:r w:rsidRPr="003F76A0">
        <w:instrText xml:space="preserve"> REF _Ref159507374 \n \h </w:instrText>
      </w:r>
      <w:r>
        <w:instrText xml:space="preserve"> \* MERGEFORMAT </w:instrText>
      </w:r>
      <w:r w:rsidRPr="003F76A0">
        <w:fldChar w:fldCharType="separate"/>
      </w:r>
      <w:r w:rsidR="002E5C6A">
        <w:t>Schedule 2</w:t>
      </w:r>
      <w:r w:rsidRPr="003F76A0">
        <w:fldChar w:fldCharType="end"/>
      </w:r>
      <w:r w:rsidRPr="003F76A0">
        <w:t xml:space="preserve">. </w:t>
      </w:r>
    </w:p>
    <w:p w14:paraId="40D297FE" w14:textId="54E5FA53" w:rsidR="003F76A0" w:rsidRPr="003F76A0" w:rsidRDefault="003F76A0" w:rsidP="003F76A0">
      <w:pPr>
        <w:pStyle w:val="Indent2"/>
        <w:keepNext/>
      </w:pPr>
      <w:r w:rsidRPr="003F76A0">
        <w:rPr>
          <w:b/>
          <w:bCs/>
        </w:rPr>
        <w:t xml:space="preserve">Total Project Workforce </w:t>
      </w:r>
      <w:r w:rsidRPr="003F76A0">
        <w:t xml:space="preserve">means the total working hours that the Proponent will engage to deliver the Project, being: </w:t>
      </w:r>
    </w:p>
    <w:p w14:paraId="627764DE" w14:textId="77777777" w:rsidR="0024371D" w:rsidRDefault="0024371D" w:rsidP="008F660B">
      <w:pPr>
        <w:pStyle w:val="Heading8"/>
        <w:numPr>
          <w:ilvl w:val="7"/>
          <w:numId w:val="87"/>
        </w:numPr>
      </w:pPr>
      <w:r>
        <w:t>the case of pre-COD (hours), the total working hours that the Proponent will engage to achieve COD; and</w:t>
      </w:r>
    </w:p>
    <w:p w14:paraId="19657E8E" w14:textId="5378ABF1" w:rsidR="0024371D" w:rsidRDefault="0024371D" w:rsidP="008F660B">
      <w:pPr>
        <w:pStyle w:val="Heading8"/>
        <w:numPr>
          <w:ilvl w:val="7"/>
          <w:numId w:val="87"/>
        </w:numPr>
      </w:pPr>
      <w:r>
        <w:t>in the case of post-COD (hours), the total working hours that the Proponent will engage between the period of achieving COD until the end of the term of the CISA.</w:t>
      </w:r>
    </w:p>
    <w:p w14:paraId="65B4C242" w14:textId="77777777" w:rsidR="0024371D" w:rsidRDefault="0024371D" w:rsidP="008F660B">
      <w:pPr>
        <w:pStyle w:val="Heading7"/>
        <w:numPr>
          <w:ilvl w:val="6"/>
          <w:numId w:val="87"/>
        </w:numPr>
        <w:rPr>
          <w:b/>
          <w:bCs/>
        </w:rPr>
      </w:pPr>
      <w:r>
        <w:rPr>
          <w:b/>
          <w:bCs/>
        </w:rPr>
        <w:t xml:space="preserve">Trade </w:t>
      </w:r>
      <w:r>
        <w:t>refers to sub-major occupations that are classified as Technicians and Trades Workers using Australian and New Zealand Standard Classification of Occupations (ANZSCO).</w:t>
      </w:r>
    </w:p>
    <w:p w14:paraId="27475FFD" w14:textId="5EB64439" w:rsidR="003F76A0" w:rsidRPr="003F76A0" w:rsidRDefault="003F76A0" w:rsidP="008F660B">
      <w:pPr>
        <w:pStyle w:val="Heading7"/>
        <w:numPr>
          <w:ilvl w:val="6"/>
          <w:numId w:val="87"/>
        </w:numPr>
        <w:rPr>
          <w:b/>
          <w:bCs/>
        </w:rPr>
      </w:pPr>
      <w:r w:rsidRPr="003F76A0">
        <w:rPr>
          <w:b/>
          <w:bCs/>
        </w:rPr>
        <w:t xml:space="preserve">Trade-specific Apprentice Target for Women </w:t>
      </w:r>
      <w:r w:rsidRPr="008F660B">
        <w:rPr>
          <w:b/>
          <w:bCs/>
        </w:rPr>
        <w:t>(Australian Skills Guarantee)</w:t>
      </w:r>
      <w:r w:rsidR="00BC2BE9">
        <w:rPr>
          <w:b/>
          <w:bCs/>
        </w:rPr>
        <w:t xml:space="preserve"> </w:t>
      </w:r>
      <w:r w:rsidRPr="003F76A0">
        <w:t xml:space="preserve">is a target, expressed as a minimum percentage, of Trade Apprentice labour hours spent on the Project which must be undertaken by women. </w:t>
      </w:r>
    </w:p>
    <w:p w14:paraId="783A3763" w14:textId="3A541D21" w:rsidR="003F76A0" w:rsidRPr="003F76A0" w:rsidRDefault="003F76A0" w:rsidP="008F660B">
      <w:pPr>
        <w:pStyle w:val="Heading7"/>
        <w:numPr>
          <w:ilvl w:val="6"/>
          <w:numId w:val="87"/>
        </w:numPr>
      </w:pPr>
      <w:r w:rsidRPr="003F76A0">
        <w:rPr>
          <w:b/>
          <w:bCs/>
        </w:rPr>
        <w:t>Training</w:t>
      </w:r>
      <w:r w:rsidRPr="003F76A0">
        <w:t xml:space="preserve"> means undertaking an accredited vocational education and training (VET) or nationally recognised professional qualification that meets the needs of the Project and can be full or part qualifications (such as one or more units of competency). It may be subsidised by government funding or through a fee-for service arrangement.</w:t>
      </w:r>
    </w:p>
    <w:p w14:paraId="22310BAD" w14:textId="77777777" w:rsidR="007C7FF9" w:rsidRDefault="003F76A0" w:rsidP="008F660B">
      <w:pPr>
        <w:pStyle w:val="Heading7"/>
        <w:keepNext/>
        <w:numPr>
          <w:ilvl w:val="6"/>
          <w:numId w:val="87"/>
        </w:numPr>
      </w:pPr>
      <w:r w:rsidRPr="003F76A0">
        <w:rPr>
          <w:b/>
          <w:bCs/>
        </w:rPr>
        <w:t>Underrepresented Groups</w:t>
      </w:r>
      <w:r w:rsidRPr="003F76A0">
        <w:t xml:space="preserve"> includes</w:t>
      </w:r>
      <w:r w:rsidR="007C7FF9">
        <w:t>:</w:t>
      </w:r>
    </w:p>
    <w:p w14:paraId="6CE3AA0F" w14:textId="77777777" w:rsidR="007C7FF9" w:rsidRDefault="003F76A0" w:rsidP="008F660B">
      <w:pPr>
        <w:pStyle w:val="Heading8"/>
        <w:keepNext/>
        <w:numPr>
          <w:ilvl w:val="7"/>
          <w:numId w:val="87"/>
        </w:numPr>
      </w:pPr>
      <w:r w:rsidRPr="008F660B">
        <w:t xml:space="preserve">people with characteristics defined in the </w:t>
      </w:r>
      <w:r w:rsidRPr="008F660B">
        <w:rPr>
          <w:i/>
          <w:iCs/>
        </w:rPr>
        <w:t>Anti-Discrimination Act 1977</w:t>
      </w:r>
      <w:r w:rsidRPr="008F660B">
        <w:t xml:space="preserve"> (NSW)</w:t>
      </w:r>
      <w:r w:rsidR="007C7FF9">
        <w:t>;</w:t>
      </w:r>
    </w:p>
    <w:p w14:paraId="7D2BAD9C" w14:textId="402C415F" w:rsidR="007C7FF9" w:rsidRDefault="003F76A0" w:rsidP="008F660B">
      <w:pPr>
        <w:pStyle w:val="Heading8"/>
        <w:keepNext/>
        <w:numPr>
          <w:ilvl w:val="7"/>
          <w:numId w:val="87"/>
        </w:numPr>
      </w:pPr>
      <w:r w:rsidRPr="008F660B">
        <w:t>people who are long-term unemployed</w:t>
      </w:r>
      <w:r w:rsidR="007C7FF9">
        <w:t xml:space="preserve">; </w:t>
      </w:r>
    </w:p>
    <w:p w14:paraId="4A5A916D" w14:textId="77777777" w:rsidR="007C7FF9" w:rsidRDefault="003F76A0" w:rsidP="008F660B">
      <w:pPr>
        <w:pStyle w:val="Heading8"/>
        <w:keepNext/>
        <w:numPr>
          <w:ilvl w:val="7"/>
          <w:numId w:val="87"/>
        </w:numPr>
      </w:pPr>
      <w:r w:rsidRPr="008F660B">
        <w:t>young people</w:t>
      </w:r>
      <w:r w:rsidR="007C7FF9">
        <w:t>;</w:t>
      </w:r>
      <w:r w:rsidRPr="008F660B">
        <w:t xml:space="preserve"> and</w:t>
      </w:r>
    </w:p>
    <w:p w14:paraId="6C6BBFEE" w14:textId="0F89F11F" w:rsidR="003F76A0" w:rsidRPr="003F76A0" w:rsidRDefault="003F76A0" w:rsidP="008F660B">
      <w:pPr>
        <w:pStyle w:val="Heading8"/>
        <w:keepNext/>
        <w:numPr>
          <w:ilvl w:val="7"/>
          <w:numId w:val="87"/>
        </w:numPr>
      </w:pPr>
      <w:r w:rsidRPr="008F660B">
        <w:t>women.</w:t>
      </w:r>
    </w:p>
    <w:p w14:paraId="76A0D2A9" w14:textId="77777777" w:rsidR="0024371D" w:rsidRDefault="0024371D" w:rsidP="003F76A0">
      <w:pPr>
        <w:sectPr w:rsidR="0024371D" w:rsidSect="00E5595F">
          <w:footerReference w:type="first" r:id="rId43"/>
          <w:pgSz w:w="11907" w:h="16840"/>
          <w:pgMar w:top="1134" w:right="1134" w:bottom="1418" w:left="2835" w:header="425" w:footer="567" w:gutter="0"/>
          <w:cols w:space="720"/>
          <w:docGrid w:linePitch="272"/>
        </w:sectPr>
      </w:pPr>
    </w:p>
    <w:p w14:paraId="12BE9F53" w14:textId="77777777" w:rsidR="0024371D" w:rsidRDefault="0024371D" w:rsidP="003F76A0">
      <w:pPr>
        <w:pStyle w:val="SchedH1"/>
        <w:numPr>
          <w:ilvl w:val="1"/>
          <w:numId w:val="42"/>
        </w:numPr>
      </w:pPr>
      <w:r>
        <w:t xml:space="preserve">First Nations Commitments </w:t>
      </w:r>
    </w:p>
    <w:p w14:paraId="11DC24A5" w14:textId="47EE562D" w:rsidR="003F76A0" w:rsidRPr="003F76A0" w:rsidRDefault="003F76A0" w:rsidP="003F76A0">
      <w:pPr>
        <w:pStyle w:val="Indent2"/>
        <w:rPr>
          <w:rFonts w:eastAsiaTheme="minorEastAsia"/>
        </w:rPr>
      </w:pPr>
      <w:r w:rsidRPr="003F76A0">
        <w:rPr>
          <w:rFonts w:eastAsiaTheme="minorEastAsia"/>
        </w:rPr>
        <w:t xml:space="preserve"> [</w:t>
      </w:r>
      <w:r w:rsidRPr="008F660B">
        <w:rPr>
          <w:rFonts w:eastAsiaTheme="minorEastAsia"/>
          <w:b/>
          <w:bCs/>
          <w:i/>
          <w:iCs/>
        </w:rPr>
        <w:t>Note: words in square brackets are to be included for Projects only.</w:t>
      </w:r>
      <w:r w:rsidRPr="003F76A0">
        <w:rPr>
          <w:rFonts w:eastAsiaTheme="minorEastAsia"/>
        </w:rPr>
        <w:t>]</w:t>
      </w:r>
    </w:p>
    <w:p w14:paraId="45767AE6" w14:textId="5102BD96" w:rsidR="003F76A0" w:rsidRPr="003F76A0" w:rsidRDefault="003F76A0" w:rsidP="003F76A0">
      <w:pPr>
        <w:pStyle w:val="Indent2"/>
        <w:rPr>
          <w:rFonts w:eastAsiaTheme="minorEastAsia"/>
        </w:rPr>
      </w:pPr>
      <w:r w:rsidRPr="003F76A0">
        <w:rPr>
          <w:rFonts w:eastAsiaTheme="minorEastAsia"/>
        </w:rPr>
        <w:t xml:space="preserve">In accordance with </w:t>
      </w:r>
      <w:r w:rsidRPr="00883C27">
        <w:rPr>
          <w:rFonts w:eastAsiaTheme="minorEastAsia"/>
        </w:rPr>
        <w:t>clause</w:t>
      </w:r>
      <w:r w:rsidR="00883C27" w:rsidRPr="00883C27">
        <w:rPr>
          <w:rFonts w:eastAsiaTheme="minorEastAsia"/>
        </w:rPr>
        <w:t xml:space="preserve"> </w:t>
      </w:r>
      <w:r w:rsidR="00883C27" w:rsidRPr="008F660B">
        <w:rPr>
          <w:rFonts w:eastAsia="SimSun"/>
          <w:b/>
          <w:i/>
        </w:rPr>
        <w:fldChar w:fldCharType="begin"/>
      </w:r>
      <w:r w:rsidR="00883C27" w:rsidRPr="008F660B">
        <w:rPr>
          <w:rFonts w:eastAsia="SimSun"/>
          <w:b/>
          <w:i/>
        </w:rPr>
        <w:instrText xml:space="preserve"> REF _Ref206706719 \r \h </w:instrText>
      </w:r>
      <w:r w:rsidR="00883C27">
        <w:rPr>
          <w:rFonts w:eastAsia="SimSun"/>
          <w:b/>
          <w:i/>
        </w:rPr>
        <w:instrText xml:space="preserve"> \* MERGEFORMAT </w:instrText>
      </w:r>
      <w:r w:rsidR="00883C27" w:rsidRPr="008F660B">
        <w:rPr>
          <w:rFonts w:eastAsia="SimSun"/>
          <w:b/>
          <w:i/>
        </w:rPr>
      </w:r>
      <w:r w:rsidR="00883C27" w:rsidRPr="008F660B">
        <w:rPr>
          <w:rFonts w:eastAsia="SimSun"/>
          <w:b/>
          <w:i/>
        </w:rPr>
        <w:fldChar w:fldCharType="separate"/>
      </w:r>
      <w:r w:rsidR="002E5C6A">
        <w:rPr>
          <w:rFonts w:eastAsia="SimSun"/>
          <w:b/>
          <w:i/>
        </w:rPr>
        <w:t>11.1</w:t>
      </w:r>
      <w:r w:rsidR="00883C27" w:rsidRPr="008F660B">
        <w:rPr>
          <w:rFonts w:eastAsia="SimSun"/>
          <w:b/>
          <w:i/>
        </w:rPr>
        <w:fldChar w:fldCharType="end"/>
      </w:r>
      <w:r w:rsidR="00883C27" w:rsidRPr="008F660B">
        <w:rPr>
          <w:rFonts w:eastAsia="SimSun"/>
          <w:b/>
          <w:i/>
        </w:rPr>
        <w:t xml:space="preserve"> (“</w:t>
      </w:r>
      <w:r w:rsidR="00883C27" w:rsidRPr="008F660B">
        <w:rPr>
          <w:rFonts w:eastAsia="SimSun"/>
          <w:b/>
          <w:i/>
        </w:rPr>
        <w:fldChar w:fldCharType="begin"/>
      </w:r>
      <w:r w:rsidR="00883C27" w:rsidRPr="008F660B">
        <w:rPr>
          <w:rFonts w:eastAsia="SimSun"/>
          <w:b/>
          <w:i/>
        </w:rPr>
        <w:instrText xml:space="preserve"> REF _Ref206706721 \h  \* MERGEFORMAT </w:instrText>
      </w:r>
      <w:r w:rsidR="00883C27" w:rsidRPr="008F660B">
        <w:rPr>
          <w:rFonts w:eastAsia="SimSun"/>
          <w:b/>
          <w:i/>
        </w:rPr>
      </w:r>
      <w:r w:rsidR="00883C27" w:rsidRPr="008F660B">
        <w:rPr>
          <w:rFonts w:eastAsia="SimSun"/>
          <w:b/>
          <w:i/>
        </w:rPr>
        <w:fldChar w:fldCharType="separate"/>
      </w:r>
      <w:r w:rsidR="002E5C6A" w:rsidRPr="006C780B">
        <w:rPr>
          <w:b/>
          <w:i/>
        </w:rPr>
        <w:t>Performance</w:t>
      </w:r>
      <w:r w:rsidR="00883C27" w:rsidRPr="008F660B">
        <w:rPr>
          <w:rFonts w:eastAsia="SimSun"/>
          <w:b/>
          <w:i/>
        </w:rPr>
        <w:fldChar w:fldCharType="end"/>
      </w:r>
      <w:r w:rsidR="00883C27" w:rsidRPr="008F660B">
        <w:rPr>
          <w:rFonts w:eastAsia="SimSun"/>
          <w:b/>
          <w:i/>
        </w:rPr>
        <w:t>”)</w:t>
      </w:r>
      <w:r w:rsidRPr="00883C27">
        <w:rPr>
          <w:rFonts w:eastAsiaTheme="minorEastAsia"/>
        </w:rPr>
        <w:t>, Project</w:t>
      </w:r>
      <w:r w:rsidRPr="003F76A0">
        <w:rPr>
          <w:rFonts w:eastAsiaTheme="minorEastAsia"/>
        </w:rPr>
        <w:t xml:space="preserve"> Operator must, to at least the values and within the timeframes specified in Table 1 below:</w:t>
      </w:r>
    </w:p>
    <w:p w14:paraId="6D55A2CB" w14:textId="2FFED4DA" w:rsidR="003F76A0" w:rsidRPr="003F76A0" w:rsidRDefault="003F76A0" w:rsidP="003F76A0">
      <w:pPr>
        <w:pStyle w:val="SchedH3"/>
        <w:numPr>
          <w:ilvl w:val="3"/>
          <w:numId w:val="42"/>
        </w:numPr>
        <w:rPr>
          <w:rFonts w:eastAsiaTheme="minorEastAsia"/>
        </w:rPr>
      </w:pPr>
      <w:r w:rsidRPr="003F76A0">
        <w:rPr>
          <w:rFonts w:eastAsiaTheme="minorEastAsia"/>
        </w:rPr>
        <w:t>subcontract work related to the Project to First Nations Businesses with an aggregate contract value equal to or greater than the percentage of the Total Project Contract Value specified in Table 1;</w:t>
      </w:r>
    </w:p>
    <w:p w14:paraId="09532C67" w14:textId="4D37EA49" w:rsidR="003F76A0" w:rsidRPr="003F76A0" w:rsidRDefault="003F76A0" w:rsidP="003F76A0">
      <w:pPr>
        <w:pStyle w:val="SchedH3"/>
        <w:numPr>
          <w:ilvl w:val="3"/>
          <w:numId w:val="42"/>
        </w:numPr>
        <w:rPr>
          <w:rFonts w:eastAsiaTheme="minorEastAsia"/>
        </w:rPr>
      </w:pPr>
      <w:r w:rsidRPr="003F76A0">
        <w:rPr>
          <w:rFonts w:eastAsiaTheme="minorEastAsia"/>
        </w:rPr>
        <w:t>employ a number of people from a First Nations background for a number of hours equal to, or greater than, the percentage of the Total Project Workforce specified in Table 1; and</w:t>
      </w:r>
    </w:p>
    <w:p w14:paraId="38FFE93C" w14:textId="77777777" w:rsidR="0024371D" w:rsidRDefault="0024371D" w:rsidP="003F76A0">
      <w:pPr>
        <w:pStyle w:val="SchedH3"/>
        <w:numPr>
          <w:ilvl w:val="3"/>
          <w:numId w:val="42"/>
        </w:numPr>
        <w:rPr>
          <w:rFonts w:eastAsiaTheme="minorEastAsia"/>
        </w:rPr>
      </w:pPr>
      <w:r>
        <w:rPr>
          <w:rFonts w:eastAsiaTheme="minorEastAsia"/>
        </w:rPr>
        <w:t>fund First Nations training and workforce development initiatives equal to, or greater than, the amount specified in Table 1.</w:t>
      </w:r>
    </w:p>
    <w:p w14:paraId="4CA3858D" w14:textId="77777777" w:rsidR="0024371D" w:rsidRDefault="0024371D" w:rsidP="0024371D">
      <w:pPr>
        <w:pStyle w:val="Indent2"/>
        <w:keepNext/>
        <w:rPr>
          <w:b/>
          <w:bCs/>
        </w:rPr>
      </w:pPr>
      <w:r>
        <w:rPr>
          <w:b/>
          <w:bCs/>
        </w:rPr>
        <w:t xml:space="preserve">Table 1 – First Nations Commitments </w:t>
      </w:r>
    </w:p>
    <w:tbl>
      <w:tblPr>
        <w:tblStyle w:val="TableGrid"/>
        <w:tblW w:w="13041" w:type="dxa"/>
        <w:tblInd w:w="704" w:type="dxa"/>
        <w:tblLook w:val="04A0" w:firstRow="1" w:lastRow="0" w:firstColumn="1" w:lastColumn="0" w:noHBand="0" w:noVBand="1"/>
      </w:tblPr>
      <w:tblGrid>
        <w:gridCol w:w="2842"/>
        <w:gridCol w:w="2970"/>
        <w:gridCol w:w="2977"/>
        <w:gridCol w:w="4252"/>
      </w:tblGrid>
      <w:tr w:rsidR="003F76A0" w:rsidRPr="003F76A0" w14:paraId="2F25F0BF" w14:textId="77777777" w:rsidTr="003F76A0">
        <w:tc>
          <w:tcPr>
            <w:tcW w:w="284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6A26FFD" w14:textId="77777777" w:rsidR="003F76A0" w:rsidRPr="003F76A0" w:rsidRDefault="003F76A0">
            <w:pPr>
              <w:pStyle w:val="BodyText"/>
              <w:keepNext/>
              <w:spacing w:before="120" w:after="120"/>
              <w:jc w:val="center"/>
              <w:rPr>
                <w:b/>
                <w:bCs/>
                <w:sz w:val="16"/>
                <w:szCs w:val="16"/>
              </w:rPr>
            </w:pPr>
            <w:r w:rsidRPr="003F76A0">
              <w:rPr>
                <w:b/>
                <w:bCs/>
                <w:sz w:val="16"/>
                <w:szCs w:val="16"/>
              </w:rPr>
              <w:t>Economic Participation</w:t>
            </w:r>
          </w:p>
        </w:tc>
        <w:tc>
          <w:tcPr>
            <w:tcW w:w="29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AEEEA9" w14:textId="77777777" w:rsidR="003F76A0" w:rsidRPr="003F76A0" w:rsidRDefault="003F76A0">
            <w:pPr>
              <w:pStyle w:val="BodyText"/>
              <w:spacing w:before="120" w:after="120"/>
              <w:jc w:val="center"/>
              <w:rPr>
                <w:b/>
                <w:bCs/>
                <w:sz w:val="16"/>
                <w:szCs w:val="16"/>
              </w:rPr>
            </w:pPr>
            <w:r w:rsidRPr="003F76A0">
              <w:rPr>
                <w:b/>
                <w:bCs/>
                <w:sz w:val="16"/>
                <w:szCs w:val="16"/>
              </w:rPr>
              <w:t xml:space="preserve">Commitment timeframe </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206BA9E" w14:textId="2619629F" w:rsidR="003F76A0" w:rsidRPr="003F76A0" w:rsidRDefault="003F76A0">
            <w:pPr>
              <w:pStyle w:val="BodyText"/>
              <w:spacing w:before="120" w:after="120"/>
              <w:jc w:val="center"/>
              <w:rPr>
                <w:b/>
                <w:bCs/>
                <w:sz w:val="16"/>
                <w:szCs w:val="16"/>
              </w:rPr>
            </w:pPr>
            <w:r w:rsidRPr="003F76A0">
              <w:rPr>
                <w:b/>
                <w:bCs/>
                <w:sz w:val="16"/>
                <w:szCs w:val="16"/>
              </w:rPr>
              <w:t>% of Total Project Contract Value</w:t>
            </w:r>
          </w:p>
        </w:tc>
        <w:tc>
          <w:tcPr>
            <w:tcW w:w="42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731DE31" w14:textId="77777777" w:rsidR="003F76A0" w:rsidRPr="003F76A0" w:rsidRDefault="003F76A0">
            <w:pPr>
              <w:pStyle w:val="BodyText"/>
              <w:spacing w:before="120" w:after="120"/>
              <w:jc w:val="center"/>
              <w:rPr>
                <w:b/>
                <w:bCs/>
                <w:sz w:val="16"/>
                <w:szCs w:val="16"/>
              </w:rPr>
            </w:pPr>
            <w:r w:rsidRPr="003F76A0">
              <w:rPr>
                <w:b/>
                <w:bCs/>
                <w:sz w:val="16"/>
                <w:szCs w:val="16"/>
              </w:rPr>
              <w:t xml:space="preserve">Cost in real AU$ as at the Signing Date </w:t>
            </w:r>
            <w:r w:rsidRPr="003F76A0">
              <w:rPr>
                <w:b/>
                <w:bCs/>
                <w:sz w:val="16"/>
                <w:szCs w:val="16"/>
              </w:rPr>
              <w:br/>
            </w:r>
            <w:r w:rsidRPr="003F76A0">
              <w:rPr>
                <w:sz w:val="16"/>
                <w:szCs w:val="16"/>
              </w:rPr>
              <w:t>[</w:t>
            </w:r>
            <w:r w:rsidRPr="008F660B">
              <w:rPr>
                <w:b/>
                <w:bCs/>
                <w:i/>
                <w:iCs/>
                <w:sz w:val="16"/>
                <w:szCs w:val="16"/>
              </w:rPr>
              <w:t>Note: the value provided here is intended to cover the total costs in real dollars AU$ over the life of the CISA.</w:t>
            </w:r>
            <w:r w:rsidRPr="003F76A0">
              <w:rPr>
                <w:sz w:val="16"/>
                <w:szCs w:val="16"/>
              </w:rPr>
              <w:t>]</w:t>
            </w:r>
          </w:p>
        </w:tc>
      </w:tr>
      <w:tr w:rsidR="003F76A0" w:rsidRPr="003F76A0" w14:paraId="33ECDBC6" w14:textId="77777777" w:rsidTr="003F76A0">
        <w:tc>
          <w:tcPr>
            <w:tcW w:w="2842" w:type="dxa"/>
            <w:vMerge w:val="restart"/>
            <w:tcBorders>
              <w:top w:val="single" w:sz="4" w:space="0" w:color="auto"/>
              <w:left w:val="single" w:sz="4" w:space="0" w:color="auto"/>
              <w:bottom w:val="single" w:sz="4" w:space="0" w:color="auto"/>
              <w:right w:val="single" w:sz="4" w:space="0" w:color="auto"/>
            </w:tcBorders>
            <w:vAlign w:val="center"/>
            <w:hideMark/>
          </w:tcPr>
          <w:p w14:paraId="5D918BED" w14:textId="77777777" w:rsidR="003F76A0" w:rsidRPr="003F76A0" w:rsidRDefault="003F76A0">
            <w:pPr>
              <w:pStyle w:val="BodyText"/>
              <w:spacing w:before="120" w:after="120"/>
              <w:jc w:val="center"/>
              <w:rPr>
                <w:color w:val="000000" w:themeColor="text1"/>
                <w:sz w:val="16"/>
                <w:szCs w:val="16"/>
              </w:rPr>
            </w:pPr>
            <w:r w:rsidRPr="003F76A0">
              <w:rPr>
                <w:color w:val="000000" w:themeColor="text1"/>
                <w:sz w:val="16"/>
                <w:szCs w:val="16"/>
              </w:rPr>
              <w:t>Work contracted to First Nations Businesses</w:t>
            </w:r>
          </w:p>
        </w:tc>
        <w:tc>
          <w:tcPr>
            <w:tcW w:w="2970" w:type="dxa"/>
            <w:tcBorders>
              <w:top w:val="single" w:sz="4" w:space="0" w:color="auto"/>
              <w:left w:val="single" w:sz="4" w:space="0" w:color="auto"/>
              <w:bottom w:val="single" w:sz="4" w:space="0" w:color="auto"/>
              <w:right w:val="single" w:sz="4" w:space="0" w:color="auto"/>
            </w:tcBorders>
            <w:vAlign w:val="center"/>
            <w:hideMark/>
          </w:tcPr>
          <w:p w14:paraId="33B1FA4F" w14:textId="77777777" w:rsidR="003F76A0" w:rsidRPr="003F76A0" w:rsidRDefault="003F76A0">
            <w:pPr>
              <w:pStyle w:val="BodyText"/>
              <w:spacing w:before="120" w:after="120"/>
              <w:jc w:val="center"/>
              <w:rPr>
                <w:sz w:val="16"/>
                <w:szCs w:val="16"/>
              </w:rPr>
            </w:pPr>
            <w:r w:rsidRPr="003F76A0">
              <w:rPr>
                <w:sz w:val="16"/>
                <w:szCs w:val="16"/>
              </w:rPr>
              <w:t>Pre-COD</w:t>
            </w:r>
          </w:p>
        </w:tc>
        <w:tc>
          <w:tcPr>
            <w:tcW w:w="2977" w:type="dxa"/>
            <w:tcBorders>
              <w:top w:val="single" w:sz="4" w:space="0" w:color="auto"/>
              <w:left w:val="single" w:sz="4" w:space="0" w:color="auto"/>
              <w:bottom w:val="single" w:sz="4" w:space="0" w:color="auto"/>
              <w:right w:val="single" w:sz="4" w:space="0" w:color="auto"/>
            </w:tcBorders>
            <w:vAlign w:val="center"/>
          </w:tcPr>
          <w:p w14:paraId="4DDC822A" w14:textId="77777777" w:rsidR="003F76A0" w:rsidRPr="003F76A0" w:rsidRDefault="003F76A0">
            <w:pPr>
              <w:pStyle w:val="BodyText"/>
              <w:spacing w:before="120" w:after="120"/>
              <w:jc w:val="center"/>
              <w:rPr>
                <w:sz w:val="16"/>
                <w:szCs w:val="16"/>
              </w:rPr>
            </w:pPr>
          </w:p>
        </w:tc>
        <w:tc>
          <w:tcPr>
            <w:tcW w:w="4252" w:type="dxa"/>
            <w:tcBorders>
              <w:top w:val="single" w:sz="4" w:space="0" w:color="auto"/>
              <w:left w:val="single" w:sz="4" w:space="0" w:color="auto"/>
              <w:bottom w:val="single" w:sz="4" w:space="0" w:color="auto"/>
              <w:right w:val="single" w:sz="4" w:space="0" w:color="auto"/>
            </w:tcBorders>
            <w:vAlign w:val="center"/>
          </w:tcPr>
          <w:p w14:paraId="1F7A5A74" w14:textId="77777777" w:rsidR="003F76A0" w:rsidRPr="008F660B" w:rsidRDefault="003F76A0">
            <w:pPr>
              <w:pStyle w:val="BodyText"/>
              <w:spacing w:before="120" w:after="120"/>
              <w:jc w:val="center"/>
              <w:rPr>
                <w:sz w:val="16"/>
                <w:szCs w:val="16"/>
              </w:rPr>
            </w:pPr>
          </w:p>
        </w:tc>
      </w:tr>
      <w:tr w:rsidR="003F76A0" w:rsidRPr="003F76A0" w14:paraId="3101181D" w14:textId="77777777" w:rsidTr="003F76A0">
        <w:tc>
          <w:tcPr>
            <w:tcW w:w="0" w:type="auto"/>
            <w:vMerge/>
            <w:tcBorders>
              <w:top w:val="single" w:sz="4" w:space="0" w:color="auto"/>
              <w:left w:val="single" w:sz="4" w:space="0" w:color="auto"/>
              <w:bottom w:val="single" w:sz="4" w:space="0" w:color="auto"/>
              <w:right w:val="single" w:sz="4" w:space="0" w:color="auto"/>
            </w:tcBorders>
            <w:vAlign w:val="center"/>
            <w:hideMark/>
          </w:tcPr>
          <w:p w14:paraId="20B80749" w14:textId="77777777" w:rsidR="003F76A0" w:rsidRPr="003F76A0" w:rsidRDefault="003F76A0">
            <w:pPr>
              <w:rPr>
                <w:color w:val="000000" w:themeColor="text1"/>
                <w:sz w:val="16"/>
                <w:szCs w:val="16"/>
              </w:rPr>
            </w:pPr>
          </w:p>
        </w:tc>
        <w:tc>
          <w:tcPr>
            <w:tcW w:w="2970" w:type="dxa"/>
            <w:tcBorders>
              <w:top w:val="single" w:sz="4" w:space="0" w:color="auto"/>
              <w:left w:val="single" w:sz="4" w:space="0" w:color="auto"/>
              <w:bottom w:val="single" w:sz="4" w:space="0" w:color="auto"/>
              <w:right w:val="single" w:sz="4" w:space="0" w:color="auto"/>
            </w:tcBorders>
            <w:vAlign w:val="center"/>
            <w:hideMark/>
          </w:tcPr>
          <w:p w14:paraId="4EFC3284" w14:textId="77777777" w:rsidR="003F76A0" w:rsidRPr="003F76A0" w:rsidRDefault="003F76A0">
            <w:pPr>
              <w:pStyle w:val="BodyText"/>
              <w:spacing w:before="120" w:after="120"/>
              <w:jc w:val="center"/>
              <w:rPr>
                <w:sz w:val="16"/>
                <w:szCs w:val="16"/>
              </w:rPr>
            </w:pPr>
            <w:r w:rsidRPr="003F76A0">
              <w:rPr>
                <w:sz w:val="16"/>
                <w:szCs w:val="16"/>
              </w:rPr>
              <w:t>Post-COD</w:t>
            </w:r>
          </w:p>
        </w:tc>
        <w:tc>
          <w:tcPr>
            <w:tcW w:w="2977" w:type="dxa"/>
            <w:tcBorders>
              <w:top w:val="single" w:sz="4" w:space="0" w:color="auto"/>
              <w:left w:val="single" w:sz="4" w:space="0" w:color="auto"/>
              <w:bottom w:val="single" w:sz="4" w:space="0" w:color="auto"/>
              <w:right w:val="single" w:sz="4" w:space="0" w:color="auto"/>
            </w:tcBorders>
            <w:vAlign w:val="center"/>
          </w:tcPr>
          <w:p w14:paraId="3C2AD83B" w14:textId="77777777" w:rsidR="003F76A0" w:rsidRPr="003F76A0" w:rsidRDefault="003F76A0">
            <w:pPr>
              <w:pStyle w:val="BodyText"/>
              <w:spacing w:before="120" w:after="120"/>
              <w:jc w:val="center"/>
              <w:rPr>
                <w:sz w:val="16"/>
                <w:szCs w:val="16"/>
              </w:rPr>
            </w:pPr>
          </w:p>
        </w:tc>
        <w:tc>
          <w:tcPr>
            <w:tcW w:w="4252" w:type="dxa"/>
            <w:tcBorders>
              <w:top w:val="single" w:sz="4" w:space="0" w:color="auto"/>
              <w:left w:val="single" w:sz="4" w:space="0" w:color="auto"/>
              <w:bottom w:val="single" w:sz="4" w:space="0" w:color="auto"/>
              <w:right w:val="single" w:sz="4" w:space="0" w:color="auto"/>
            </w:tcBorders>
            <w:vAlign w:val="center"/>
          </w:tcPr>
          <w:p w14:paraId="52B626F3" w14:textId="77777777" w:rsidR="003F76A0" w:rsidRPr="008F660B" w:rsidRDefault="003F76A0">
            <w:pPr>
              <w:pStyle w:val="BodyText"/>
              <w:spacing w:before="120" w:after="120"/>
              <w:jc w:val="center"/>
              <w:rPr>
                <w:sz w:val="16"/>
                <w:szCs w:val="16"/>
              </w:rPr>
            </w:pPr>
          </w:p>
        </w:tc>
      </w:tr>
      <w:tr w:rsidR="003F76A0" w:rsidRPr="003F76A0" w14:paraId="1300AB5F" w14:textId="77777777" w:rsidTr="003F76A0">
        <w:tc>
          <w:tcPr>
            <w:tcW w:w="284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206D03A" w14:textId="77777777" w:rsidR="003F76A0" w:rsidRPr="003F76A0" w:rsidRDefault="003F76A0">
            <w:pPr>
              <w:pStyle w:val="BodyText"/>
              <w:keepNext/>
              <w:keepLines/>
              <w:spacing w:before="120" w:after="120"/>
              <w:jc w:val="center"/>
              <w:rPr>
                <w:color w:val="000000" w:themeColor="text1"/>
                <w:sz w:val="16"/>
                <w:szCs w:val="16"/>
              </w:rPr>
            </w:pPr>
            <w:r w:rsidRPr="003F76A0">
              <w:rPr>
                <w:b/>
                <w:bCs/>
                <w:sz w:val="16"/>
                <w:szCs w:val="16"/>
              </w:rPr>
              <w:t>Training and Capacity Building</w:t>
            </w:r>
          </w:p>
        </w:tc>
        <w:tc>
          <w:tcPr>
            <w:tcW w:w="297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A6F03AF" w14:textId="77777777" w:rsidR="003F76A0" w:rsidRPr="003F76A0" w:rsidRDefault="003F76A0">
            <w:pPr>
              <w:pStyle w:val="BodyText"/>
              <w:keepNext/>
              <w:keepLines/>
              <w:spacing w:before="120" w:after="120"/>
              <w:jc w:val="center"/>
              <w:rPr>
                <w:sz w:val="16"/>
                <w:szCs w:val="16"/>
              </w:rPr>
            </w:pPr>
            <w:r w:rsidRPr="003F76A0">
              <w:rPr>
                <w:b/>
                <w:bCs/>
                <w:sz w:val="16"/>
                <w:szCs w:val="16"/>
              </w:rPr>
              <w:t xml:space="preserve">Commitment timeframe </w:t>
            </w: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FED1667" w14:textId="2FD4EE5D" w:rsidR="003F76A0" w:rsidRPr="003F76A0" w:rsidRDefault="003F76A0">
            <w:pPr>
              <w:pStyle w:val="BodyText"/>
              <w:keepNext/>
              <w:keepLines/>
              <w:spacing w:before="120" w:after="120"/>
              <w:jc w:val="center"/>
              <w:rPr>
                <w:sz w:val="16"/>
                <w:szCs w:val="16"/>
              </w:rPr>
            </w:pPr>
            <w:r w:rsidRPr="003F76A0">
              <w:rPr>
                <w:b/>
                <w:bCs/>
                <w:sz w:val="16"/>
                <w:szCs w:val="16"/>
              </w:rPr>
              <w:t>% of Total Project Contract Value</w:t>
            </w:r>
          </w:p>
        </w:tc>
        <w:tc>
          <w:tcPr>
            <w:tcW w:w="425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58178B6" w14:textId="77777777" w:rsidR="003F76A0" w:rsidRPr="003F76A0" w:rsidRDefault="003F76A0">
            <w:pPr>
              <w:pStyle w:val="BodyText"/>
              <w:keepNext/>
              <w:keepLines/>
              <w:spacing w:before="120" w:after="120"/>
              <w:jc w:val="center"/>
              <w:rPr>
                <w:sz w:val="16"/>
                <w:szCs w:val="16"/>
              </w:rPr>
            </w:pPr>
            <w:r w:rsidRPr="003F76A0">
              <w:rPr>
                <w:b/>
                <w:bCs/>
                <w:sz w:val="16"/>
                <w:szCs w:val="16"/>
              </w:rPr>
              <w:t>Cost in real AU$ as at the Signing Date</w:t>
            </w:r>
            <w:r w:rsidRPr="003F76A0">
              <w:rPr>
                <w:b/>
                <w:bCs/>
                <w:sz w:val="16"/>
                <w:szCs w:val="16"/>
              </w:rPr>
              <w:br/>
            </w:r>
            <w:r w:rsidRPr="003F76A0">
              <w:rPr>
                <w:sz w:val="16"/>
                <w:szCs w:val="16"/>
              </w:rPr>
              <w:t>[</w:t>
            </w:r>
            <w:r w:rsidRPr="008F660B">
              <w:rPr>
                <w:b/>
                <w:bCs/>
                <w:i/>
                <w:iCs/>
                <w:sz w:val="16"/>
                <w:szCs w:val="16"/>
              </w:rPr>
              <w:t>Note: the value provided here is intended to cover the total costs in real dollars AU$ over the life of the CISA.</w:t>
            </w:r>
            <w:r w:rsidRPr="003F76A0">
              <w:rPr>
                <w:sz w:val="16"/>
                <w:szCs w:val="16"/>
              </w:rPr>
              <w:t>]</w:t>
            </w:r>
          </w:p>
        </w:tc>
      </w:tr>
      <w:tr w:rsidR="003F76A0" w:rsidRPr="003F76A0" w14:paraId="3688468A" w14:textId="77777777" w:rsidTr="003F76A0">
        <w:tc>
          <w:tcPr>
            <w:tcW w:w="2842" w:type="dxa"/>
            <w:vMerge w:val="restart"/>
            <w:tcBorders>
              <w:top w:val="single" w:sz="4" w:space="0" w:color="auto"/>
              <w:left w:val="single" w:sz="4" w:space="0" w:color="auto"/>
              <w:bottom w:val="single" w:sz="4" w:space="0" w:color="auto"/>
              <w:right w:val="single" w:sz="4" w:space="0" w:color="auto"/>
            </w:tcBorders>
            <w:vAlign w:val="center"/>
            <w:hideMark/>
          </w:tcPr>
          <w:p w14:paraId="1BBB1968" w14:textId="77777777" w:rsidR="003F76A0" w:rsidRPr="003F76A0" w:rsidRDefault="003F76A0">
            <w:pPr>
              <w:pStyle w:val="BodyText"/>
              <w:keepNext/>
              <w:keepLines/>
              <w:spacing w:before="120" w:after="120"/>
              <w:jc w:val="center"/>
              <w:rPr>
                <w:color w:val="000000" w:themeColor="text1"/>
                <w:sz w:val="16"/>
                <w:szCs w:val="16"/>
              </w:rPr>
            </w:pPr>
            <w:r w:rsidRPr="003F76A0">
              <w:rPr>
                <w:color w:val="000000" w:themeColor="text1"/>
                <w:sz w:val="16"/>
                <w:szCs w:val="16"/>
              </w:rPr>
              <w:t>Training and workforce development</w:t>
            </w:r>
          </w:p>
        </w:tc>
        <w:tc>
          <w:tcPr>
            <w:tcW w:w="2970" w:type="dxa"/>
            <w:tcBorders>
              <w:top w:val="single" w:sz="4" w:space="0" w:color="auto"/>
              <w:left w:val="single" w:sz="4" w:space="0" w:color="auto"/>
              <w:bottom w:val="single" w:sz="4" w:space="0" w:color="auto"/>
              <w:right w:val="single" w:sz="4" w:space="0" w:color="auto"/>
            </w:tcBorders>
            <w:vAlign w:val="center"/>
            <w:hideMark/>
          </w:tcPr>
          <w:p w14:paraId="73CA5F9A" w14:textId="77777777" w:rsidR="003F76A0" w:rsidRPr="003F76A0" w:rsidRDefault="003F76A0">
            <w:pPr>
              <w:pStyle w:val="BodyText"/>
              <w:keepNext/>
              <w:keepLines/>
              <w:spacing w:before="120" w:after="120"/>
              <w:jc w:val="center"/>
              <w:rPr>
                <w:sz w:val="16"/>
                <w:szCs w:val="16"/>
              </w:rPr>
            </w:pPr>
            <w:r w:rsidRPr="003F76A0">
              <w:rPr>
                <w:sz w:val="16"/>
                <w:szCs w:val="16"/>
              </w:rPr>
              <w:t>Pre-COD</w:t>
            </w:r>
          </w:p>
        </w:tc>
        <w:tc>
          <w:tcPr>
            <w:tcW w:w="2977" w:type="dxa"/>
            <w:tcBorders>
              <w:top w:val="single" w:sz="4" w:space="0" w:color="auto"/>
              <w:left w:val="single" w:sz="4" w:space="0" w:color="auto"/>
              <w:bottom w:val="single" w:sz="4" w:space="0" w:color="auto"/>
              <w:right w:val="single" w:sz="4" w:space="0" w:color="auto"/>
            </w:tcBorders>
            <w:vAlign w:val="center"/>
          </w:tcPr>
          <w:p w14:paraId="35C29952" w14:textId="77777777" w:rsidR="003F76A0" w:rsidRPr="003F76A0" w:rsidRDefault="003F76A0">
            <w:pPr>
              <w:pStyle w:val="BodyText"/>
              <w:keepNext/>
              <w:keepLines/>
              <w:spacing w:before="120" w:after="120"/>
              <w:jc w:val="center"/>
              <w:rPr>
                <w:sz w:val="16"/>
                <w:szCs w:val="16"/>
              </w:rPr>
            </w:pPr>
          </w:p>
        </w:tc>
        <w:tc>
          <w:tcPr>
            <w:tcW w:w="4252" w:type="dxa"/>
            <w:tcBorders>
              <w:top w:val="single" w:sz="4" w:space="0" w:color="auto"/>
              <w:left w:val="single" w:sz="4" w:space="0" w:color="auto"/>
              <w:bottom w:val="single" w:sz="4" w:space="0" w:color="auto"/>
              <w:right w:val="single" w:sz="4" w:space="0" w:color="auto"/>
            </w:tcBorders>
            <w:vAlign w:val="center"/>
          </w:tcPr>
          <w:p w14:paraId="0580BABB" w14:textId="77777777" w:rsidR="003F76A0" w:rsidRPr="008F660B" w:rsidRDefault="003F76A0">
            <w:pPr>
              <w:pStyle w:val="BodyText"/>
              <w:keepNext/>
              <w:keepLines/>
              <w:spacing w:before="120" w:after="120"/>
              <w:jc w:val="center"/>
              <w:rPr>
                <w:sz w:val="16"/>
                <w:szCs w:val="16"/>
              </w:rPr>
            </w:pPr>
          </w:p>
        </w:tc>
      </w:tr>
      <w:tr w:rsidR="003F76A0" w:rsidRPr="003F76A0" w14:paraId="7951E44A" w14:textId="77777777" w:rsidTr="003F76A0">
        <w:tc>
          <w:tcPr>
            <w:tcW w:w="0" w:type="auto"/>
            <w:vMerge/>
            <w:tcBorders>
              <w:top w:val="single" w:sz="4" w:space="0" w:color="auto"/>
              <w:left w:val="single" w:sz="4" w:space="0" w:color="auto"/>
              <w:bottom w:val="single" w:sz="4" w:space="0" w:color="auto"/>
              <w:right w:val="single" w:sz="4" w:space="0" w:color="auto"/>
            </w:tcBorders>
            <w:vAlign w:val="center"/>
            <w:hideMark/>
          </w:tcPr>
          <w:p w14:paraId="2506F539" w14:textId="77777777" w:rsidR="003F76A0" w:rsidRPr="003F76A0" w:rsidRDefault="003F76A0">
            <w:pPr>
              <w:rPr>
                <w:color w:val="000000" w:themeColor="text1"/>
                <w:sz w:val="16"/>
                <w:szCs w:val="16"/>
              </w:rPr>
            </w:pPr>
          </w:p>
        </w:tc>
        <w:tc>
          <w:tcPr>
            <w:tcW w:w="2970" w:type="dxa"/>
            <w:tcBorders>
              <w:top w:val="single" w:sz="4" w:space="0" w:color="auto"/>
              <w:left w:val="single" w:sz="4" w:space="0" w:color="auto"/>
              <w:bottom w:val="single" w:sz="4" w:space="0" w:color="auto"/>
              <w:right w:val="single" w:sz="4" w:space="0" w:color="auto"/>
            </w:tcBorders>
            <w:vAlign w:val="center"/>
            <w:hideMark/>
          </w:tcPr>
          <w:p w14:paraId="16FA646D" w14:textId="77777777" w:rsidR="003F76A0" w:rsidRPr="003F76A0" w:rsidRDefault="003F76A0">
            <w:pPr>
              <w:pStyle w:val="BodyText"/>
              <w:keepNext/>
              <w:keepLines/>
              <w:spacing w:before="120" w:after="120"/>
              <w:jc w:val="center"/>
              <w:rPr>
                <w:sz w:val="16"/>
                <w:szCs w:val="16"/>
              </w:rPr>
            </w:pPr>
            <w:r w:rsidRPr="003F76A0">
              <w:rPr>
                <w:sz w:val="16"/>
                <w:szCs w:val="16"/>
              </w:rPr>
              <w:t>Post-COD</w:t>
            </w:r>
          </w:p>
        </w:tc>
        <w:tc>
          <w:tcPr>
            <w:tcW w:w="2977" w:type="dxa"/>
            <w:tcBorders>
              <w:top w:val="single" w:sz="4" w:space="0" w:color="auto"/>
              <w:left w:val="single" w:sz="4" w:space="0" w:color="auto"/>
              <w:bottom w:val="single" w:sz="4" w:space="0" w:color="auto"/>
              <w:right w:val="single" w:sz="4" w:space="0" w:color="auto"/>
            </w:tcBorders>
            <w:vAlign w:val="center"/>
          </w:tcPr>
          <w:p w14:paraId="1EEB5F79" w14:textId="77777777" w:rsidR="003F76A0" w:rsidRPr="003F76A0" w:rsidRDefault="003F76A0">
            <w:pPr>
              <w:pStyle w:val="BodyText"/>
              <w:keepNext/>
              <w:keepLines/>
              <w:spacing w:before="120" w:after="120"/>
              <w:jc w:val="center"/>
              <w:rPr>
                <w:sz w:val="16"/>
                <w:szCs w:val="16"/>
              </w:rPr>
            </w:pPr>
          </w:p>
        </w:tc>
        <w:tc>
          <w:tcPr>
            <w:tcW w:w="4252" w:type="dxa"/>
            <w:tcBorders>
              <w:top w:val="single" w:sz="4" w:space="0" w:color="auto"/>
              <w:left w:val="single" w:sz="4" w:space="0" w:color="auto"/>
              <w:bottom w:val="single" w:sz="4" w:space="0" w:color="auto"/>
              <w:right w:val="single" w:sz="4" w:space="0" w:color="auto"/>
            </w:tcBorders>
            <w:vAlign w:val="center"/>
          </w:tcPr>
          <w:p w14:paraId="46BA6F70" w14:textId="77777777" w:rsidR="003F76A0" w:rsidRPr="008F660B" w:rsidRDefault="003F76A0">
            <w:pPr>
              <w:pStyle w:val="BodyText"/>
              <w:keepNext/>
              <w:keepLines/>
              <w:spacing w:before="120" w:after="120"/>
              <w:jc w:val="center"/>
              <w:rPr>
                <w:sz w:val="16"/>
                <w:szCs w:val="16"/>
              </w:rPr>
            </w:pPr>
          </w:p>
        </w:tc>
      </w:tr>
      <w:tr w:rsidR="003F76A0" w:rsidRPr="003F76A0" w14:paraId="4DE5940B" w14:textId="77777777" w:rsidTr="003F76A0">
        <w:tc>
          <w:tcPr>
            <w:tcW w:w="284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5AFEB75" w14:textId="77777777" w:rsidR="003F76A0" w:rsidRPr="003F76A0" w:rsidRDefault="003F76A0">
            <w:pPr>
              <w:pStyle w:val="BodyText"/>
              <w:spacing w:before="120" w:after="120"/>
              <w:jc w:val="center"/>
              <w:rPr>
                <w:b/>
                <w:bCs/>
                <w:sz w:val="16"/>
                <w:szCs w:val="16"/>
              </w:rPr>
            </w:pPr>
            <w:r w:rsidRPr="003F76A0">
              <w:rPr>
                <w:b/>
                <w:bCs/>
                <w:sz w:val="16"/>
                <w:szCs w:val="16"/>
              </w:rPr>
              <w:t>Employment and Workforce Development</w:t>
            </w:r>
          </w:p>
        </w:tc>
        <w:tc>
          <w:tcPr>
            <w:tcW w:w="29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8E8DC04" w14:textId="77777777" w:rsidR="003F76A0" w:rsidRPr="003F76A0" w:rsidRDefault="003F76A0">
            <w:pPr>
              <w:pStyle w:val="BodyText"/>
              <w:spacing w:before="120" w:after="120"/>
              <w:jc w:val="center"/>
              <w:rPr>
                <w:b/>
                <w:bCs/>
                <w:sz w:val="16"/>
                <w:szCs w:val="16"/>
              </w:rPr>
            </w:pPr>
            <w:r w:rsidRPr="003F76A0">
              <w:rPr>
                <w:b/>
                <w:bCs/>
                <w:sz w:val="16"/>
                <w:szCs w:val="16"/>
              </w:rPr>
              <w:t>Date of deliverable</w:t>
            </w:r>
          </w:p>
        </w:tc>
        <w:tc>
          <w:tcPr>
            <w:tcW w:w="722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84D7099" w14:textId="1E30C445" w:rsidR="003F76A0" w:rsidRPr="003F76A0" w:rsidRDefault="003F76A0">
            <w:pPr>
              <w:pStyle w:val="BodyText"/>
              <w:spacing w:before="120" w:after="120"/>
              <w:jc w:val="center"/>
              <w:rPr>
                <w:b/>
                <w:bCs/>
                <w:sz w:val="16"/>
                <w:szCs w:val="16"/>
              </w:rPr>
            </w:pPr>
            <w:r w:rsidRPr="003F76A0">
              <w:rPr>
                <w:b/>
                <w:bCs/>
                <w:sz w:val="16"/>
                <w:szCs w:val="16"/>
              </w:rPr>
              <w:t>% of Total Project Workforce</w:t>
            </w:r>
          </w:p>
        </w:tc>
      </w:tr>
      <w:tr w:rsidR="003F76A0" w:rsidRPr="003F76A0" w14:paraId="3684F108" w14:textId="77777777" w:rsidTr="003F76A0">
        <w:tc>
          <w:tcPr>
            <w:tcW w:w="2842" w:type="dxa"/>
            <w:vMerge w:val="restart"/>
            <w:tcBorders>
              <w:top w:val="single" w:sz="4" w:space="0" w:color="auto"/>
              <w:left w:val="single" w:sz="4" w:space="0" w:color="auto"/>
              <w:bottom w:val="single" w:sz="4" w:space="0" w:color="auto"/>
              <w:right w:val="single" w:sz="4" w:space="0" w:color="auto"/>
            </w:tcBorders>
            <w:vAlign w:val="center"/>
            <w:hideMark/>
          </w:tcPr>
          <w:p w14:paraId="7B6D4A93" w14:textId="77777777" w:rsidR="003F76A0" w:rsidRPr="003F76A0" w:rsidRDefault="003F76A0">
            <w:pPr>
              <w:pStyle w:val="BodyText"/>
              <w:spacing w:before="120" w:after="120"/>
              <w:jc w:val="center"/>
              <w:rPr>
                <w:color w:val="000000" w:themeColor="text1"/>
                <w:sz w:val="16"/>
                <w:szCs w:val="16"/>
              </w:rPr>
            </w:pPr>
            <w:r w:rsidRPr="003F76A0">
              <w:rPr>
                <w:color w:val="000000" w:themeColor="text1"/>
                <w:sz w:val="16"/>
                <w:szCs w:val="16"/>
              </w:rPr>
              <w:t>First Nations Workers</w:t>
            </w:r>
          </w:p>
        </w:tc>
        <w:tc>
          <w:tcPr>
            <w:tcW w:w="2970" w:type="dxa"/>
            <w:tcBorders>
              <w:top w:val="single" w:sz="4" w:space="0" w:color="auto"/>
              <w:left w:val="single" w:sz="4" w:space="0" w:color="auto"/>
              <w:bottom w:val="single" w:sz="4" w:space="0" w:color="auto"/>
              <w:right w:val="single" w:sz="4" w:space="0" w:color="auto"/>
            </w:tcBorders>
            <w:vAlign w:val="center"/>
            <w:hideMark/>
          </w:tcPr>
          <w:p w14:paraId="2AD2EEC7" w14:textId="77777777" w:rsidR="003F76A0" w:rsidRPr="003F76A0" w:rsidRDefault="003F76A0">
            <w:pPr>
              <w:pStyle w:val="BodyText"/>
              <w:spacing w:before="120" w:after="120"/>
              <w:jc w:val="center"/>
              <w:rPr>
                <w:sz w:val="16"/>
                <w:szCs w:val="16"/>
              </w:rPr>
            </w:pPr>
            <w:r w:rsidRPr="003F76A0">
              <w:rPr>
                <w:sz w:val="16"/>
                <w:szCs w:val="16"/>
              </w:rPr>
              <w:t>Pre-COD</w:t>
            </w:r>
          </w:p>
        </w:tc>
        <w:tc>
          <w:tcPr>
            <w:tcW w:w="7229" w:type="dxa"/>
            <w:gridSpan w:val="2"/>
            <w:tcBorders>
              <w:top w:val="single" w:sz="4" w:space="0" w:color="auto"/>
              <w:left w:val="single" w:sz="4" w:space="0" w:color="auto"/>
              <w:bottom w:val="single" w:sz="4" w:space="0" w:color="auto"/>
              <w:right w:val="single" w:sz="4" w:space="0" w:color="auto"/>
            </w:tcBorders>
            <w:vAlign w:val="center"/>
          </w:tcPr>
          <w:p w14:paraId="791F080E" w14:textId="77777777" w:rsidR="003F76A0" w:rsidRPr="003F76A0" w:rsidRDefault="003F76A0">
            <w:pPr>
              <w:pStyle w:val="BodyText"/>
              <w:spacing w:before="120" w:after="120"/>
              <w:jc w:val="center"/>
              <w:rPr>
                <w:sz w:val="16"/>
                <w:szCs w:val="16"/>
              </w:rPr>
            </w:pPr>
          </w:p>
        </w:tc>
      </w:tr>
      <w:tr w:rsidR="003F76A0" w:rsidRPr="003F76A0" w14:paraId="4CF13372" w14:textId="77777777" w:rsidTr="003F76A0">
        <w:tc>
          <w:tcPr>
            <w:tcW w:w="0" w:type="auto"/>
            <w:vMerge/>
            <w:tcBorders>
              <w:top w:val="single" w:sz="4" w:space="0" w:color="auto"/>
              <w:left w:val="single" w:sz="4" w:space="0" w:color="auto"/>
              <w:bottom w:val="single" w:sz="4" w:space="0" w:color="auto"/>
              <w:right w:val="single" w:sz="4" w:space="0" w:color="auto"/>
            </w:tcBorders>
            <w:vAlign w:val="center"/>
            <w:hideMark/>
          </w:tcPr>
          <w:p w14:paraId="251F81C5" w14:textId="77777777" w:rsidR="003F76A0" w:rsidRPr="003F76A0" w:rsidRDefault="003F76A0">
            <w:pPr>
              <w:rPr>
                <w:color w:val="000000" w:themeColor="text1"/>
                <w:sz w:val="16"/>
                <w:szCs w:val="16"/>
              </w:rPr>
            </w:pPr>
          </w:p>
        </w:tc>
        <w:tc>
          <w:tcPr>
            <w:tcW w:w="2970" w:type="dxa"/>
            <w:tcBorders>
              <w:top w:val="single" w:sz="4" w:space="0" w:color="auto"/>
              <w:left w:val="single" w:sz="4" w:space="0" w:color="auto"/>
              <w:bottom w:val="single" w:sz="4" w:space="0" w:color="auto"/>
              <w:right w:val="single" w:sz="4" w:space="0" w:color="auto"/>
            </w:tcBorders>
            <w:vAlign w:val="center"/>
            <w:hideMark/>
          </w:tcPr>
          <w:p w14:paraId="44C22F71" w14:textId="77777777" w:rsidR="003F76A0" w:rsidRPr="003F76A0" w:rsidRDefault="003F76A0">
            <w:pPr>
              <w:pStyle w:val="BodyText"/>
              <w:spacing w:before="120" w:after="120"/>
              <w:jc w:val="center"/>
              <w:rPr>
                <w:sz w:val="16"/>
                <w:szCs w:val="16"/>
              </w:rPr>
            </w:pPr>
            <w:r w:rsidRPr="003F76A0">
              <w:rPr>
                <w:sz w:val="16"/>
                <w:szCs w:val="16"/>
              </w:rPr>
              <w:t>Post-COD</w:t>
            </w:r>
          </w:p>
        </w:tc>
        <w:tc>
          <w:tcPr>
            <w:tcW w:w="7229" w:type="dxa"/>
            <w:gridSpan w:val="2"/>
            <w:tcBorders>
              <w:top w:val="single" w:sz="4" w:space="0" w:color="auto"/>
              <w:left w:val="single" w:sz="4" w:space="0" w:color="auto"/>
              <w:bottom w:val="single" w:sz="4" w:space="0" w:color="auto"/>
              <w:right w:val="single" w:sz="4" w:space="0" w:color="auto"/>
            </w:tcBorders>
            <w:vAlign w:val="center"/>
          </w:tcPr>
          <w:p w14:paraId="68A2E9D3" w14:textId="77777777" w:rsidR="003F76A0" w:rsidRPr="003F76A0" w:rsidRDefault="003F76A0">
            <w:pPr>
              <w:pStyle w:val="BodyText"/>
              <w:spacing w:before="120" w:after="120"/>
              <w:jc w:val="center"/>
              <w:rPr>
                <w:sz w:val="16"/>
                <w:szCs w:val="16"/>
              </w:rPr>
            </w:pPr>
          </w:p>
        </w:tc>
      </w:tr>
    </w:tbl>
    <w:p w14:paraId="5C4F768D" w14:textId="6769F387" w:rsidR="003F76A0" w:rsidRPr="003F76A0" w:rsidRDefault="003F76A0" w:rsidP="003F76A0">
      <w:pPr>
        <w:pStyle w:val="Indent2"/>
        <w:spacing w:before="240"/>
        <w:rPr>
          <w:rFonts w:eastAsiaTheme="minorEastAsia" w:cstheme="minorBidi"/>
        </w:rPr>
      </w:pPr>
      <w:r w:rsidRPr="003F76A0">
        <w:rPr>
          <w:rFonts w:eastAsiaTheme="minorEastAsia" w:cstheme="minorBidi"/>
        </w:rPr>
        <w:t xml:space="preserve">In accordance with </w:t>
      </w:r>
      <w:r w:rsidRPr="00883C27">
        <w:rPr>
          <w:rFonts w:eastAsiaTheme="minorEastAsia" w:cstheme="minorBidi"/>
        </w:rPr>
        <w:t>clause</w:t>
      </w:r>
      <w:r w:rsidR="00883C27" w:rsidRPr="00883C27">
        <w:rPr>
          <w:rFonts w:eastAsiaTheme="minorEastAsia" w:cstheme="minorBidi"/>
        </w:rPr>
        <w:t xml:space="preserve"> </w:t>
      </w:r>
      <w:r w:rsidR="00883C27" w:rsidRPr="008F660B">
        <w:rPr>
          <w:rFonts w:eastAsia="SimSun"/>
          <w:b/>
          <w:i/>
        </w:rPr>
        <w:fldChar w:fldCharType="begin"/>
      </w:r>
      <w:r w:rsidR="00883C27" w:rsidRPr="008F660B">
        <w:rPr>
          <w:rFonts w:eastAsia="SimSun"/>
          <w:b/>
          <w:i/>
        </w:rPr>
        <w:instrText xml:space="preserve"> REF _Ref206706719 \r \h </w:instrText>
      </w:r>
      <w:r w:rsidR="00883C27">
        <w:rPr>
          <w:rFonts w:eastAsia="SimSun"/>
          <w:b/>
          <w:i/>
        </w:rPr>
        <w:instrText xml:space="preserve"> \* MERGEFORMAT </w:instrText>
      </w:r>
      <w:r w:rsidR="00883C27" w:rsidRPr="008F660B">
        <w:rPr>
          <w:rFonts w:eastAsia="SimSun"/>
          <w:b/>
          <w:i/>
        </w:rPr>
      </w:r>
      <w:r w:rsidR="00883C27" w:rsidRPr="008F660B">
        <w:rPr>
          <w:rFonts w:eastAsia="SimSun"/>
          <w:b/>
          <w:i/>
        </w:rPr>
        <w:fldChar w:fldCharType="separate"/>
      </w:r>
      <w:r w:rsidR="002E5C6A">
        <w:rPr>
          <w:rFonts w:eastAsia="SimSun"/>
          <w:b/>
          <w:i/>
        </w:rPr>
        <w:t>11.1</w:t>
      </w:r>
      <w:r w:rsidR="00883C27" w:rsidRPr="008F660B">
        <w:rPr>
          <w:rFonts w:eastAsia="SimSun"/>
          <w:b/>
          <w:i/>
        </w:rPr>
        <w:fldChar w:fldCharType="end"/>
      </w:r>
      <w:r w:rsidR="00883C27" w:rsidRPr="008F660B">
        <w:rPr>
          <w:rFonts w:eastAsia="SimSun"/>
          <w:b/>
          <w:i/>
        </w:rPr>
        <w:t xml:space="preserve"> (“</w:t>
      </w:r>
      <w:r w:rsidR="00883C27" w:rsidRPr="008F660B">
        <w:rPr>
          <w:rFonts w:eastAsia="SimSun"/>
          <w:b/>
          <w:i/>
        </w:rPr>
        <w:fldChar w:fldCharType="begin"/>
      </w:r>
      <w:r w:rsidR="00883C27" w:rsidRPr="008F660B">
        <w:rPr>
          <w:rFonts w:eastAsia="SimSun"/>
          <w:b/>
          <w:i/>
        </w:rPr>
        <w:instrText xml:space="preserve"> REF _Ref206706721 \h  \* MERGEFORMAT </w:instrText>
      </w:r>
      <w:r w:rsidR="00883C27" w:rsidRPr="008F660B">
        <w:rPr>
          <w:rFonts w:eastAsia="SimSun"/>
          <w:b/>
          <w:i/>
        </w:rPr>
      </w:r>
      <w:r w:rsidR="00883C27" w:rsidRPr="008F660B">
        <w:rPr>
          <w:rFonts w:eastAsia="SimSun"/>
          <w:b/>
          <w:i/>
        </w:rPr>
        <w:fldChar w:fldCharType="separate"/>
      </w:r>
      <w:r w:rsidR="002E5C6A" w:rsidRPr="006C780B">
        <w:rPr>
          <w:b/>
          <w:i/>
        </w:rPr>
        <w:t>Performance</w:t>
      </w:r>
      <w:r w:rsidR="00883C27" w:rsidRPr="008F660B">
        <w:rPr>
          <w:rFonts w:eastAsia="SimSun"/>
          <w:b/>
          <w:i/>
        </w:rPr>
        <w:fldChar w:fldCharType="end"/>
      </w:r>
      <w:r w:rsidR="00883C27" w:rsidRPr="008F660B">
        <w:rPr>
          <w:rFonts w:eastAsia="SimSun"/>
          <w:b/>
          <w:i/>
        </w:rPr>
        <w:t>”)</w:t>
      </w:r>
      <w:r w:rsidRPr="00883C27">
        <w:rPr>
          <w:rFonts w:eastAsiaTheme="minorEastAsia" w:cstheme="minorBidi"/>
        </w:rPr>
        <w:t>, Project</w:t>
      </w:r>
      <w:r w:rsidRPr="003F76A0">
        <w:rPr>
          <w:rFonts w:eastAsiaTheme="minorEastAsia" w:cstheme="minorBidi"/>
        </w:rPr>
        <w:t xml:space="preserve"> Operator must </w:t>
      </w:r>
      <w:r w:rsidRPr="003F76A0">
        <w:t xml:space="preserve">deliver additional First Nations Commitments to at least the values, and within the timeframes, specified in Table 2 for the relevant phase of the Project. </w:t>
      </w:r>
    </w:p>
    <w:p w14:paraId="05930B2C" w14:textId="77777777" w:rsidR="0024371D" w:rsidRDefault="0024371D" w:rsidP="0024371D">
      <w:pPr>
        <w:pStyle w:val="Indent2"/>
        <w:keepNext/>
        <w:rPr>
          <w:b/>
          <w:bCs/>
        </w:rPr>
      </w:pPr>
      <w:r>
        <w:rPr>
          <w:b/>
          <w:bCs/>
        </w:rPr>
        <w:t>Table 2 – First Nations Community Shared Benefits</w:t>
      </w:r>
    </w:p>
    <w:tbl>
      <w:tblPr>
        <w:tblStyle w:val="TableGrid"/>
        <w:tblW w:w="13008" w:type="dxa"/>
        <w:tblInd w:w="704" w:type="dxa"/>
        <w:tblLook w:val="04A0" w:firstRow="1" w:lastRow="0" w:firstColumn="1" w:lastColumn="0" w:noHBand="0" w:noVBand="1"/>
      </w:tblPr>
      <w:tblGrid>
        <w:gridCol w:w="3882"/>
        <w:gridCol w:w="1927"/>
        <w:gridCol w:w="2259"/>
        <w:gridCol w:w="2030"/>
        <w:gridCol w:w="2910"/>
      </w:tblGrid>
      <w:tr w:rsidR="003F76A0" w:rsidRPr="003F76A0" w14:paraId="38337C57" w14:textId="77777777" w:rsidTr="003F76A0">
        <w:trPr>
          <w:tblHeader/>
        </w:trPr>
        <w:tc>
          <w:tcPr>
            <w:tcW w:w="3882" w:type="dxa"/>
            <w:tcBorders>
              <w:top w:val="single" w:sz="4" w:space="0" w:color="auto"/>
              <w:left w:val="single" w:sz="4" w:space="0" w:color="auto"/>
              <w:bottom w:val="single" w:sz="12" w:space="0" w:color="auto"/>
              <w:right w:val="single" w:sz="4" w:space="0" w:color="auto"/>
            </w:tcBorders>
            <w:shd w:val="clear" w:color="auto" w:fill="BFBFBF" w:themeFill="background1" w:themeFillShade="BF"/>
            <w:hideMark/>
          </w:tcPr>
          <w:p w14:paraId="331F0A79" w14:textId="77777777" w:rsidR="003F76A0" w:rsidRPr="003F76A0" w:rsidRDefault="003F76A0">
            <w:pPr>
              <w:pStyle w:val="BodyText"/>
              <w:spacing w:before="120" w:after="120"/>
              <w:rPr>
                <w:b/>
                <w:bCs/>
                <w:sz w:val="16"/>
                <w:szCs w:val="16"/>
              </w:rPr>
            </w:pPr>
            <w:r w:rsidRPr="003F76A0">
              <w:rPr>
                <w:b/>
                <w:bCs/>
                <w:sz w:val="16"/>
                <w:szCs w:val="16"/>
              </w:rPr>
              <w:t>Specific commitment</w:t>
            </w:r>
          </w:p>
        </w:tc>
        <w:tc>
          <w:tcPr>
            <w:tcW w:w="1927" w:type="dxa"/>
            <w:tcBorders>
              <w:top w:val="single" w:sz="4" w:space="0" w:color="auto"/>
              <w:left w:val="single" w:sz="4" w:space="0" w:color="auto"/>
              <w:bottom w:val="single" w:sz="12" w:space="0" w:color="auto"/>
              <w:right w:val="single" w:sz="4" w:space="0" w:color="auto"/>
            </w:tcBorders>
            <w:shd w:val="clear" w:color="auto" w:fill="BFBFBF" w:themeFill="background1" w:themeFillShade="BF"/>
            <w:hideMark/>
          </w:tcPr>
          <w:p w14:paraId="48E193C1" w14:textId="77777777" w:rsidR="003F76A0" w:rsidRPr="003F76A0" w:rsidRDefault="003F76A0">
            <w:pPr>
              <w:pStyle w:val="BodyText"/>
              <w:spacing w:before="120" w:after="120"/>
              <w:rPr>
                <w:b/>
                <w:bCs/>
                <w:sz w:val="16"/>
                <w:szCs w:val="16"/>
              </w:rPr>
            </w:pPr>
            <w:r w:rsidRPr="003F76A0">
              <w:rPr>
                <w:b/>
                <w:bCs/>
                <w:sz w:val="16"/>
                <w:szCs w:val="16"/>
              </w:rPr>
              <w:t xml:space="preserve">Start Date </w:t>
            </w:r>
          </w:p>
          <w:p w14:paraId="10EE3E1D" w14:textId="77777777" w:rsidR="003F76A0" w:rsidRPr="003F76A0" w:rsidRDefault="003F76A0">
            <w:pPr>
              <w:pStyle w:val="BodyText"/>
              <w:spacing w:before="120" w:after="120"/>
              <w:rPr>
                <w:b/>
                <w:bCs/>
                <w:sz w:val="16"/>
                <w:szCs w:val="16"/>
              </w:rPr>
            </w:pPr>
            <w:r w:rsidRPr="003F76A0">
              <w:rPr>
                <w:b/>
                <w:bCs/>
                <w:sz w:val="16"/>
                <w:szCs w:val="16"/>
              </w:rPr>
              <w:t>(only binding if Commitment timeframe is Annual or One time payment)</w:t>
            </w:r>
          </w:p>
        </w:tc>
        <w:tc>
          <w:tcPr>
            <w:tcW w:w="2259" w:type="dxa"/>
            <w:tcBorders>
              <w:top w:val="single" w:sz="4" w:space="0" w:color="auto"/>
              <w:left w:val="single" w:sz="4" w:space="0" w:color="auto"/>
              <w:bottom w:val="single" w:sz="12" w:space="0" w:color="auto"/>
              <w:right w:val="single" w:sz="4" w:space="0" w:color="auto"/>
            </w:tcBorders>
            <w:shd w:val="clear" w:color="auto" w:fill="BFBFBF" w:themeFill="background1" w:themeFillShade="BF"/>
            <w:hideMark/>
          </w:tcPr>
          <w:p w14:paraId="1ED1A0B3" w14:textId="77777777" w:rsidR="003F76A0" w:rsidRPr="003F76A0" w:rsidRDefault="003F76A0">
            <w:pPr>
              <w:pStyle w:val="BodyText"/>
              <w:spacing w:before="120" w:after="120"/>
              <w:rPr>
                <w:b/>
                <w:bCs/>
                <w:sz w:val="16"/>
                <w:szCs w:val="16"/>
              </w:rPr>
            </w:pPr>
            <w:r w:rsidRPr="003F76A0">
              <w:rPr>
                <w:b/>
                <w:bCs/>
                <w:sz w:val="16"/>
                <w:szCs w:val="16"/>
              </w:rPr>
              <w:t>End Date / Deliverable Date</w:t>
            </w:r>
          </w:p>
          <w:p w14:paraId="6B0EB569" w14:textId="77777777" w:rsidR="003F76A0" w:rsidRPr="003F76A0" w:rsidRDefault="003F76A0">
            <w:pPr>
              <w:pStyle w:val="BodyText"/>
              <w:spacing w:before="120" w:after="120"/>
              <w:rPr>
                <w:b/>
                <w:bCs/>
                <w:sz w:val="16"/>
                <w:szCs w:val="16"/>
              </w:rPr>
            </w:pPr>
            <w:r w:rsidRPr="003F76A0">
              <w:rPr>
                <w:b/>
                <w:bCs/>
                <w:sz w:val="16"/>
                <w:szCs w:val="16"/>
              </w:rPr>
              <w:t>(only binding if Commitment timeframe is Annual or One time payment)</w:t>
            </w:r>
          </w:p>
        </w:tc>
        <w:tc>
          <w:tcPr>
            <w:tcW w:w="2030" w:type="dxa"/>
            <w:tcBorders>
              <w:top w:val="single" w:sz="4" w:space="0" w:color="auto"/>
              <w:left w:val="single" w:sz="4" w:space="0" w:color="auto"/>
              <w:bottom w:val="single" w:sz="12" w:space="0" w:color="auto"/>
              <w:right w:val="single" w:sz="4" w:space="0" w:color="auto"/>
            </w:tcBorders>
            <w:shd w:val="clear" w:color="auto" w:fill="BFBFBF" w:themeFill="background1" w:themeFillShade="BF"/>
            <w:hideMark/>
          </w:tcPr>
          <w:p w14:paraId="2E527ACD" w14:textId="49397715" w:rsidR="003F76A0" w:rsidRPr="003F76A0" w:rsidRDefault="003F76A0">
            <w:pPr>
              <w:pStyle w:val="BodyText"/>
              <w:spacing w:before="120" w:after="120"/>
              <w:rPr>
                <w:b/>
                <w:bCs/>
                <w:sz w:val="16"/>
                <w:szCs w:val="16"/>
              </w:rPr>
            </w:pPr>
            <w:r w:rsidRPr="003F76A0">
              <w:rPr>
                <w:b/>
                <w:bCs/>
                <w:sz w:val="16"/>
                <w:szCs w:val="16"/>
              </w:rPr>
              <w:t>Commitment timeframe</w:t>
            </w:r>
            <w:r w:rsidR="00BC2BE9">
              <w:rPr>
                <w:b/>
                <w:bCs/>
                <w:sz w:val="16"/>
                <w:szCs w:val="16"/>
              </w:rPr>
              <w:t xml:space="preserve"> </w:t>
            </w:r>
          </w:p>
        </w:tc>
        <w:tc>
          <w:tcPr>
            <w:tcW w:w="2910" w:type="dxa"/>
            <w:tcBorders>
              <w:top w:val="single" w:sz="4" w:space="0" w:color="auto"/>
              <w:left w:val="single" w:sz="4" w:space="0" w:color="auto"/>
              <w:bottom w:val="single" w:sz="12" w:space="0" w:color="auto"/>
              <w:right w:val="single" w:sz="4" w:space="0" w:color="auto"/>
            </w:tcBorders>
            <w:shd w:val="clear" w:color="auto" w:fill="BFBFBF" w:themeFill="background1" w:themeFillShade="BF"/>
            <w:hideMark/>
          </w:tcPr>
          <w:p w14:paraId="2D3DD57A" w14:textId="77777777" w:rsidR="003F76A0" w:rsidRPr="003F76A0" w:rsidRDefault="003F76A0">
            <w:pPr>
              <w:pStyle w:val="BodyText"/>
              <w:spacing w:before="120" w:after="120"/>
              <w:rPr>
                <w:sz w:val="16"/>
                <w:szCs w:val="16"/>
              </w:rPr>
            </w:pPr>
            <w:r w:rsidRPr="003F76A0">
              <w:rPr>
                <w:b/>
                <w:bCs/>
                <w:sz w:val="16"/>
                <w:szCs w:val="16"/>
              </w:rPr>
              <w:t>Cost in real dollars AU$ as at the Signing Date</w:t>
            </w:r>
            <w:r w:rsidRPr="003F76A0">
              <w:rPr>
                <w:sz w:val="16"/>
                <w:szCs w:val="16"/>
              </w:rPr>
              <w:t xml:space="preserve"> [</w:t>
            </w:r>
            <w:r w:rsidRPr="003F76A0">
              <w:rPr>
                <w:b/>
                <w:bCs/>
                <w:i/>
                <w:iCs/>
                <w:sz w:val="16"/>
                <w:szCs w:val="16"/>
              </w:rPr>
              <w:t xml:space="preserve">Note: the value provided here is intended to cover the total costs in real dollars AU$ over the </w:t>
            </w:r>
            <w:r w:rsidRPr="008F660B">
              <w:rPr>
                <w:b/>
                <w:bCs/>
                <w:i/>
                <w:iCs/>
                <w:sz w:val="16"/>
                <w:szCs w:val="16"/>
              </w:rPr>
              <w:t>term of the CISA.</w:t>
            </w:r>
            <w:r w:rsidRPr="008F660B">
              <w:rPr>
                <w:sz w:val="16"/>
                <w:szCs w:val="16"/>
              </w:rPr>
              <w:t>]</w:t>
            </w:r>
          </w:p>
        </w:tc>
      </w:tr>
      <w:tr w:rsidR="003F76A0" w:rsidRPr="003F76A0" w14:paraId="019F4317" w14:textId="77777777" w:rsidTr="003F76A0">
        <w:tc>
          <w:tcPr>
            <w:tcW w:w="3882" w:type="dxa"/>
            <w:tcBorders>
              <w:top w:val="single" w:sz="12" w:space="0" w:color="auto"/>
              <w:left w:val="single" w:sz="12" w:space="0" w:color="auto"/>
              <w:bottom w:val="single" w:sz="4" w:space="0" w:color="auto"/>
              <w:right w:val="single" w:sz="4" w:space="0" w:color="auto"/>
            </w:tcBorders>
          </w:tcPr>
          <w:p w14:paraId="2A35F956" w14:textId="77777777" w:rsidR="003F76A0" w:rsidRPr="003F76A0" w:rsidRDefault="003F76A0">
            <w:pPr>
              <w:pStyle w:val="BodyText"/>
              <w:spacing w:before="120" w:after="120"/>
              <w:rPr>
                <w:sz w:val="16"/>
                <w:szCs w:val="16"/>
              </w:rPr>
            </w:pPr>
          </w:p>
        </w:tc>
        <w:tc>
          <w:tcPr>
            <w:tcW w:w="1927" w:type="dxa"/>
            <w:tcBorders>
              <w:top w:val="single" w:sz="12" w:space="0" w:color="auto"/>
              <w:left w:val="single" w:sz="4" w:space="0" w:color="auto"/>
              <w:bottom w:val="single" w:sz="4" w:space="0" w:color="auto"/>
              <w:right w:val="single" w:sz="4" w:space="0" w:color="auto"/>
            </w:tcBorders>
          </w:tcPr>
          <w:p w14:paraId="73AB2903" w14:textId="77777777" w:rsidR="003F76A0" w:rsidRPr="003F76A0" w:rsidRDefault="003F76A0">
            <w:pPr>
              <w:pStyle w:val="BodyText"/>
              <w:spacing w:before="120" w:after="120"/>
              <w:rPr>
                <w:sz w:val="16"/>
                <w:szCs w:val="16"/>
              </w:rPr>
            </w:pPr>
          </w:p>
        </w:tc>
        <w:tc>
          <w:tcPr>
            <w:tcW w:w="2259" w:type="dxa"/>
            <w:tcBorders>
              <w:top w:val="single" w:sz="12" w:space="0" w:color="auto"/>
              <w:left w:val="single" w:sz="4" w:space="0" w:color="auto"/>
              <w:bottom w:val="single" w:sz="4" w:space="0" w:color="auto"/>
              <w:right w:val="single" w:sz="4" w:space="0" w:color="auto"/>
            </w:tcBorders>
          </w:tcPr>
          <w:p w14:paraId="085150F4" w14:textId="77777777" w:rsidR="003F76A0" w:rsidRPr="003F76A0" w:rsidRDefault="003F76A0">
            <w:pPr>
              <w:pStyle w:val="BodyText"/>
              <w:spacing w:before="120" w:after="120"/>
              <w:rPr>
                <w:i/>
                <w:iCs/>
                <w:sz w:val="16"/>
                <w:szCs w:val="16"/>
              </w:rPr>
            </w:pPr>
          </w:p>
        </w:tc>
        <w:tc>
          <w:tcPr>
            <w:tcW w:w="2030" w:type="dxa"/>
            <w:tcBorders>
              <w:top w:val="single" w:sz="12" w:space="0" w:color="auto"/>
              <w:left w:val="single" w:sz="4" w:space="0" w:color="auto"/>
              <w:bottom w:val="single" w:sz="4" w:space="0" w:color="auto"/>
              <w:right w:val="single" w:sz="4" w:space="0" w:color="auto"/>
            </w:tcBorders>
          </w:tcPr>
          <w:p w14:paraId="329B53AB" w14:textId="77777777" w:rsidR="003F76A0" w:rsidRPr="003F76A0" w:rsidRDefault="003F76A0">
            <w:pPr>
              <w:pStyle w:val="BodyText"/>
              <w:spacing w:before="120" w:after="120"/>
              <w:rPr>
                <w:sz w:val="16"/>
                <w:szCs w:val="16"/>
              </w:rPr>
            </w:pPr>
          </w:p>
        </w:tc>
        <w:tc>
          <w:tcPr>
            <w:tcW w:w="2910" w:type="dxa"/>
            <w:tcBorders>
              <w:top w:val="single" w:sz="12" w:space="0" w:color="auto"/>
              <w:left w:val="single" w:sz="4" w:space="0" w:color="auto"/>
              <w:bottom w:val="single" w:sz="4" w:space="0" w:color="auto"/>
              <w:right w:val="single" w:sz="12" w:space="0" w:color="auto"/>
            </w:tcBorders>
            <w:hideMark/>
          </w:tcPr>
          <w:p w14:paraId="0BE5955A" w14:textId="77777777" w:rsidR="003F76A0" w:rsidRPr="003F76A0" w:rsidRDefault="003F76A0">
            <w:pPr>
              <w:pStyle w:val="BodyText"/>
              <w:spacing w:before="120" w:after="120"/>
              <w:rPr>
                <w:sz w:val="16"/>
                <w:szCs w:val="16"/>
              </w:rPr>
            </w:pPr>
            <w:r w:rsidRPr="003F76A0">
              <w:rPr>
                <w:sz w:val="16"/>
                <w:szCs w:val="16"/>
              </w:rPr>
              <w:t>$</w:t>
            </w:r>
          </w:p>
        </w:tc>
      </w:tr>
      <w:tr w:rsidR="003F76A0" w:rsidRPr="003F76A0" w14:paraId="17908788" w14:textId="77777777" w:rsidTr="003F76A0">
        <w:tc>
          <w:tcPr>
            <w:tcW w:w="3882" w:type="dxa"/>
            <w:tcBorders>
              <w:top w:val="single" w:sz="4" w:space="0" w:color="auto"/>
              <w:left w:val="single" w:sz="12" w:space="0" w:color="auto"/>
              <w:bottom w:val="single" w:sz="12" w:space="0" w:color="auto"/>
              <w:right w:val="single" w:sz="4" w:space="0" w:color="auto"/>
            </w:tcBorders>
          </w:tcPr>
          <w:p w14:paraId="55DD6EF8" w14:textId="77777777" w:rsidR="003F76A0" w:rsidRPr="003F76A0" w:rsidRDefault="003F76A0">
            <w:pPr>
              <w:pStyle w:val="BodyText"/>
              <w:spacing w:before="120" w:after="120"/>
              <w:rPr>
                <w:sz w:val="16"/>
                <w:szCs w:val="16"/>
              </w:rPr>
            </w:pPr>
          </w:p>
        </w:tc>
        <w:tc>
          <w:tcPr>
            <w:tcW w:w="1927" w:type="dxa"/>
            <w:tcBorders>
              <w:top w:val="single" w:sz="4" w:space="0" w:color="auto"/>
              <w:left w:val="single" w:sz="4" w:space="0" w:color="auto"/>
              <w:bottom w:val="single" w:sz="12" w:space="0" w:color="auto"/>
              <w:right w:val="single" w:sz="4" w:space="0" w:color="auto"/>
            </w:tcBorders>
          </w:tcPr>
          <w:p w14:paraId="2AF700FB" w14:textId="77777777" w:rsidR="003F76A0" w:rsidRPr="003F76A0" w:rsidRDefault="003F76A0">
            <w:pPr>
              <w:pStyle w:val="BodyText"/>
              <w:spacing w:before="120" w:after="120"/>
              <w:rPr>
                <w:sz w:val="16"/>
                <w:szCs w:val="16"/>
              </w:rPr>
            </w:pPr>
          </w:p>
        </w:tc>
        <w:tc>
          <w:tcPr>
            <w:tcW w:w="2259" w:type="dxa"/>
            <w:tcBorders>
              <w:top w:val="single" w:sz="4" w:space="0" w:color="auto"/>
              <w:left w:val="single" w:sz="4" w:space="0" w:color="auto"/>
              <w:bottom w:val="single" w:sz="12" w:space="0" w:color="auto"/>
              <w:right w:val="single" w:sz="4" w:space="0" w:color="auto"/>
            </w:tcBorders>
          </w:tcPr>
          <w:p w14:paraId="60ED56CD" w14:textId="77777777" w:rsidR="003F76A0" w:rsidRPr="003F76A0" w:rsidRDefault="003F76A0">
            <w:pPr>
              <w:pStyle w:val="BodyText"/>
              <w:spacing w:before="120" w:after="120"/>
              <w:rPr>
                <w:sz w:val="16"/>
                <w:szCs w:val="16"/>
              </w:rPr>
            </w:pPr>
          </w:p>
        </w:tc>
        <w:tc>
          <w:tcPr>
            <w:tcW w:w="2030" w:type="dxa"/>
            <w:tcBorders>
              <w:top w:val="single" w:sz="4" w:space="0" w:color="auto"/>
              <w:left w:val="single" w:sz="4" w:space="0" w:color="auto"/>
              <w:bottom w:val="single" w:sz="12" w:space="0" w:color="auto"/>
              <w:right w:val="single" w:sz="4" w:space="0" w:color="auto"/>
            </w:tcBorders>
          </w:tcPr>
          <w:p w14:paraId="0C27EA77" w14:textId="77777777" w:rsidR="003F76A0" w:rsidRPr="003F76A0" w:rsidRDefault="003F76A0">
            <w:pPr>
              <w:pStyle w:val="BodyText"/>
              <w:spacing w:before="120" w:after="120"/>
              <w:rPr>
                <w:sz w:val="16"/>
                <w:szCs w:val="16"/>
              </w:rPr>
            </w:pPr>
          </w:p>
        </w:tc>
        <w:tc>
          <w:tcPr>
            <w:tcW w:w="2910" w:type="dxa"/>
            <w:tcBorders>
              <w:top w:val="single" w:sz="4" w:space="0" w:color="auto"/>
              <w:left w:val="single" w:sz="4" w:space="0" w:color="auto"/>
              <w:bottom w:val="single" w:sz="12" w:space="0" w:color="auto"/>
              <w:right w:val="single" w:sz="12" w:space="0" w:color="auto"/>
            </w:tcBorders>
            <w:hideMark/>
          </w:tcPr>
          <w:p w14:paraId="725A9199" w14:textId="77777777" w:rsidR="003F76A0" w:rsidRPr="003F76A0" w:rsidRDefault="003F76A0">
            <w:pPr>
              <w:pStyle w:val="BodyText"/>
              <w:spacing w:before="120" w:after="120"/>
              <w:rPr>
                <w:sz w:val="16"/>
                <w:szCs w:val="16"/>
              </w:rPr>
            </w:pPr>
            <w:r w:rsidRPr="003F76A0">
              <w:rPr>
                <w:sz w:val="16"/>
                <w:szCs w:val="16"/>
              </w:rPr>
              <w:t>$</w:t>
            </w:r>
          </w:p>
        </w:tc>
      </w:tr>
      <w:tr w:rsidR="003F76A0" w:rsidRPr="003F76A0" w14:paraId="0E1A13FF" w14:textId="77777777" w:rsidTr="003F76A0">
        <w:tc>
          <w:tcPr>
            <w:tcW w:w="3882" w:type="dxa"/>
            <w:tcBorders>
              <w:top w:val="single" w:sz="12" w:space="0" w:color="auto"/>
              <w:left w:val="single" w:sz="12" w:space="0" w:color="auto"/>
              <w:bottom w:val="single" w:sz="4" w:space="0" w:color="auto"/>
              <w:right w:val="single" w:sz="4" w:space="0" w:color="auto"/>
            </w:tcBorders>
          </w:tcPr>
          <w:p w14:paraId="1EAC2415" w14:textId="77777777" w:rsidR="003F76A0" w:rsidRPr="003F76A0" w:rsidRDefault="003F76A0">
            <w:pPr>
              <w:pStyle w:val="BodyText"/>
              <w:spacing w:before="120" w:after="120"/>
              <w:rPr>
                <w:sz w:val="16"/>
                <w:szCs w:val="16"/>
              </w:rPr>
            </w:pPr>
          </w:p>
        </w:tc>
        <w:tc>
          <w:tcPr>
            <w:tcW w:w="1927" w:type="dxa"/>
            <w:tcBorders>
              <w:top w:val="single" w:sz="12" w:space="0" w:color="auto"/>
              <w:left w:val="single" w:sz="4" w:space="0" w:color="auto"/>
              <w:bottom w:val="single" w:sz="4" w:space="0" w:color="auto"/>
              <w:right w:val="single" w:sz="4" w:space="0" w:color="auto"/>
            </w:tcBorders>
          </w:tcPr>
          <w:p w14:paraId="4CF0EB88" w14:textId="77777777" w:rsidR="003F76A0" w:rsidRPr="003F76A0" w:rsidRDefault="003F76A0">
            <w:pPr>
              <w:pStyle w:val="BodyText"/>
              <w:spacing w:before="120" w:after="120"/>
              <w:rPr>
                <w:sz w:val="16"/>
                <w:szCs w:val="16"/>
              </w:rPr>
            </w:pPr>
          </w:p>
        </w:tc>
        <w:tc>
          <w:tcPr>
            <w:tcW w:w="2259" w:type="dxa"/>
            <w:tcBorders>
              <w:top w:val="single" w:sz="12" w:space="0" w:color="auto"/>
              <w:left w:val="single" w:sz="4" w:space="0" w:color="auto"/>
              <w:bottom w:val="single" w:sz="4" w:space="0" w:color="auto"/>
              <w:right w:val="single" w:sz="4" w:space="0" w:color="auto"/>
            </w:tcBorders>
          </w:tcPr>
          <w:p w14:paraId="51889932" w14:textId="77777777" w:rsidR="003F76A0" w:rsidRPr="003F76A0" w:rsidRDefault="003F76A0">
            <w:pPr>
              <w:pStyle w:val="BodyText"/>
              <w:spacing w:before="120" w:after="120"/>
              <w:rPr>
                <w:sz w:val="16"/>
                <w:szCs w:val="16"/>
              </w:rPr>
            </w:pPr>
          </w:p>
        </w:tc>
        <w:tc>
          <w:tcPr>
            <w:tcW w:w="2030" w:type="dxa"/>
            <w:tcBorders>
              <w:top w:val="single" w:sz="12" w:space="0" w:color="auto"/>
              <w:left w:val="single" w:sz="4" w:space="0" w:color="auto"/>
              <w:bottom w:val="single" w:sz="4" w:space="0" w:color="auto"/>
              <w:right w:val="single" w:sz="4" w:space="0" w:color="auto"/>
            </w:tcBorders>
          </w:tcPr>
          <w:p w14:paraId="0069F660" w14:textId="77777777" w:rsidR="003F76A0" w:rsidRPr="003F76A0" w:rsidRDefault="003F76A0">
            <w:pPr>
              <w:pStyle w:val="BodyText"/>
              <w:spacing w:before="120" w:after="120"/>
              <w:rPr>
                <w:sz w:val="16"/>
                <w:szCs w:val="16"/>
              </w:rPr>
            </w:pPr>
          </w:p>
        </w:tc>
        <w:tc>
          <w:tcPr>
            <w:tcW w:w="2910" w:type="dxa"/>
            <w:tcBorders>
              <w:top w:val="single" w:sz="12" w:space="0" w:color="auto"/>
              <w:left w:val="single" w:sz="4" w:space="0" w:color="auto"/>
              <w:bottom w:val="single" w:sz="4" w:space="0" w:color="auto"/>
              <w:right w:val="single" w:sz="12" w:space="0" w:color="auto"/>
            </w:tcBorders>
            <w:hideMark/>
          </w:tcPr>
          <w:p w14:paraId="7C1D60DE" w14:textId="77777777" w:rsidR="003F76A0" w:rsidRPr="003F76A0" w:rsidRDefault="003F76A0">
            <w:pPr>
              <w:pStyle w:val="BodyText"/>
              <w:spacing w:before="120" w:after="120"/>
              <w:rPr>
                <w:sz w:val="16"/>
                <w:szCs w:val="16"/>
              </w:rPr>
            </w:pPr>
            <w:r w:rsidRPr="003F76A0">
              <w:rPr>
                <w:sz w:val="16"/>
                <w:szCs w:val="16"/>
              </w:rPr>
              <w:t>$</w:t>
            </w:r>
          </w:p>
        </w:tc>
      </w:tr>
      <w:tr w:rsidR="003F76A0" w:rsidRPr="003F76A0" w14:paraId="470ECC8F" w14:textId="77777777" w:rsidTr="003F76A0">
        <w:tc>
          <w:tcPr>
            <w:tcW w:w="3882" w:type="dxa"/>
            <w:tcBorders>
              <w:top w:val="single" w:sz="4" w:space="0" w:color="auto"/>
              <w:left w:val="single" w:sz="12" w:space="0" w:color="auto"/>
              <w:bottom w:val="single" w:sz="12" w:space="0" w:color="auto"/>
              <w:right w:val="single" w:sz="4" w:space="0" w:color="auto"/>
            </w:tcBorders>
          </w:tcPr>
          <w:p w14:paraId="197DDC5B" w14:textId="77777777" w:rsidR="003F76A0" w:rsidRPr="003F76A0" w:rsidRDefault="003F76A0">
            <w:pPr>
              <w:pStyle w:val="BodyText"/>
              <w:spacing w:before="120" w:after="120"/>
              <w:rPr>
                <w:sz w:val="16"/>
                <w:szCs w:val="16"/>
              </w:rPr>
            </w:pPr>
          </w:p>
        </w:tc>
        <w:tc>
          <w:tcPr>
            <w:tcW w:w="1927" w:type="dxa"/>
            <w:tcBorders>
              <w:top w:val="single" w:sz="4" w:space="0" w:color="auto"/>
              <w:left w:val="single" w:sz="4" w:space="0" w:color="auto"/>
              <w:bottom w:val="single" w:sz="12" w:space="0" w:color="auto"/>
              <w:right w:val="single" w:sz="4" w:space="0" w:color="auto"/>
            </w:tcBorders>
          </w:tcPr>
          <w:p w14:paraId="0C7B43D0" w14:textId="77777777" w:rsidR="003F76A0" w:rsidRPr="003F76A0" w:rsidRDefault="003F76A0">
            <w:pPr>
              <w:pStyle w:val="BodyText"/>
              <w:spacing w:before="120" w:after="120"/>
              <w:rPr>
                <w:sz w:val="16"/>
                <w:szCs w:val="16"/>
              </w:rPr>
            </w:pPr>
          </w:p>
        </w:tc>
        <w:tc>
          <w:tcPr>
            <w:tcW w:w="2259" w:type="dxa"/>
            <w:tcBorders>
              <w:top w:val="single" w:sz="4" w:space="0" w:color="auto"/>
              <w:left w:val="single" w:sz="4" w:space="0" w:color="auto"/>
              <w:bottom w:val="single" w:sz="12" w:space="0" w:color="auto"/>
              <w:right w:val="single" w:sz="4" w:space="0" w:color="auto"/>
            </w:tcBorders>
          </w:tcPr>
          <w:p w14:paraId="6FE5313D" w14:textId="77777777" w:rsidR="003F76A0" w:rsidRPr="003F76A0" w:rsidRDefault="003F76A0">
            <w:pPr>
              <w:pStyle w:val="BodyText"/>
              <w:spacing w:before="120" w:after="120"/>
              <w:rPr>
                <w:sz w:val="16"/>
                <w:szCs w:val="16"/>
              </w:rPr>
            </w:pPr>
          </w:p>
        </w:tc>
        <w:tc>
          <w:tcPr>
            <w:tcW w:w="2030" w:type="dxa"/>
            <w:tcBorders>
              <w:top w:val="single" w:sz="4" w:space="0" w:color="auto"/>
              <w:left w:val="single" w:sz="4" w:space="0" w:color="auto"/>
              <w:bottom w:val="single" w:sz="12" w:space="0" w:color="auto"/>
              <w:right w:val="single" w:sz="4" w:space="0" w:color="auto"/>
            </w:tcBorders>
          </w:tcPr>
          <w:p w14:paraId="469EF795" w14:textId="77777777" w:rsidR="003F76A0" w:rsidRPr="003F76A0" w:rsidRDefault="003F76A0">
            <w:pPr>
              <w:pStyle w:val="BodyText"/>
              <w:spacing w:before="120" w:after="120"/>
              <w:rPr>
                <w:sz w:val="16"/>
                <w:szCs w:val="16"/>
              </w:rPr>
            </w:pPr>
          </w:p>
        </w:tc>
        <w:tc>
          <w:tcPr>
            <w:tcW w:w="2910" w:type="dxa"/>
            <w:tcBorders>
              <w:top w:val="single" w:sz="4" w:space="0" w:color="auto"/>
              <w:left w:val="single" w:sz="4" w:space="0" w:color="auto"/>
              <w:bottom w:val="single" w:sz="12" w:space="0" w:color="auto"/>
              <w:right w:val="single" w:sz="12" w:space="0" w:color="auto"/>
            </w:tcBorders>
            <w:hideMark/>
          </w:tcPr>
          <w:p w14:paraId="5B8CE3DF" w14:textId="77777777" w:rsidR="003F76A0" w:rsidRPr="003F76A0" w:rsidRDefault="003F76A0">
            <w:pPr>
              <w:pStyle w:val="BodyText"/>
              <w:spacing w:before="120" w:after="120"/>
              <w:rPr>
                <w:sz w:val="16"/>
                <w:szCs w:val="16"/>
              </w:rPr>
            </w:pPr>
            <w:r w:rsidRPr="003F76A0">
              <w:rPr>
                <w:sz w:val="16"/>
                <w:szCs w:val="16"/>
              </w:rPr>
              <w:t>$</w:t>
            </w:r>
          </w:p>
        </w:tc>
      </w:tr>
      <w:tr w:rsidR="003F76A0" w:rsidRPr="003F76A0" w14:paraId="0A804CDF" w14:textId="77777777" w:rsidTr="003F76A0">
        <w:tc>
          <w:tcPr>
            <w:tcW w:w="3882" w:type="dxa"/>
            <w:tcBorders>
              <w:top w:val="single" w:sz="12" w:space="0" w:color="auto"/>
              <w:left w:val="single" w:sz="12" w:space="0" w:color="auto"/>
              <w:bottom w:val="single" w:sz="4" w:space="0" w:color="auto"/>
              <w:right w:val="single" w:sz="4" w:space="0" w:color="auto"/>
            </w:tcBorders>
          </w:tcPr>
          <w:p w14:paraId="1DCA6F08" w14:textId="77777777" w:rsidR="003F76A0" w:rsidRPr="003F76A0" w:rsidRDefault="003F76A0">
            <w:pPr>
              <w:pStyle w:val="BodyText"/>
              <w:spacing w:before="120" w:after="120"/>
              <w:rPr>
                <w:sz w:val="16"/>
                <w:szCs w:val="16"/>
              </w:rPr>
            </w:pPr>
          </w:p>
        </w:tc>
        <w:tc>
          <w:tcPr>
            <w:tcW w:w="1927" w:type="dxa"/>
            <w:tcBorders>
              <w:top w:val="single" w:sz="12" w:space="0" w:color="auto"/>
              <w:left w:val="single" w:sz="4" w:space="0" w:color="auto"/>
              <w:bottom w:val="single" w:sz="4" w:space="0" w:color="auto"/>
              <w:right w:val="single" w:sz="4" w:space="0" w:color="auto"/>
            </w:tcBorders>
          </w:tcPr>
          <w:p w14:paraId="7A123AA7" w14:textId="77777777" w:rsidR="003F76A0" w:rsidRPr="003F76A0" w:rsidRDefault="003F76A0">
            <w:pPr>
              <w:pStyle w:val="BodyText"/>
              <w:spacing w:before="120" w:after="120"/>
              <w:rPr>
                <w:sz w:val="16"/>
                <w:szCs w:val="16"/>
              </w:rPr>
            </w:pPr>
          </w:p>
        </w:tc>
        <w:tc>
          <w:tcPr>
            <w:tcW w:w="2259" w:type="dxa"/>
            <w:tcBorders>
              <w:top w:val="single" w:sz="12" w:space="0" w:color="auto"/>
              <w:left w:val="single" w:sz="4" w:space="0" w:color="auto"/>
              <w:bottom w:val="single" w:sz="4" w:space="0" w:color="auto"/>
              <w:right w:val="single" w:sz="4" w:space="0" w:color="auto"/>
            </w:tcBorders>
          </w:tcPr>
          <w:p w14:paraId="28611414" w14:textId="77777777" w:rsidR="003F76A0" w:rsidRPr="003F76A0" w:rsidRDefault="003F76A0">
            <w:pPr>
              <w:pStyle w:val="BodyText"/>
              <w:spacing w:before="120" w:after="120"/>
              <w:rPr>
                <w:sz w:val="16"/>
                <w:szCs w:val="16"/>
              </w:rPr>
            </w:pPr>
          </w:p>
        </w:tc>
        <w:tc>
          <w:tcPr>
            <w:tcW w:w="2030" w:type="dxa"/>
            <w:tcBorders>
              <w:top w:val="single" w:sz="12" w:space="0" w:color="auto"/>
              <w:left w:val="single" w:sz="4" w:space="0" w:color="auto"/>
              <w:bottom w:val="single" w:sz="4" w:space="0" w:color="auto"/>
              <w:right w:val="single" w:sz="4" w:space="0" w:color="auto"/>
            </w:tcBorders>
          </w:tcPr>
          <w:p w14:paraId="2F4BFD09" w14:textId="77777777" w:rsidR="003F76A0" w:rsidRPr="003F76A0" w:rsidRDefault="003F76A0">
            <w:pPr>
              <w:pStyle w:val="BodyText"/>
              <w:spacing w:before="120" w:after="120"/>
              <w:rPr>
                <w:sz w:val="16"/>
                <w:szCs w:val="16"/>
              </w:rPr>
            </w:pPr>
          </w:p>
        </w:tc>
        <w:tc>
          <w:tcPr>
            <w:tcW w:w="2910" w:type="dxa"/>
            <w:tcBorders>
              <w:top w:val="single" w:sz="12" w:space="0" w:color="auto"/>
              <w:left w:val="single" w:sz="4" w:space="0" w:color="auto"/>
              <w:bottom w:val="single" w:sz="4" w:space="0" w:color="auto"/>
              <w:right w:val="single" w:sz="12" w:space="0" w:color="auto"/>
            </w:tcBorders>
            <w:hideMark/>
          </w:tcPr>
          <w:p w14:paraId="11371DD6" w14:textId="77777777" w:rsidR="003F76A0" w:rsidRPr="003F76A0" w:rsidRDefault="003F76A0">
            <w:pPr>
              <w:pStyle w:val="BodyText"/>
              <w:spacing w:before="120" w:after="120"/>
              <w:rPr>
                <w:sz w:val="16"/>
                <w:szCs w:val="16"/>
              </w:rPr>
            </w:pPr>
            <w:r w:rsidRPr="003F76A0">
              <w:rPr>
                <w:sz w:val="16"/>
                <w:szCs w:val="16"/>
              </w:rPr>
              <w:t>$</w:t>
            </w:r>
          </w:p>
        </w:tc>
      </w:tr>
      <w:tr w:rsidR="003F76A0" w:rsidRPr="003F76A0" w14:paraId="12903567" w14:textId="77777777" w:rsidTr="003F76A0">
        <w:tc>
          <w:tcPr>
            <w:tcW w:w="3882" w:type="dxa"/>
            <w:tcBorders>
              <w:top w:val="single" w:sz="4" w:space="0" w:color="auto"/>
              <w:left w:val="single" w:sz="12" w:space="0" w:color="auto"/>
              <w:bottom w:val="single" w:sz="12" w:space="0" w:color="auto"/>
              <w:right w:val="single" w:sz="4" w:space="0" w:color="auto"/>
            </w:tcBorders>
          </w:tcPr>
          <w:p w14:paraId="7711CE57" w14:textId="77777777" w:rsidR="003F76A0" w:rsidRPr="003F76A0" w:rsidRDefault="003F76A0">
            <w:pPr>
              <w:pStyle w:val="BodyText"/>
              <w:spacing w:before="120" w:after="120"/>
              <w:rPr>
                <w:sz w:val="16"/>
                <w:szCs w:val="16"/>
              </w:rPr>
            </w:pPr>
          </w:p>
        </w:tc>
        <w:tc>
          <w:tcPr>
            <w:tcW w:w="1927" w:type="dxa"/>
            <w:tcBorders>
              <w:top w:val="single" w:sz="4" w:space="0" w:color="auto"/>
              <w:left w:val="single" w:sz="4" w:space="0" w:color="auto"/>
              <w:bottom w:val="single" w:sz="12" w:space="0" w:color="auto"/>
              <w:right w:val="single" w:sz="4" w:space="0" w:color="auto"/>
            </w:tcBorders>
          </w:tcPr>
          <w:p w14:paraId="0125DCD1" w14:textId="77777777" w:rsidR="003F76A0" w:rsidRPr="003F76A0" w:rsidRDefault="003F76A0">
            <w:pPr>
              <w:pStyle w:val="BodyText"/>
              <w:spacing w:before="120" w:after="120"/>
              <w:rPr>
                <w:sz w:val="16"/>
                <w:szCs w:val="16"/>
              </w:rPr>
            </w:pPr>
          </w:p>
        </w:tc>
        <w:tc>
          <w:tcPr>
            <w:tcW w:w="2259" w:type="dxa"/>
            <w:tcBorders>
              <w:top w:val="single" w:sz="4" w:space="0" w:color="auto"/>
              <w:left w:val="single" w:sz="4" w:space="0" w:color="auto"/>
              <w:bottom w:val="single" w:sz="12" w:space="0" w:color="auto"/>
              <w:right w:val="single" w:sz="4" w:space="0" w:color="auto"/>
            </w:tcBorders>
          </w:tcPr>
          <w:p w14:paraId="2494DF1F" w14:textId="77777777" w:rsidR="003F76A0" w:rsidRPr="003F76A0" w:rsidRDefault="003F76A0">
            <w:pPr>
              <w:pStyle w:val="BodyText"/>
              <w:spacing w:before="120" w:after="120"/>
              <w:rPr>
                <w:sz w:val="16"/>
                <w:szCs w:val="16"/>
              </w:rPr>
            </w:pPr>
          </w:p>
        </w:tc>
        <w:tc>
          <w:tcPr>
            <w:tcW w:w="2030" w:type="dxa"/>
            <w:tcBorders>
              <w:top w:val="single" w:sz="4" w:space="0" w:color="auto"/>
              <w:left w:val="single" w:sz="4" w:space="0" w:color="auto"/>
              <w:bottom w:val="single" w:sz="12" w:space="0" w:color="auto"/>
              <w:right w:val="single" w:sz="4" w:space="0" w:color="auto"/>
            </w:tcBorders>
          </w:tcPr>
          <w:p w14:paraId="7E406DA5" w14:textId="77777777" w:rsidR="003F76A0" w:rsidRPr="003F76A0" w:rsidRDefault="003F76A0">
            <w:pPr>
              <w:pStyle w:val="BodyText"/>
              <w:spacing w:before="120" w:after="120"/>
              <w:rPr>
                <w:sz w:val="16"/>
                <w:szCs w:val="16"/>
              </w:rPr>
            </w:pPr>
          </w:p>
        </w:tc>
        <w:tc>
          <w:tcPr>
            <w:tcW w:w="2910" w:type="dxa"/>
            <w:tcBorders>
              <w:top w:val="single" w:sz="4" w:space="0" w:color="auto"/>
              <w:left w:val="single" w:sz="4" w:space="0" w:color="auto"/>
              <w:bottom w:val="single" w:sz="12" w:space="0" w:color="auto"/>
              <w:right w:val="single" w:sz="12" w:space="0" w:color="auto"/>
            </w:tcBorders>
            <w:hideMark/>
          </w:tcPr>
          <w:p w14:paraId="08BB3FEE" w14:textId="77777777" w:rsidR="003F76A0" w:rsidRPr="003F76A0" w:rsidRDefault="003F76A0">
            <w:pPr>
              <w:pStyle w:val="BodyText"/>
              <w:spacing w:before="120" w:after="120"/>
              <w:rPr>
                <w:sz w:val="16"/>
                <w:szCs w:val="16"/>
              </w:rPr>
            </w:pPr>
            <w:r w:rsidRPr="003F76A0">
              <w:rPr>
                <w:sz w:val="16"/>
                <w:szCs w:val="16"/>
              </w:rPr>
              <w:t>$</w:t>
            </w:r>
          </w:p>
        </w:tc>
      </w:tr>
      <w:tr w:rsidR="003F76A0" w:rsidRPr="003F76A0" w14:paraId="22E0C7E6" w14:textId="77777777" w:rsidTr="003F76A0">
        <w:tc>
          <w:tcPr>
            <w:tcW w:w="3882" w:type="dxa"/>
            <w:tcBorders>
              <w:top w:val="single" w:sz="12" w:space="0" w:color="auto"/>
              <w:left w:val="single" w:sz="12" w:space="0" w:color="auto"/>
              <w:bottom w:val="single" w:sz="4" w:space="0" w:color="auto"/>
              <w:right w:val="single" w:sz="4" w:space="0" w:color="auto"/>
            </w:tcBorders>
          </w:tcPr>
          <w:p w14:paraId="415D5CC7" w14:textId="77777777" w:rsidR="003F76A0" w:rsidRPr="003F76A0" w:rsidRDefault="003F76A0">
            <w:pPr>
              <w:pStyle w:val="BodyText"/>
              <w:spacing w:before="120" w:after="120"/>
              <w:rPr>
                <w:sz w:val="16"/>
                <w:szCs w:val="16"/>
              </w:rPr>
            </w:pPr>
          </w:p>
        </w:tc>
        <w:tc>
          <w:tcPr>
            <w:tcW w:w="1927" w:type="dxa"/>
            <w:tcBorders>
              <w:top w:val="single" w:sz="12" w:space="0" w:color="auto"/>
              <w:left w:val="single" w:sz="4" w:space="0" w:color="auto"/>
              <w:bottom w:val="single" w:sz="4" w:space="0" w:color="auto"/>
              <w:right w:val="single" w:sz="4" w:space="0" w:color="auto"/>
            </w:tcBorders>
          </w:tcPr>
          <w:p w14:paraId="35BD0626" w14:textId="77777777" w:rsidR="003F76A0" w:rsidRPr="003F76A0" w:rsidRDefault="003F76A0">
            <w:pPr>
              <w:pStyle w:val="BodyText"/>
              <w:spacing w:before="120" w:after="120"/>
              <w:rPr>
                <w:sz w:val="16"/>
                <w:szCs w:val="16"/>
              </w:rPr>
            </w:pPr>
          </w:p>
        </w:tc>
        <w:tc>
          <w:tcPr>
            <w:tcW w:w="2259" w:type="dxa"/>
            <w:tcBorders>
              <w:top w:val="single" w:sz="12" w:space="0" w:color="auto"/>
              <w:left w:val="single" w:sz="4" w:space="0" w:color="auto"/>
              <w:bottom w:val="single" w:sz="4" w:space="0" w:color="auto"/>
              <w:right w:val="single" w:sz="4" w:space="0" w:color="auto"/>
            </w:tcBorders>
          </w:tcPr>
          <w:p w14:paraId="2FA1C110" w14:textId="77777777" w:rsidR="003F76A0" w:rsidRPr="003F76A0" w:rsidRDefault="003F76A0">
            <w:pPr>
              <w:pStyle w:val="BodyText"/>
              <w:spacing w:before="120" w:after="120"/>
              <w:rPr>
                <w:sz w:val="16"/>
                <w:szCs w:val="16"/>
              </w:rPr>
            </w:pPr>
          </w:p>
        </w:tc>
        <w:tc>
          <w:tcPr>
            <w:tcW w:w="2030" w:type="dxa"/>
            <w:tcBorders>
              <w:top w:val="single" w:sz="12" w:space="0" w:color="auto"/>
              <w:left w:val="single" w:sz="4" w:space="0" w:color="auto"/>
              <w:bottom w:val="single" w:sz="4" w:space="0" w:color="auto"/>
              <w:right w:val="single" w:sz="4" w:space="0" w:color="auto"/>
            </w:tcBorders>
          </w:tcPr>
          <w:p w14:paraId="6B7853CF" w14:textId="77777777" w:rsidR="003F76A0" w:rsidRPr="003F76A0" w:rsidRDefault="003F76A0">
            <w:pPr>
              <w:pStyle w:val="BodyText"/>
              <w:spacing w:before="120" w:after="120"/>
              <w:rPr>
                <w:sz w:val="16"/>
                <w:szCs w:val="16"/>
              </w:rPr>
            </w:pPr>
          </w:p>
        </w:tc>
        <w:tc>
          <w:tcPr>
            <w:tcW w:w="2910" w:type="dxa"/>
            <w:tcBorders>
              <w:top w:val="single" w:sz="12" w:space="0" w:color="auto"/>
              <w:left w:val="single" w:sz="4" w:space="0" w:color="auto"/>
              <w:bottom w:val="single" w:sz="4" w:space="0" w:color="auto"/>
              <w:right w:val="single" w:sz="12" w:space="0" w:color="auto"/>
            </w:tcBorders>
            <w:hideMark/>
          </w:tcPr>
          <w:p w14:paraId="0234139B" w14:textId="77777777" w:rsidR="003F76A0" w:rsidRPr="003F76A0" w:rsidRDefault="003F76A0">
            <w:pPr>
              <w:pStyle w:val="BodyText"/>
              <w:spacing w:before="120" w:after="120"/>
              <w:rPr>
                <w:sz w:val="16"/>
                <w:szCs w:val="16"/>
              </w:rPr>
            </w:pPr>
            <w:r w:rsidRPr="003F76A0">
              <w:rPr>
                <w:sz w:val="16"/>
                <w:szCs w:val="16"/>
              </w:rPr>
              <w:t>$</w:t>
            </w:r>
          </w:p>
        </w:tc>
      </w:tr>
      <w:tr w:rsidR="003F76A0" w:rsidRPr="003F76A0" w14:paraId="3A094B97" w14:textId="77777777" w:rsidTr="003F76A0">
        <w:tc>
          <w:tcPr>
            <w:tcW w:w="3882" w:type="dxa"/>
            <w:tcBorders>
              <w:top w:val="single" w:sz="4" w:space="0" w:color="auto"/>
              <w:left w:val="single" w:sz="12" w:space="0" w:color="auto"/>
              <w:bottom w:val="single" w:sz="12" w:space="0" w:color="auto"/>
              <w:right w:val="single" w:sz="4" w:space="0" w:color="auto"/>
            </w:tcBorders>
          </w:tcPr>
          <w:p w14:paraId="24618AF1" w14:textId="77777777" w:rsidR="003F76A0" w:rsidRPr="003F76A0" w:rsidRDefault="003F76A0">
            <w:pPr>
              <w:pStyle w:val="BodyText"/>
              <w:spacing w:before="120" w:after="120"/>
              <w:rPr>
                <w:sz w:val="16"/>
                <w:szCs w:val="16"/>
              </w:rPr>
            </w:pPr>
          </w:p>
        </w:tc>
        <w:tc>
          <w:tcPr>
            <w:tcW w:w="1927" w:type="dxa"/>
            <w:tcBorders>
              <w:top w:val="single" w:sz="4" w:space="0" w:color="auto"/>
              <w:left w:val="single" w:sz="4" w:space="0" w:color="auto"/>
              <w:bottom w:val="single" w:sz="12" w:space="0" w:color="auto"/>
              <w:right w:val="single" w:sz="4" w:space="0" w:color="auto"/>
            </w:tcBorders>
          </w:tcPr>
          <w:p w14:paraId="4D1BF580" w14:textId="77777777" w:rsidR="003F76A0" w:rsidRPr="003F76A0" w:rsidRDefault="003F76A0">
            <w:pPr>
              <w:pStyle w:val="BodyText"/>
              <w:spacing w:before="120" w:after="120"/>
              <w:rPr>
                <w:sz w:val="16"/>
                <w:szCs w:val="16"/>
              </w:rPr>
            </w:pPr>
          </w:p>
        </w:tc>
        <w:tc>
          <w:tcPr>
            <w:tcW w:w="2259" w:type="dxa"/>
            <w:tcBorders>
              <w:top w:val="single" w:sz="4" w:space="0" w:color="auto"/>
              <w:left w:val="single" w:sz="4" w:space="0" w:color="auto"/>
              <w:bottom w:val="single" w:sz="12" w:space="0" w:color="auto"/>
              <w:right w:val="single" w:sz="4" w:space="0" w:color="auto"/>
            </w:tcBorders>
          </w:tcPr>
          <w:p w14:paraId="44A600F2" w14:textId="77777777" w:rsidR="003F76A0" w:rsidRPr="003F76A0" w:rsidRDefault="003F76A0">
            <w:pPr>
              <w:pStyle w:val="BodyText"/>
              <w:spacing w:before="120" w:after="120"/>
              <w:rPr>
                <w:sz w:val="16"/>
                <w:szCs w:val="16"/>
              </w:rPr>
            </w:pPr>
          </w:p>
        </w:tc>
        <w:tc>
          <w:tcPr>
            <w:tcW w:w="2030" w:type="dxa"/>
            <w:tcBorders>
              <w:top w:val="single" w:sz="4" w:space="0" w:color="auto"/>
              <w:left w:val="single" w:sz="4" w:space="0" w:color="auto"/>
              <w:bottom w:val="single" w:sz="12" w:space="0" w:color="auto"/>
              <w:right w:val="single" w:sz="4" w:space="0" w:color="auto"/>
            </w:tcBorders>
          </w:tcPr>
          <w:p w14:paraId="2F7F2EC3" w14:textId="77777777" w:rsidR="003F76A0" w:rsidRPr="003F76A0" w:rsidRDefault="003F76A0">
            <w:pPr>
              <w:pStyle w:val="BodyText"/>
              <w:spacing w:before="120" w:after="120"/>
              <w:rPr>
                <w:sz w:val="16"/>
                <w:szCs w:val="16"/>
              </w:rPr>
            </w:pPr>
          </w:p>
        </w:tc>
        <w:tc>
          <w:tcPr>
            <w:tcW w:w="2910" w:type="dxa"/>
            <w:tcBorders>
              <w:top w:val="single" w:sz="4" w:space="0" w:color="auto"/>
              <w:left w:val="single" w:sz="4" w:space="0" w:color="auto"/>
              <w:bottom w:val="single" w:sz="12" w:space="0" w:color="auto"/>
              <w:right w:val="single" w:sz="12" w:space="0" w:color="auto"/>
            </w:tcBorders>
            <w:hideMark/>
          </w:tcPr>
          <w:p w14:paraId="3D31C96E" w14:textId="77777777" w:rsidR="003F76A0" w:rsidRPr="003F76A0" w:rsidRDefault="003F76A0">
            <w:pPr>
              <w:pStyle w:val="BodyText"/>
              <w:spacing w:before="120" w:after="120"/>
              <w:rPr>
                <w:sz w:val="16"/>
                <w:szCs w:val="16"/>
              </w:rPr>
            </w:pPr>
            <w:r w:rsidRPr="003F76A0">
              <w:rPr>
                <w:sz w:val="16"/>
                <w:szCs w:val="16"/>
              </w:rPr>
              <w:t>$</w:t>
            </w:r>
          </w:p>
        </w:tc>
      </w:tr>
      <w:tr w:rsidR="003F76A0" w:rsidRPr="003F76A0" w14:paraId="5F9016FC" w14:textId="77777777" w:rsidTr="003F76A0">
        <w:tc>
          <w:tcPr>
            <w:tcW w:w="3882" w:type="dxa"/>
            <w:tcBorders>
              <w:top w:val="single" w:sz="12" w:space="0" w:color="auto"/>
              <w:left w:val="single" w:sz="12" w:space="0" w:color="auto"/>
              <w:bottom w:val="single" w:sz="4" w:space="0" w:color="auto"/>
              <w:right w:val="single" w:sz="4" w:space="0" w:color="auto"/>
            </w:tcBorders>
          </w:tcPr>
          <w:p w14:paraId="11A5B667" w14:textId="77777777" w:rsidR="003F76A0" w:rsidRPr="003F76A0" w:rsidRDefault="003F76A0">
            <w:pPr>
              <w:pStyle w:val="BodyText"/>
              <w:spacing w:before="120" w:after="120"/>
              <w:rPr>
                <w:sz w:val="16"/>
                <w:szCs w:val="16"/>
              </w:rPr>
            </w:pPr>
          </w:p>
        </w:tc>
        <w:tc>
          <w:tcPr>
            <w:tcW w:w="1927" w:type="dxa"/>
            <w:tcBorders>
              <w:top w:val="single" w:sz="12" w:space="0" w:color="auto"/>
              <w:left w:val="single" w:sz="4" w:space="0" w:color="auto"/>
              <w:bottom w:val="single" w:sz="4" w:space="0" w:color="auto"/>
              <w:right w:val="single" w:sz="4" w:space="0" w:color="auto"/>
            </w:tcBorders>
          </w:tcPr>
          <w:p w14:paraId="1D533907" w14:textId="77777777" w:rsidR="003F76A0" w:rsidRPr="003F76A0" w:rsidRDefault="003F76A0">
            <w:pPr>
              <w:pStyle w:val="BodyText"/>
              <w:spacing w:before="120" w:after="120"/>
              <w:rPr>
                <w:sz w:val="16"/>
                <w:szCs w:val="16"/>
              </w:rPr>
            </w:pPr>
          </w:p>
        </w:tc>
        <w:tc>
          <w:tcPr>
            <w:tcW w:w="2259" w:type="dxa"/>
            <w:tcBorders>
              <w:top w:val="single" w:sz="12" w:space="0" w:color="auto"/>
              <w:left w:val="single" w:sz="4" w:space="0" w:color="auto"/>
              <w:bottom w:val="single" w:sz="4" w:space="0" w:color="auto"/>
              <w:right w:val="single" w:sz="4" w:space="0" w:color="auto"/>
            </w:tcBorders>
          </w:tcPr>
          <w:p w14:paraId="1CBF9072" w14:textId="77777777" w:rsidR="003F76A0" w:rsidRPr="003F76A0" w:rsidRDefault="003F76A0">
            <w:pPr>
              <w:pStyle w:val="BodyText"/>
              <w:spacing w:before="120" w:after="120"/>
              <w:rPr>
                <w:sz w:val="16"/>
                <w:szCs w:val="16"/>
              </w:rPr>
            </w:pPr>
          </w:p>
        </w:tc>
        <w:tc>
          <w:tcPr>
            <w:tcW w:w="2030" w:type="dxa"/>
            <w:tcBorders>
              <w:top w:val="single" w:sz="12" w:space="0" w:color="auto"/>
              <w:left w:val="single" w:sz="4" w:space="0" w:color="auto"/>
              <w:bottom w:val="single" w:sz="4" w:space="0" w:color="auto"/>
              <w:right w:val="single" w:sz="4" w:space="0" w:color="auto"/>
            </w:tcBorders>
          </w:tcPr>
          <w:p w14:paraId="7C152327" w14:textId="77777777" w:rsidR="003F76A0" w:rsidRPr="003F76A0" w:rsidRDefault="003F76A0">
            <w:pPr>
              <w:pStyle w:val="BodyText"/>
              <w:spacing w:before="120" w:after="120"/>
              <w:rPr>
                <w:sz w:val="16"/>
                <w:szCs w:val="16"/>
              </w:rPr>
            </w:pPr>
          </w:p>
        </w:tc>
        <w:tc>
          <w:tcPr>
            <w:tcW w:w="2910" w:type="dxa"/>
            <w:tcBorders>
              <w:top w:val="single" w:sz="12" w:space="0" w:color="auto"/>
              <w:left w:val="single" w:sz="4" w:space="0" w:color="auto"/>
              <w:bottom w:val="single" w:sz="4" w:space="0" w:color="auto"/>
              <w:right w:val="single" w:sz="12" w:space="0" w:color="auto"/>
            </w:tcBorders>
            <w:hideMark/>
          </w:tcPr>
          <w:p w14:paraId="51F282C8" w14:textId="77777777" w:rsidR="003F76A0" w:rsidRPr="003F76A0" w:rsidRDefault="003F76A0">
            <w:pPr>
              <w:pStyle w:val="BodyText"/>
              <w:spacing w:before="120" w:after="120"/>
              <w:rPr>
                <w:sz w:val="16"/>
                <w:szCs w:val="16"/>
              </w:rPr>
            </w:pPr>
            <w:r w:rsidRPr="003F76A0">
              <w:rPr>
                <w:sz w:val="16"/>
                <w:szCs w:val="16"/>
              </w:rPr>
              <w:t>$</w:t>
            </w:r>
          </w:p>
        </w:tc>
      </w:tr>
      <w:tr w:rsidR="003F76A0" w:rsidRPr="003F76A0" w14:paraId="0C5F866D" w14:textId="77777777" w:rsidTr="003F76A0">
        <w:tc>
          <w:tcPr>
            <w:tcW w:w="3882" w:type="dxa"/>
            <w:tcBorders>
              <w:top w:val="single" w:sz="4" w:space="0" w:color="auto"/>
              <w:left w:val="single" w:sz="12" w:space="0" w:color="auto"/>
              <w:bottom w:val="single" w:sz="12" w:space="0" w:color="auto"/>
              <w:right w:val="single" w:sz="4" w:space="0" w:color="auto"/>
            </w:tcBorders>
          </w:tcPr>
          <w:p w14:paraId="35CEA3B4" w14:textId="77777777" w:rsidR="003F76A0" w:rsidRPr="003F76A0" w:rsidRDefault="003F76A0">
            <w:pPr>
              <w:pStyle w:val="BodyText"/>
              <w:spacing w:before="120" w:after="120"/>
              <w:rPr>
                <w:sz w:val="16"/>
                <w:szCs w:val="16"/>
              </w:rPr>
            </w:pPr>
          </w:p>
        </w:tc>
        <w:tc>
          <w:tcPr>
            <w:tcW w:w="1927" w:type="dxa"/>
            <w:tcBorders>
              <w:top w:val="single" w:sz="4" w:space="0" w:color="auto"/>
              <w:left w:val="single" w:sz="4" w:space="0" w:color="auto"/>
              <w:bottom w:val="single" w:sz="12" w:space="0" w:color="auto"/>
              <w:right w:val="single" w:sz="4" w:space="0" w:color="auto"/>
            </w:tcBorders>
          </w:tcPr>
          <w:p w14:paraId="536B0848" w14:textId="77777777" w:rsidR="003F76A0" w:rsidRPr="003F76A0" w:rsidRDefault="003F76A0">
            <w:pPr>
              <w:pStyle w:val="BodyText"/>
              <w:spacing w:before="120" w:after="120"/>
              <w:rPr>
                <w:sz w:val="16"/>
                <w:szCs w:val="16"/>
              </w:rPr>
            </w:pPr>
          </w:p>
        </w:tc>
        <w:tc>
          <w:tcPr>
            <w:tcW w:w="2259" w:type="dxa"/>
            <w:tcBorders>
              <w:top w:val="single" w:sz="4" w:space="0" w:color="auto"/>
              <w:left w:val="single" w:sz="4" w:space="0" w:color="auto"/>
              <w:bottom w:val="single" w:sz="12" w:space="0" w:color="auto"/>
              <w:right w:val="single" w:sz="4" w:space="0" w:color="auto"/>
            </w:tcBorders>
          </w:tcPr>
          <w:p w14:paraId="4C298E78" w14:textId="77777777" w:rsidR="003F76A0" w:rsidRPr="003F76A0" w:rsidRDefault="003F76A0">
            <w:pPr>
              <w:pStyle w:val="BodyText"/>
              <w:spacing w:before="120" w:after="120"/>
              <w:rPr>
                <w:sz w:val="16"/>
                <w:szCs w:val="16"/>
              </w:rPr>
            </w:pPr>
          </w:p>
        </w:tc>
        <w:tc>
          <w:tcPr>
            <w:tcW w:w="2030" w:type="dxa"/>
            <w:tcBorders>
              <w:top w:val="single" w:sz="4" w:space="0" w:color="auto"/>
              <w:left w:val="single" w:sz="4" w:space="0" w:color="auto"/>
              <w:bottom w:val="single" w:sz="12" w:space="0" w:color="auto"/>
              <w:right w:val="single" w:sz="4" w:space="0" w:color="auto"/>
            </w:tcBorders>
          </w:tcPr>
          <w:p w14:paraId="714B630A" w14:textId="77777777" w:rsidR="003F76A0" w:rsidRPr="003F76A0" w:rsidRDefault="003F76A0">
            <w:pPr>
              <w:pStyle w:val="BodyText"/>
              <w:spacing w:before="120" w:after="120"/>
              <w:rPr>
                <w:sz w:val="16"/>
                <w:szCs w:val="16"/>
              </w:rPr>
            </w:pPr>
          </w:p>
        </w:tc>
        <w:tc>
          <w:tcPr>
            <w:tcW w:w="2910" w:type="dxa"/>
            <w:tcBorders>
              <w:top w:val="single" w:sz="4" w:space="0" w:color="auto"/>
              <w:left w:val="single" w:sz="4" w:space="0" w:color="auto"/>
              <w:bottom w:val="single" w:sz="12" w:space="0" w:color="auto"/>
              <w:right w:val="single" w:sz="12" w:space="0" w:color="auto"/>
            </w:tcBorders>
            <w:hideMark/>
          </w:tcPr>
          <w:p w14:paraId="7423617A" w14:textId="77777777" w:rsidR="003F76A0" w:rsidRPr="003F76A0" w:rsidRDefault="003F76A0">
            <w:pPr>
              <w:pStyle w:val="BodyText"/>
              <w:spacing w:before="120" w:after="120"/>
              <w:rPr>
                <w:sz w:val="16"/>
                <w:szCs w:val="16"/>
              </w:rPr>
            </w:pPr>
            <w:r w:rsidRPr="003F76A0">
              <w:rPr>
                <w:sz w:val="16"/>
                <w:szCs w:val="16"/>
              </w:rPr>
              <w:t>$</w:t>
            </w:r>
          </w:p>
        </w:tc>
      </w:tr>
      <w:tr w:rsidR="003F76A0" w:rsidRPr="003F76A0" w14:paraId="1FE7A0FC" w14:textId="77777777" w:rsidTr="003F76A0">
        <w:tc>
          <w:tcPr>
            <w:tcW w:w="3882" w:type="dxa"/>
            <w:tcBorders>
              <w:top w:val="single" w:sz="12" w:space="0" w:color="auto"/>
              <w:left w:val="single" w:sz="12" w:space="0" w:color="auto"/>
              <w:bottom w:val="single" w:sz="4" w:space="0" w:color="auto"/>
              <w:right w:val="single" w:sz="4" w:space="0" w:color="auto"/>
            </w:tcBorders>
          </w:tcPr>
          <w:p w14:paraId="47B4B5E0" w14:textId="77777777" w:rsidR="003F76A0" w:rsidRPr="003F76A0" w:rsidRDefault="003F76A0">
            <w:pPr>
              <w:pStyle w:val="BodyText"/>
              <w:spacing w:before="120" w:after="120"/>
              <w:rPr>
                <w:sz w:val="16"/>
                <w:szCs w:val="16"/>
              </w:rPr>
            </w:pPr>
          </w:p>
        </w:tc>
        <w:tc>
          <w:tcPr>
            <w:tcW w:w="1927" w:type="dxa"/>
            <w:tcBorders>
              <w:top w:val="single" w:sz="12" w:space="0" w:color="auto"/>
              <w:left w:val="single" w:sz="4" w:space="0" w:color="auto"/>
              <w:bottom w:val="single" w:sz="4" w:space="0" w:color="auto"/>
              <w:right w:val="single" w:sz="4" w:space="0" w:color="auto"/>
            </w:tcBorders>
          </w:tcPr>
          <w:p w14:paraId="7AB227A4" w14:textId="77777777" w:rsidR="003F76A0" w:rsidRPr="003F76A0" w:rsidRDefault="003F76A0">
            <w:pPr>
              <w:pStyle w:val="BodyText"/>
              <w:spacing w:before="120" w:after="120"/>
              <w:rPr>
                <w:sz w:val="16"/>
                <w:szCs w:val="16"/>
              </w:rPr>
            </w:pPr>
          </w:p>
        </w:tc>
        <w:tc>
          <w:tcPr>
            <w:tcW w:w="2259" w:type="dxa"/>
            <w:tcBorders>
              <w:top w:val="single" w:sz="12" w:space="0" w:color="auto"/>
              <w:left w:val="single" w:sz="4" w:space="0" w:color="auto"/>
              <w:bottom w:val="single" w:sz="4" w:space="0" w:color="auto"/>
              <w:right w:val="single" w:sz="4" w:space="0" w:color="auto"/>
            </w:tcBorders>
          </w:tcPr>
          <w:p w14:paraId="1FA7B38B" w14:textId="77777777" w:rsidR="003F76A0" w:rsidRPr="003F76A0" w:rsidRDefault="003F76A0">
            <w:pPr>
              <w:pStyle w:val="BodyText"/>
              <w:spacing w:before="120" w:after="120"/>
              <w:rPr>
                <w:sz w:val="16"/>
                <w:szCs w:val="16"/>
              </w:rPr>
            </w:pPr>
          </w:p>
        </w:tc>
        <w:tc>
          <w:tcPr>
            <w:tcW w:w="2030" w:type="dxa"/>
            <w:tcBorders>
              <w:top w:val="single" w:sz="12" w:space="0" w:color="auto"/>
              <w:left w:val="single" w:sz="4" w:space="0" w:color="auto"/>
              <w:bottom w:val="single" w:sz="4" w:space="0" w:color="auto"/>
              <w:right w:val="single" w:sz="4" w:space="0" w:color="auto"/>
            </w:tcBorders>
          </w:tcPr>
          <w:p w14:paraId="7F9FA3CC" w14:textId="77777777" w:rsidR="003F76A0" w:rsidRPr="003F76A0" w:rsidRDefault="003F76A0">
            <w:pPr>
              <w:pStyle w:val="BodyText"/>
              <w:spacing w:before="120" w:after="120"/>
              <w:rPr>
                <w:sz w:val="16"/>
                <w:szCs w:val="16"/>
              </w:rPr>
            </w:pPr>
          </w:p>
        </w:tc>
        <w:tc>
          <w:tcPr>
            <w:tcW w:w="2910" w:type="dxa"/>
            <w:tcBorders>
              <w:top w:val="single" w:sz="12" w:space="0" w:color="auto"/>
              <w:left w:val="single" w:sz="4" w:space="0" w:color="auto"/>
              <w:bottom w:val="single" w:sz="4" w:space="0" w:color="auto"/>
              <w:right w:val="single" w:sz="12" w:space="0" w:color="auto"/>
            </w:tcBorders>
            <w:hideMark/>
          </w:tcPr>
          <w:p w14:paraId="2A5BD42E" w14:textId="77777777" w:rsidR="003F76A0" w:rsidRPr="003F76A0" w:rsidRDefault="003F76A0">
            <w:pPr>
              <w:pStyle w:val="BodyText"/>
              <w:spacing w:before="120" w:after="120"/>
              <w:rPr>
                <w:sz w:val="16"/>
                <w:szCs w:val="16"/>
              </w:rPr>
            </w:pPr>
            <w:r w:rsidRPr="003F76A0">
              <w:rPr>
                <w:sz w:val="16"/>
                <w:szCs w:val="16"/>
              </w:rPr>
              <w:t>$</w:t>
            </w:r>
          </w:p>
        </w:tc>
      </w:tr>
      <w:tr w:rsidR="003F76A0" w:rsidRPr="003F76A0" w14:paraId="227852D2" w14:textId="77777777" w:rsidTr="003F76A0">
        <w:tc>
          <w:tcPr>
            <w:tcW w:w="3882" w:type="dxa"/>
            <w:tcBorders>
              <w:top w:val="single" w:sz="4" w:space="0" w:color="auto"/>
              <w:left w:val="single" w:sz="12" w:space="0" w:color="auto"/>
              <w:bottom w:val="single" w:sz="12" w:space="0" w:color="auto"/>
              <w:right w:val="single" w:sz="4" w:space="0" w:color="auto"/>
            </w:tcBorders>
          </w:tcPr>
          <w:p w14:paraId="1417A6D6" w14:textId="77777777" w:rsidR="003F76A0" w:rsidRPr="003F76A0" w:rsidRDefault="003F76A0">
            <w:pPr>
              <w:pStyle w:val="BodyText"/>
              <w:spacing w:before="120" w:after="120"/>
              <w:rPr>
                <w:sz w:val="16"/>
                <w:szCs w:val="16"/>
              </w:rPr>
            </w:pPr>
          </w:p>
        </w:tc>
        <w:tc>
          <w:tcPr>
            <w:tcW w:w="1927" w:type="dxa"/>
            <w:tcBorders>
              <w:top w:val="single" w:sz="4" w:space="0" w:color="auto"/>
              <w:left w:val="single" w:sz="4" w:space="0" w:color="auto"/>
              <w:bottom w:val="single" w:sz="12" w:space="0" w:color="auto"/>
              <w:right w:val="single" w:sz="4" w:space="0" w:color="auto"/>
            </w:tcBorders>
          </w:tcPr>
          <w:p w14:paraId="6A681790" w14:textId="77777777" w:rsidR="003F76A0" w:rsidRPr="003F76A0" w:rsidRDefault="003F76A0">
            <w:pPr>
              <w:pStyle w:val="BodyText"/>
              <w:spacing w:before="120" w:after="120"/>
              <w:rPr>
                <w:sz w:val="16"/>
                <w:szCs w:val="16"/>
              </w:rPr>
            </w:pPr>
          </w:p>
        </w:tc>
        <w:tc>
          <w:tcPr>
            <w:tcW w:w="2259" w:type="dxa"/>
            <w:tcBorders>
              <w:top w:val="single" w:sz="4" w:space="0" w:color="auto"/>
              <w:left w:val="single" w:sz="4" w:space="0" w:color="auto"/>
              <w:bottom w:val="single" w:sz="12" w:space="0" w:color="auto"/>
              <w:right w:val="single" w:sz="4" w:space="0" w:color="auto"/>
            </w:tcBorders>
          </w:tcPr>
          <w:p w14:paraId="365CD584" w14:textId="77777777" w:rsidR="003F76A0" w:rsidRPr="003F76A0" w:rsidRDefault="003F76A0">
            <w:pPr>
              <w:pStyle w:val="BodyText"/>
              <w:spacing w:before="120" w:after="120"/>
              <w:rPr>
                <w:sz w:val="16"/>
                <w:szCs w:val="16"/>
              </w:rPr>
            </w:pPr>
          </w:p>
        </w:tc>
        <w:tc>
          <w:tcPr>
            <w:tcW w:w="2030" w:type="dxa"/>
            <w:tcBorders>
              <w:top w:val="single" w:sz="4" w:space="0" w:color="auto"/>
              <w:left w:val="single" w:sz="4" w:space="0" w:color="auto"/>
              <w:bottom w:val="single" w:sz="12" w:space="0" w:color="auto"/>
              <w:right w:val="single" w:sz="4" w:space="0" w:color="auto"/>
            </w:tcBorders>
          </w:tcPr>
          <w:p w14:paraId="2277F981" w14:textId="77777777" w:rsidR="003F76A0" w:rsidRPr="003F76A0" w:rsidRDefault="003F76A0">
            <w:pPr>
              <w:pStyle w:val="BodyText"/>
              <w:spacing w:before="120" w:after="120"/>
              <w:rPr>
                <w:sz w:val="16"/>
                <w:szCs w:val="16"/>
              </w:rPr>
            </w:pPr>
          </w:p>
        </w:tc>
        <w:tc>
          <w:tcPr>
            <w:tcW w:w="2910" w:type="dxa"/>
            <w:tcBorders>
              <w:top w:val="single" w:sz="4" w:space="0" w:color="auto"/>
              <w:left w:val="single" w:sz="4" w:space="0" w:color="auto"/>
              <w:bottom w:val="single" w:sz="12" w:space="0" w:color="auto"/>
              <w:right w:val="single" w:sz="12" w:space="0" w:color="auto"/>
            </w:tcBorders>
            <w:hideMark/>
          </w:tcPr>
          <w:p w14:paraId="6FAB8774" w14:textId="77777777" w:rsidR="003F76A0" w:rsidRPr="003F76A0" w:rsidRDefault="003F76A0">
            <w:pPr>
              <w:pStyle w:val="BodyText"/>
              <w:spacing w:before="120" w:after="120"/>
              <w:rPr>
                <w:sz w:val="16"/>
                <w:szCs w:val="16"/>
              </w:rPr>
            </w:pPr>
            <w:r w:rsidRPr="003F76A0">
              <w:rPr>
                <w:sz w:val="16"/>
                <w:szCs w:val="16"/>
              </w:rPr>
              <w:t>$</w:t>
            </w:r>
          </w:p>
        </w:tc>
      </w:tr>
    </w:tbl>
    <w:p w14:paraId="38F15F77" w14:textId="77777777" w:rsidR="0024371D" w:rsidRDefault="0024371D" w:rsidP="003F76A0">
      <w:pPr>
        <w:pStyle w:val="SchedH1"/>
        <w:numPr>
          <w:ilvl w:val="1"/>
          <w:numId w:val="42"/>
        </w:numPr>
      </w:pPr>
      <w:r>
        <w:t xml:space="preserve">Local content, supply chain, employment and innovation commitments </w:t>
      </w:r>
    </w:p>
    <w:p w14:paraId="1EE81F7D" w14:textId="77777777" w:rsidR="0024371D" w:rsidRPr="003F76A0" w:rsidRDefault="0024371D" w:rsidP="003F76A0">
      <w:pPr>
        <w:pStyle w:val="SchedH3"/>
        <w:numPr>
          <w:ilvl w:val="3"/>
          <w:numId w:val="42"/>
        </w:numPr>
        <w:rPr>
          <w:b/>
        </w:rPr>
      </w:pPr>
      <w:r w:rsidRPr="00507B20">
        <w:rPr>
          <w:b/>
        </w:rPr>
        <w:t>Local supply chain commitments</w:t>
      </w:r>
    </w:p>
    <w:p w14:paraId="363BA06E" w14:textId="0DFDA49B" w:rsidR="003F76A0" w:rsidRPr="003F76A0" w:rsidRDefault="003F76A0" w:rsidP="003F76A0">
      <w:pPr>
        <w:pStyle w:val="Indent2"/>
      </w:pPr>
      <w:r w:rsidRPr="003F76A0">
        <w:rPr>
          <w:rFonts w:eastAsiaTheme="minorEastAsia" w:cstheme="minorBidi"/>
        </w:rPr>
        <w:t xml:space="preserve">In accordance with clause </w:t>
      </w:r>
      <w:r w:rsidR="00883C27" w:rsidRPr="002157AE">
        <w:rPr>
          <w:rFonts w:eastAsia="SimSun"/>
          <w:b/>
          <w:i/>
        </w:rPr>
        <w:fldChar w:fldCharType="begin"/>
      </w:r>
      <w:r w:rsidR="00883C27" w:rsidRPr="002157AE">
        <w:rPr>
          <w:rFonts w:eastAsia="SimSun"/>
          <w:b/>
          <w:i/>
        </w:rPr>
        <w:instrText xml:space="preserve"> REF _Ref206706719 \r \h </w:instrText>
      </w:r>
      <w:r w:rsidR="00883C27">
        <w:rPr>
          <w:rFonts w:eastAsia="SimSun"/>
          <w:b/>
          <w:i/>
        </w:rPr>
        <w:instrText xml:space="preserve"> \* MERGEFORMAT </w:instrText>
      </w:r>
      <w:r w:rsidR="00883C27" w:rsidRPr="002157AE">
        <w:rPr>
          <w:rFonts w:eastAsia="SimSun"/>
          <w:b/>
          <w:i/>
        </w:rPr>
      </w:r>
      <w:r w:rsidR="00883C27" w:rsidRPr="002157AE">
        <w:rPr>
          <w:rFonts w:eastAsia="SimSun"/>
          <w:b/>
          <w:i/>
        </w:rPr>
        <w:fldChar w:fldCharType="separate"/>
      </w:r>
      <w:r w:rsidR="002E5C6A">
        <w:rPr>
          <w:rFonts w:eastAsia="SimSun"/>
          <w:b/>
          <w:i/>
        </w:rPr>
        <w:t>11.1</w:t>
      </w:r>
      <w:r w:rsidR="00883C27" w:rsidRPr="002157AE">
        <w:rPr>
          <w:rFonts w:eastAsia="SimSun"/>
          <w:b/>
          <w:i/>
        </w:rPr>
        <w:fldChar w:fldCharType="end"/>
      </w:r>
      <w:r w:rsidR="00883C27" w:rsidRPr="002157AE">
        <w:rPr>
          <w:rFonts w:eastAsia="SimSun"/>
          <w:b/>
          <w:i/>
        </w:rPr>
        <w:t xml:space="preserve"> (“</w:t>
      </w:r>
      <w:r w:rsidR="00883C27" w:rsidRPr="002157AE">
        <w:rPr>
          <w:rFonts w:eastAsia="SimSun"/>
          <w:b/>
          <w:i/>
        </w:rPr>
        <w:fldChar w:fldCharType="begin"/>
      </w:r>
      <w:r w:rsidR="00883C27" w:rsidRPr="002157AE">
        <w:rPr>
          <w:rFonts w:eastAsia="SimSun"/>
          <w:b/>
          <w:i/>
        </w:rPr>
        <w:instrText xml:space="preserve"> REF _Ref206706721 \h  \* MERGEFORMAT </w:instrText>
      </w:r>
      <w:r w:rsidR="00883C27" w:rsidRPr="002157AE">
        <w:rPr>
          <w:rFonts w:eastAsia="SimSun"/>
          <w:b/>
          <w:i/>
        </w:rPr>
      </w:r>
      <w:r w:rsidR="00883C27" w:rsidRPr="002157AE">
        <w:rPr>
          <w:rFonts w:eastAsia="SimSun"/>
          <w:b/>
          <w:i/>
        </w:rPr>
        <w:fldChar w:fldCharType="separate"/>
      </w:r>
      <w:r w:rsidR="002E5C6A" w:rsidRPr="006C780B">
        <w:rPr>
          <w:b/>
          <w:i/>
        </w:rPr>
        <w:t>Performance</w:t>
      </w:r>
      <w:r w:rsidR="00883C27" w:rsidRPr="002157AE">
        <w:rPr>
          <w:rFonts w:eastAsia="SimSun"/>
          <w:b/>
          <w:i/>
        </w:rPr>
        <w:fldChar w:fldCharType="end"/>
      </w:r>
      <w:r w:rsidR="00883C27" w:rsidRPr="002157AE">
        <w:rPr>
          <w:rFonts w:eastAsia="SimSun"/>
          <w:b/>
          <w:i/>
        </w:rPr>
        <w:t>”)</w:t>
      </w:r>
      <w:r w:rsidR="00883C27" w:rsidRPr="00883C27">
        <w:rPr>
          <w:rFonts w:eastAsiaTheme="minorEastAsia" w:cstheme="minorBidi"/>
        </w:rPr>
        <w:t xml:space="preserve">, </w:t>
      </w:r>
      <w:r w:rsidRPr="003F76A0">
        <w:t>Project Operator must purchase Local Content to least the values, and within the timeframes, specified in Table 3 below for the relevant phase of the Project.</w:t>
      </w:r>
    </w:p>
    <w:p w14:paraId="6852921F" w14:textId="77777777" w:rsidR="0024371D" w:rsidRDefault="0024371D" w:rsidP="0024371D">
      <w:pPr>
        <w:pStyle w:val="Indent2"/>
        <w:keepNext/>
        <w:rPr>
          <w:b/>
          <w:bCs/>
        </w:rPr>
      </w:pPr>
      <w:r>
        <w:rPr>
          <w:b/>
          <w:bCs/>
        </w:rPr>
        <w:t>Table 3 – Commitments related to use of Local Content</w:t>
      </w:r>
    </w:p>
    <w:tbl>
      <w:tblPr>
        <w:tblStyle w:val="TableGrid"/>
        <w:tblW w:w="0" w:type="auto"/>
        <w:tblInd w:w="704" w:type="dxa"/>
        <w:tblLook w:val="04A0" w:firstRow="1" w:lastRow="0" w:firstColumn="1" w:lastColumn="0" w:noHBand="0" w:noVBand="1"/>
      </w:tblPr>
      <w:tblGrid>
        <w:gridCol w:w="4972"/>
        <w:gridCol w:w="3827"/>
        <w:gridCol w:w="4100"/>
      </w:tblGrid>
      <w:tr w:rsidR="003F76A0" w:rsidRPr="003F76A0" w14:paraId="7E3BB142" w14:textId="77777777" w:rsidTr="003F76A0">
        <w:trPr>
          <w:tblHeader/>
        </w:trPr>
        <w:tc>
          <w:tcPr>
            <w:tcW w:w="497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A2E21F6" w14:textId="77777777" w:rsidR="003F76A0" w:rsidRPr="003F76A0" w:rsidRDefault="003F76A0">
            <w:pPr>
              <w:pStyle w:val="BodyText"/>
              <w:spacing w:before="120" w:after="120"/>
              <w:jc w:val="center"/>
              <w:rPr>
                <w:b/>
                <w:bCs/>
                <w:sz w:val="16"/>
                <w:szCs w:val="16"/>
              </w:rPr>
            </w:pPr>
            <w:r w:rsidRPr="003F76A0">
              <w:rPr>
                <w:b/>
                <w:bCs/>
                <w:sz w:val="16"/>
                <w:szCs w:val="16"/>
              </w:rPr>
              <w:t>Local Content commitments</w:t>
            </w:r>
          </w:p>
        </w:tc>
        <w:tc>
          <w:tcPr>
            <w:tcW w:w="38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6D9C211" w14:textId="77777777" w:rsidR="003F76A0" w:rsidRPr="003F76A0" w:rsidRDefault="003F76A0">
            <w:pPr>
              <w:pStyle w:val="BodyText"/>
              <w:spacing w:before="120" w:after="120"/>
              <w:jc w:val="center"/>
              <w:rPr>
                <w:b/>
                <w:bCs/>
                <w:sz w:val="16"/>
                <w:szCs w:val="16"/>
              </w:rPr>
            </w:pPr>
            <w:r w:rsidRPr="003F76A0">
              <w:rPr>
                <w:b/>
                <w:bCs/>
                <w:sz w:val="16"/>
                <w:szCs w:val="16"/>
              </w:rPr>
              <w:t>% of total CAPEX</w:t>
            </w:r>
          </w:p>
        </w:tc>
        <w:tc>
          <w:tcPr>
            <w:tcW w:w="4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AF6EF00" w14:textId="77777777" w:rsidR="003F76A0" w:rsidRPr="003F76A0" w:rsidRDefault="003F76A0">
            <w:pPr>
              <w:pStyle w:val="BodyText"/>
              <w:spacing w:before="120" w:after="120"/>
              <w:jc w:val="center"/>
              <w:rPr>
                <w:b/>
                <w:bCs/>
                <w:sz w:val="16"/>
                <w:szCs w:val="16"/>
              </w:rPr>
            </w:pPr>
            <w:r w:rsidRPr="003F76A0">
              <w:rPr>
                <w:b/>
                <w:bCs/>
                <w:sz w:val="16"/>
                <w:szCs w:val="16"/>
              </w:rPr>
              <w:t>Cost in real dollars AU$ as at the Signing Date</w:t>
            </w:r>
            <w:r w:rsidRPr="003F76A0">
              <w:rPr>
                <w:b/>
                <w:bCs/>
                <w:sz w:val="16"/>
                <w:szCs w:val="16"/>
              </w:rPr>
              <w:br/>
            </w:r>
          </w:p>
        </w:tc>
      </w:tr>
      <w:tr w:rsidR="003F76A0" w:rsidRPr="003F76A0" w14:paraId="554EF7E3" w14:textId="77777777" w:rsidTr="003F76A0">
        <w:tc>
          <w:tcPr>
            <w:tcW w:w="4972" w:type="dxa"/>
            <w:tcBorders>
              <w:top w:val="single" w:sz="4" w:space="0" w:color="auto"/>
              <w:left w:val="single" w:sz="4" w:space="0" w:color="auto"/>
              <w:bottom w:val="single" w:sz="4" w:space="0" w:color="auto"/>
              <w:right w:val="single" w:sz="4" w:space="0" w:color="auto"/>
            </w:tcBorders>
            <w:vAlign w:val="center"/>
            <w:hideMark/>
          </w:tcPr>
          <w:p w14:paraId="530C1E25" w14:textId="77777777" w:rsidR="003F76A0" w:rsidRPr="003F76A0" w:rsidRDefault="003F76A0">
            <w:pPr>
              <w:pStyle w:val="BodyText"/>
              <w:spacing w:before="120" w:after="120"/>
              <w:jc w:val="center"/>
              <w:rPr>
                <w:sz w:val="16"/>
                <w:szCs w:val="16"/>
              </w:rPr>
            </w:pPr>
            <w:r w:rsidRPr="003F76A0">
              <w:rPr>
                <w:sz w:val="16"/>
                <w:szCs w:val="16"/>
              </w:rPr>
              <w:t>Pre-COD – Development and construction</w:t>
            </w:r>
          </w:p>
        </w:tc>
        <w:tc>
          <w:tcPr>
            <w:tcW w:w="3827" w:type="dxa"/>
            <w:tcBorders>
              <w:top w:val="single" w:sz="4" w:space="0" w:color="auto"/>
              <w:left w:val="single" w:sz="4" w:space="0" w:color="auto"/>
              <w:bottom w:val="single" w:sz="4" w:space="0" w:color="auto"/>
              <w:right w:val="single" w:sz="4" w:space="0" w:color="auto"/>
            </w:tcBorders>
            <w:vAlign w:val="center"/>
          </w:tcPr>
          <w:p w14:paraId="12ED644F" w14:textId="77777777" w:rsidR="003F76A0" w:rsidRPr="003F76A0" w:rsidRDefault="003F76A0">
            <w:pPr>
              <w:pStyle w:val="BodyText"/>
              <w:spacing w:before="120" w:after="120"/>
              <w:jc w:val="center"/>
              <w:rPr>
                <w:sz w:val="16"/>
                <w:szCs w:val="16"/>
              </w:rPr>
            </w:pPr>
          </w:p>
        </w:tc>
        <w:tc>
          <w:tcPr>
            <w:tcW w:w="4100" w:type="dxa"/>
            <w:tcBorders>
              <w:top w:val="single" w:sz="4" w:space="0" w:color="auto"/>
              <w:left w:val="single" w:sz="4" w:space="0" w:color="auto"/>
              <w:bottom w:val="single" w:sz="4" w:space="0" w:color="auto"/>
              <w:right w:val="single" w:sz="4" w:space="0" w:color="auto"/>
            </w:tcBorders>
            <w:vAlign w:val="center"/>
          </w:tcPr>
          <w:p w14:paraId="382DEFA2" w14:textId="77777777" w:rsidR="003F76A0" w:rsidRPr="003F76A0" w:rsidRDefault="003F76A0">
            <w:pPr>
              <w:pStyle w:val="BodyText"/>
              <w:spacing w:before="120" w:after="120"/>
              <w:jc w:val="center"/>
              <w:rPr>
                <w:sz w:val="16"/>
                <w:szCs w:val="16"/>
              </w:rPr>
            </w:pPr>
          </w:p>
        </w:tc>
      </w:tr>
      <w:tr w:rsidR="003F76A0" w:rsidRPr="003F76A0" w14:paraId="63A495DD" w14:textId="77777777" w:rsidTr="003F76A0">
        <w:tc>
          <w:tcPr>
            <w:tcW w:w="497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18897BB" w14:textId="77777777" w:rsidR="003F76A0" w:rsidRPr="003F76A0" w:rsidRDefault="003F76A0">
            <w:pPr>
              <w:pStyle w:val="BodyText"/>
              <w:spacing w:before="120" w:after="120"/>
              <w:jc w:val="center"/>
              <w:rPr>
                <w:b/>
                <w:bCs/>
                <w:sz w:val="16"/>
                <w:szCs w:val="16"/>
              </w:rPr>
            </w:pPr>
            <w:r w:rsidRPr="003F76A0">
              <w:rPr>
                <w:b/>
                <w:bCs/>
                <w:sz w:val="16"/>
                <w:szCs w:val="16"/>
              </w:rPr>
              <w:t>Local Content commitments</w:t>
            </w:r>
          </w:p>
        </w:tc>
        <w:tc>
          <w:tcPr>
            <w:tcW w:w="38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031B9BA" w14:textId="77777777" w:rsidR="003F76A0" w:rsidRPr="003F76A0" w:rsidRDefault="003F76A0">
            <w:pPr>
              <w:pStyle w:val="BodyText"/>
              <w:spacing w:before="120" w:after="120"/>
              <w:jc w:val="center"/>
              <w:rPr>
                <w:b/>
                <w:bCs/>
                <w:sz w:val="16"/>
                <w:szCs w:val="16"/>
              </w:rPr>
            </w:pPr>
            <w:r w:rsidRPr="003F76A0">
              <w:rPr>
                <w:b/>
                <w:bCs/>
                <w:sz w:val="16"/>
                <w:szCs w:val="16"/>
              </w:rPr>
              <w:t>% of total OPEX</w:t>
            </w:r>
          </w:p>
        </w:tc>
        <w:tc>
          <w:tcPr>
            <w:tcW w:w="4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EAED16A" w14:textId="77777777" w:rsidR="003F76A0" w:rsidRPr="003F76A0" w:rsidRDefault="003F76A0">
            <w:pPr>
              <w:pStyle w:val="BodyText"/>
              <w:spacing w:before="120" w:after="120"/>
              <w:jc w:val="center"/>
              <w:rPr>
                <w:b/>
                <w:bCs/>
                <w:sz w:val="16"/>
                <w:szCs w:val="16"/>
              </w:rPr>
            </w:pPr>
            <w:r w:rsidRPr="003F76A0">
              <w:rPr>
                <w:b/>
                <w:bCs/>
                <w:sz w:val="16"/>
                <w:szCs w:val="16"/>
              </w:rPr>
              <w:t>Cost in real dollars AU$ as at the Signing Date</w:t>
            </w:r>
            <w:r w:rsidRPr="003F76A0">
              <w:rPr>
                <w:b/>
                <w:bCs/>
                <w:sz w:val="16"/>
                <w:szCs w:val="16"/>
              </w:rPr>
              <w:br/>
            </w:r>
            <w:r w:rsidRPr="003F76A0">
              <w:rPr>
                <w:sz w:val="16"/>
                <w:szCs w:val="16"/>
              </w:rPr>
              <w:t>[</w:t>
            </w:r>
            <w:r w:rsidRPr="008F660B">
              <w:rPr>
                <w:b/>
                <w:bCs/>
                <w:i/>
                <w:iCs/>
                <w:sz w:val="16"/>
                <w:szCs w:val="16"/>
              </w:rPr>
              <w:t>Note: the value provided here is intended to cover the total costs in real dollars AU$ over the term of the CISA.</w:t>
            </w:r>
            <w:r w:rsidRPr="003F76A0">
              <w:rPr>
                <w:sz w:val="16"/>
                <w:szCs w:val="16"/>
              </w:rPr>
              <w:t>]</w:t>
            </w:r>
          </w:p>
        </w:tc>
      </w:tr>
      <w:tr w:rsidR="003F76A0" w:rsidRPr="003F76A0" w14:paraId="222550C6" w14:textId="77777777" w:rsidTr="003F76A0">
        <w:tc>
          <w:tcPr>
            <w:tcW w:w="4972" w:type="dxa"/>
            <w:tcBorders>
              <w:top w:val="single" w:sz="4" w:space="0" w:color="auto"/>
              <w:left w:val="single" w:sz="4" w:space="0" w:color="auto"/>
              <w:bottom w:val="single" w:sz="4" w:space="0" w:color="auto"/>
              <w:right w:val="single" w:sz="4" w:space="0" w:color="auto"/>
            </w:tcBorders>
            <w:vAlign w:val="center"/>
            <w:hideMark/>
          </w:tcPr>
          <w:p w14:paraId="3C163CFF" w14:textId="77777777" w:rsidR="003F76A0" w:rsidRPr="003F76A0" w:rsidRDefault="003F76A0">
            <w:pPr>
              <w:pStyle w:val="BodyText"/>
              <w:spacing w:before="120" w:after="120"/>
              <w:jc w:val="center"/>
              <w:rPr>
                <w:sz w:val="16"/>
                <w:szCs w:val="16"/>
              </w:rPr>
            </w:pPr>
            <w:r w:rsidRPr="003F76A0">
              <w:rPr>
                <w:sz w:val="16"/>
                <w:szCs w:val="16"/>
              </w:rPr>
              <w:t>Post- COD – Operation and maintenance</w:t>
            </w:r>
          </w:p>
        </w:tc>
        <w:tc>
          <w:tcPr>
            <w:tcW w:w="3827" w:type="dxa"/>
            <w:tcBorders>
              <w:top w:val="single" w:sz="4" w:space="0" w:color="auto"/>
              <w:left w:val="single" w:sz="4" w:space="0" w:color="auto"/>
              <w:bottom w:val="single" w:sz="4" w:space="0" w:color="auto"/>
              <w:right w:val="single" w:sz="4" w:space="0" w:color="auto"/>
            </w:tcBorders>
            <w:vAlign w:val="center"/>
          </w:tcPr>
          <w:p w14:paraId="3C2EDC67" w14:textId="77777777" w:rsidR="003F76A0" w:rsidRPr="003F76A0" w:rsidRDefault="003F76A0">
            <w:pPr>
              <w:pStyle w:val="BodyText"/>
              <w:spacing w:before="120" w:after="120"/>
              <w:jc w:val="center"/>
              <w:rPr>
                <w:sz w:val="16"/>
                <w:szCs w:val="16"/>
              </w:rPr>
            </w:pPr>
          </w:p>
        </w:tc>
        <w:tc>
          <w:tcPr>
            <w:tcW w:w="4100" w:type="dxa"/>
            <w:tcBorders>
              <w:top w:val="single" w:sz="4" w:space="0" w:color="auto"/>
              <w:left w:val="single" w:sz="4" w:space="0" w:color="auto"/>
              <w:bottom w:val="single" w:sz="4" w:space="0" w:color="auto"/>
              <w:right w:val="single" w:sz="4" w:space="0" w:color="auto"/>
            </w:tcBorders>
            <w:vAlign w:val="center"/>
          </w:tcPr>
          <w:p w14:paraId="6CCA261E" w14:textId="77777777" w:rsidR="003F76A0" w:rsidRPr="003F76A0" w:rsidRDefault="003F76A0">
            <w:pPr>
              <w:pStyle w:val="BodyText"/>
              <w:spacing w:before="120" w:after="120"/>
              <w:jc w:val="center"/>
              <w:rPr>
                <w:sz w:val="16"/>
                <w:szCs w:val="16"/>
              </w:rPr>
            </w:pPr>
          </w:p>
        </w:tc>
      </w:tr>
      <w:tr w:rsidR="003F76A0" w:rsidRPr="003F76A0" w14:paraId="67D6F001" w14:textId="77777777" w:rsidTr="003F76A0">
        <w:tc>
          <w:tcPr>
            <w:tcW w:w="497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C9889C9" w14:textId="77777777" w:rsidR="003F76A0" w:rsidRPr="003F76A0" w:rsidRDefault="003F76A0">
            <w:pPr>
              <w:pStyle w:val="BodyText"/>
              <w:spacing w:before="120" w:after="120"/>
              <w:jc w:val="center"/>
              <w:rPr>
                <w:b/>
                <w:bCs/>
                <w:sz w:val="16"/>
                <w:szCs w:val="16"/>
              </w:rPr>
            </w:pPr>
            <w:r w:rsidRPr="003F76A0">
              <w:rPr>
                <w:b/>
                <w:bCs/>
                <w:sz w:val="16"/>
                <w:szCs w:val="16"/>
              </w:rPr>
              <w:t>Local Content commitments</w:t>
            </w:r>
          </w:p>
        </w:tc>
        <w:tc>
          <w:tcPr>
            <w:tcW w:w="38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2EA8CEE" w14:textId="77777777" w:rsidR="003F76A0" w:rsidRPr="003F76A0" w:rsidRDefault="003F76A0">
            <w:pPr>
              <w:pStyle w:val="BodyText"/>
              <w:spacing w:before="120" w:after="120"/>
              <w:jc w:val="center"/>
              <w:rPr>
                <w:b/>
                <w:bCs/>
                <w:sz w:val="16"/>
                <w:szCs w:val="16"/>
              </w:rPr>
            </w:pPr>
            <w:r w:rsidRPr="003F76A0">
              <w:rPr>
                <w:b/>
                <w:bCs/>
                <w:sz w:val="16"/>
                <w:szCs w:val="16"/>
              </w:rPr>
              <w:t>% of total Steel</w:t>
            </w:r>
          </w:p>
        </w:tc>
        <w:tc>
          <w:tcPr>
            <w:tcW w:w="4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2D670C" w14:textId="77777777" w:rsidR="003F76A0" w:rsidRPr="003F76A0" w:rsidRDefault="003F76A0">
            <w:pPr>
              <w:pStyle w:val="BodyText"/>
              <w:spacing w:before="120" w:after="120"/>
              <w:jc w:val="center"/>
              <w:rPr>
                <w:b/>
                <w:bCs/>
                <w:sz w:val="16"/>
                <w:szCs w:val="16"/>
              </w:rPr>
            </w:pPr>
            <w:r w:rsidRPr="003F76A0">
              <w:rPr>
                <w:b/>
                <w:bCs/>
                <w:sz w:val="16"/>
                <w:szCs w:val="16"/>
              </w:rPr>
              <w:t>Cost in real dollars AU$ as at the Signing Date</w:t>
            </w:r>
            <w:r w:rsidRPr="003F76A0">
              <w:rPr>
                <w:b/>
                <w:bCs/>
                <w:sz w:val="16"/>
                <w:szCs w:val="16"/>
              </w:rPr>
              <w:br/>
            </w:r>
          </w:p>
        </w:tc>
      </w:tr>
      <w:tr w:rsidR="003F76A0" w:rsidRPr="003F76A0" w14:paraId="7E602DDE" w14:textId="77777777" w:rsidTr="003F76A0">
        <w:tc>
          <w:tcPr>
            <w:tcW w:w="4972" w:type="dxa"/>
            <w:tcBorders>
              <w:top w:val="single" w:sz="4" w:space="0" w:color="auto"/>
              <w:left w:val="single" w:sz="4" w:space="0" w:color="auto"/>
              <w:bottom w:val="single" w:sz="4" w:space="0" w:color="auto"/>
              <w:right w:val="single" w:sz="4" w:space="0" w:color="auto"/>
            </w:tcBorders>
            <w:vAlign w:val="center"/>
            <w:hideMark/>
          </w:tcPr>
          <w:p w14:paraId="3BC23C7E" w14:textId="77777777" w:rsidR="003F76A0" w:rsidRPr="003F76A0" w:rsidRDefault="003F76A0">
            <w:pPr>
              <w:pStyle w:val="BodyText"/>
              <w:spacing w:before="120" w:after="120"/>
              <w:jc w:val="center"/>
              <w:rPr>
                <w:sz w:val="16"/>
                <w:szCs w:val="16"/>
              </w:rPr>
            </w:pPr>
            <w:r w:rsidRPr="003F76A0">
              <w:rPr>
                <w:sz w:val="16"/>
                <w:szCs w:val="16"/>
              </w:rPr>
              <w:t>Local Steel</w:t>
            </w:r>
          </w:p>
        </w:tc>
        <w:tc>
          <w:tcPr>
            <w:tcW w:w="3827" w:type="dxa"/>
            <w:tcBorders>
              <w:top w:val="single" w:sz="4" w:space="0" w:color="auto"/>
              <w:left w:val="single" w:sz="4" w:space="0" w:color="auto"/>
              <w:bottom w:val="single" w:sz="4" w:space="0" w:color="auto"/>
              <w:right w:val="single" w:sz="4" w:space="0" w:color="auto"/>
            </w:tcBorders>
            <w:vAlign w:val="center"/>
          </w:tcPr>
          <w:p w14:paraId="2597775B" w14:textId="77777777" w:rsidR="003F76A0" w:rsidRPr="003F76A0" w:rsidRDefault="003F76A0">
            <w:pPr>
              <w:pStyle w:val="BodyText"/>
              <w:spacing w:before="120" w:after="120"/>
              <w:jc w:val="center"/>
              <w:rPr>
                <w:sz w:val="16"/>
                <w:szCs w:val="16"/>
              </w:rPr>
            </w:pPr>
          </w:p>
        </w:tc>
        <w:tc>
          <w:tcPr>
            <w:tcW w:w="4100" w:type="dxa"/>
            <w:tcBorders>
              <w:top w:val="single" w:sz="4" w:space="0" w:color="auto"/>
              <w:left w:val="single" w:sz="4" w:space="0" w:color="auto"/>
              <w:bottom w:val="single" w:sz="4" w:space="0" w:color="auto"/>
              <w:right w:val="single" w:sz="4" w:space="0" w:color="auto"/>
            </w:tcBorders>
            <w:vAlign w:val="center"/>
          </w:tcPr>
          <w:p w14:paraId="3ECA9FC5" w14:textId="77777777" w:rsidR="003F76A0" w:rsidRPr="003F76A0" w:rsidRDefault="003F76A0">
            <w:pPr>
              <w:pStyle w:val="BodyText"/>
              <w:spacing w:before="120" w:after="120"/>
              <w:jc w:val="center"/>
              <w:rPr>
                <w:sz w:val="16"/>
                <w:szCs w:val="16"/>
              </w:rPr>
            </w:pPr>
          </w:p>
        </w:tc>
      </w:tr>
    </w:tbl>
    <w:p w14:paraId="4ACC8DAA" w14:textId="77777777" w:rsidR="003F76A0" w:rsidRPr="003F76A0" w:rsidRDefault="003F76A0" w:rsidP="008F660B">
      <w:pPr>
        <w:pStyle w:val="SchedH3"/>
        <w:numPr>
          <w:ilvl w:val="0"/>
          <w:numId w:val="0"/>
        </w:numPr>
        <w:ind w:left="1474"/>
        <w:rPr>
          <w:b/>
          <w:bCs/>
        </w:rPr>
      </w:pPr>
    </w:p>
    <w:p w14:paraId="2463A1E1" w14:textId="77777777" w:rsidR="003F76A0" w:rsidRPr="003F76A0" w:rsidRDefault="003F76A0" w:rsidP="003F76A0">
      <w:pPr>
        <w:pStyle w:val="SchedH3"/>
        <w:numPr>
          <w:ilvl w:val="0"/>
          <w:numId w:val="0"/>
        </w:numPr>
        <w:tabs>
          <w:tab w:val="left" w:pos="720"/>
        </w:tabs>
        <w:ind w:left="1474"/>
        <w:rPr>
          <w:b/>
          <w:bCs/>
        </w:rPr>
      </w:pPr>
    </w:p>
    <w:p w14:paraId="1D45F687" w14:textId="77777777" w:rsidR="003F76A0" w:rsidRPr="003F76A0" w:rsidRDefault="003F76A0" w:rsidP="003F76A0">
      <w:pPr>
        <w:pStyle w:val="SchedH3"/>
        <w:numPr>
          <w:ilvl w:val="0"/>
          <w:numId w:val="0"/>
        </w:numPr>
        <w:tabs>
          <w:tab w:val="left" w:pos="720"/>
        </w:tabs>
        <w:ind w:left="1474"/>
        <w:rPr>
          <w:b/>
          <w:bCs/>
        </w:rPr>
      </w:pPr>
    </w:p>
    <w:p w14:paraId="200F5EF4" w14:textId="77777777" w:rsidR="003F76A0" w:rsidRPr="003F76A0" w:rsidRDefault="003F76A0" w:rsidP="003F76A0">
      <w:pPr>
        <w:pStyle w:val="SchedH3"/>
        <w:numPr>
          <w:ilvl w:val="0"/>
          <w:numId w:val="0"/>
        </w:numPr>
        <w:tabs>
          <w:tab w:val="left" w:pos="720"/>
        </w:tabs>
        <w:ind w:left="1474"/>
        <w:rPr>
          <w:b/>
          <w:bCs/>
        </w:rPr>
      </w:pPr>
    </w:p>
    <w:p w14:paraId="08BA7C2E" w14:textId="77777777" w:rsidR="003F76A0" w:rsidRPr="003F76A0" w:rsidRDefault="003F76A0" w:rsidP="003F76A0">
      <w:pPr>
        <w:pStyle w:val="SchedH3"/>
        <w:numPr>
          <w:ilvl w:val="0"/>
          <w:numId w:val="0"/>
        </w:numPr>
        <w:tabs>
          <w:tab w:val="left" w:pos="720"/>
        </w:tabs>
        <w:ind w:left="1474"/>
        <w:rPr>
          <w:b/>
          <w:bCs/>
        </w:rPr>
      </w:pPr>
    </w:p>
    <w:p w14:paraId="753A9366" w14:textId="77777777" w:rsidR="003F76A0" w:rsidRPr="003F76A0" w:rsidRDefault="003F76A0" w:rsidP="003F76A0">
      <w:pPr>
        <w:pStyle w:val="SchedH3"/>
        <w:numPr>
          <w:ilvl w:val="0"/>
          <w:numId w:val="0"/>
        </w:numPr>
        <w:tabs>
          <w:tab w:val="left" w:pos="720"/>
        </w:tabs>
        <w:ind w:left="1474"/>
        <w:rPr>
          <w:b/>
          <w:bCs/>
        </w:rPr>
      </w:pPr>
    </w:p>
    <w:p w14:paraId="6335B414" w14:textId="77777777" w:rsidR="003F76A0" w:rsidRPr="003F76A0" w:rsidRDefault="003F76A0" w:rsidP="008F660B">
      <w:pPr>
        <w:pStyle w:val="SchedH3"/>
        <w:numPr>
          <w:ilvl w:val="0"/>
          <w:numId w:val="0"/>
        </w:numPr>
        <w:ind w:left="1474"/>
        <w:rPr>
          <w:b/>
          <w:bCs/>
        </w:rPr>
      </w:pPr>
    </w:p>
    <w:p w14:paraId="47A95224" w14:textId="77777777" w:rsidR="0024371D" w:rsidRPr="003F76A0" w:rsidRDefault="0024371D" w:rsidP="003F76A0">
      <w:pPr>
        <w:pStyle w:val="SchedH3"/>
        <w:numPr>
          <w:ilvl w:val="3"/>
          <w:numId w:val="42"/>
        </w:numPr>
        <w:rPr>
          <w:b/>
        </w:rPr>
      </w:pPr>
      <w:r w:rsidRPr="00507B20">
        <w:rPr>
          <w:b/>
        </w:rPr>
        <w:t>Investment and innovation commitments</w:t>
      </w:r>
    </w:p>
    <w:p w14:paraId="216782DD" w14:textId="5B646F32" w:rsidR="003F76A0" w:rsidRPr="003F76A0" w:rsidRDefault="003F76A0" w:rsidP="003F76A0">
      <w:pPr>
        <w:pStyle w:val="Indent2"/>
      </w:pPr>
      <w:r w:rsidRPr="003F76A0">
        <w:rPr>
          <w:rFonts w:eastAsiaTheme="minorEastAsia" w:cstheme="minorBidi"/>
        </w:rPr>
        <w:t xml:space="preserve">In accordance with clause </w:t>
      </w:r>
      <w:r w:rsidR="00883C27" w:rsidRPr="002157AE">
        <w:rPr>
          <w:rFonts w:eastAsia="SimSun"/>
          <w:b/>
          <w:i/>
        </w:rPr>
        <w:fldChar w:fldCharType="begin"/>
      </w:r>
      <w:r w:rsidR="00883C27" w:rsidRPr="002157AE">
        <w:rPr>
          <w:rFonts w:eastAsia="SimSun"/>
          <w:b/>
          <w:i/>
        </w:rPr>
        <w:instrText xml:space="preserve"> REF _Ref206706719 \r \h </w:instrText>
      </w:r>
      <w:r w:rsidR="00883C27">
        <w:rPr>
          <w:rFonts w:eastAsia="SimSun"/>
          <w:b/>
          <w:i/>
        </w:rPr>
        <w:instrText xml:space="preserve"> \* MERGEFORMAT </w:instrText>
      </w:r>
      <w:r w:rsidR="00883C27" w:rsidRPr="002157AE">
        <w:rPr>
          <w:rFonts w:eastAsia="SimSun"/>
          <w:b/>
          <w:i/>
        </w:rPr>
      </w:r>
      <w:r w:rsidR="00883C27" w:rsidRPr="002157AE">
        <w:rPr>
          <w:rFonts w:eastAsia="SimSun"/>
          <w:b/>
          <w:i/>
        </w:rPr>
        <w:fldChar w:fldCharType="separate"/>
      </w:r>
      <w:r w:rsidR="002E5C6A">
        <w:rPr>
          <w:rFonts w:eastAsia="SimSun"/>
          <w:b/>
          <w:i/>
        </w:rPr>
        <w:t>11.1</w:t>
      </w:r>
      <w:r w:rsidR="00883C27" w:rsidRPr="002157AE">
        <w:rPr>
          <w:rFonts w:eastAsia="SimSun"/>
          <w:b/>
          <w:i/>
        </w:rPr>
        <w:fldChar w:fldCharType="end"/>
      </w:r>
      <w:r w:rsidR="00883C27" w:rsidRPr="002157AE">
        <w:rPr>
          <w:rFonts w:eastAsia="SimSun"/>
          <w:b/>
          <w:i/>
        </w:rPr>
        <w:t xml:space="preserve"> (“</w:t>
      </w:r>
      <w:r w:rsidR="00883C27" w:rsidRPr="002157AE">
        <w:rPr>
          <w:rFonts w:eastAsia="SimSun"/>
          <w:b/>
          <w:i/>
        </w:rPr>
        <w:fldChar w:fldCharType="begin"/>
      </w:r>
      <w:r w:rsidR="00883C27" w:rsidRPr="002157AE">
        <w:rPr>
          <w:rFonts w:eastAsia="SimSun"/>
          <w:b/>
          <w:i/>
        </w:rPr>
        <w:instrText xml:space="preserve"> REF _Ref206706721 \h  \* MERGEFORMAT </w:instrText>
      </w:r>
      <w:r w:rsidR="00883C27" w:rsidRPr="002157AE">
        <w:rPr>
          <w:rFonts w:eastAsia="SimSun"/>
          <w:b/>
          <w:i/>
        </w:rPr>
      </w:r>
      <w:r w:rsidR="00883C27" w:rsidRPr="002157AE">
        <w:rPr>
          <w:rFonts w:eastAsia="SimSun"/>
          <w:b/>
          <w:i/>
        </w:rPr>
        <w:fldChar w:fldCharType="separate"/>
      </w:r>
      <w:r w:rsidR="002E5C6A" w:rsidRPr="006C780B">
        <w:rPr>
          <w:b/>
          <w:i/>
        </w:rPr>
        <w:t>Performance</w:t>
      </w:r>
      <w:r w:rsidR="00883C27" w:rsidRPr="002157AE">
        <w:rPr>
          <w:rFonts w:eastAsia="SimSun"/>
          <w:b/>
          <w:i/>
        </w:rPr>
        <w:fldChar w:fldCharType="end"/>
      </w:r>
      <w:r w:rsidR="00883C27" w:rsidRPr="002157AE">
        <w:rPr>
          <w:rFonts w:eastAsia="SimSun"/>
          <w:b/>
          <w:i/>
        </w:rPr>
        <w:t>”)</w:t>
      </w:r>
      <w:r w:rsidR="00883C27" w:rsidRPr="00883C27">
        <w:rPr>
          <w:rFonts w:eastAsiaTheme="minorEastAsia" w:cstheme="minorBidi"/>
        </w:rPr>
        <w:t xml:space="preserve">, </w:t>
      </w:r>
      <w:r w:rsidRPr="003F76A0">
        <w:t>Project Operator must invest in, or acquire goods and services from, Local supply chains or Local innovators in at least the following amounts, and in each case within the timeframes, specified in Table 4 below.</w:t>
      </w:r>
    </w:p>
    <w:p w14:paraId="1B140B04" w14:textId="77777777" w:rsidR="003F76A0" w:rsidRPr="003F76A0" w:rsidRDefault="003F76A0" w:rsidP="003F76A0">
      <w:pPr>
        <w:pStyle w:val="Indent2"/>
        <w:keepNext/>
        <w:rPr>
          <w:b/>
          <w:bCs/>
        </w:rPr>
      </w:pPr>
      <w:r w:rsidRPr="003F76A0">
        <w:rPr>
          <w:b/>
          <w:bCs/>
        </w:rPr>
        <w:t>Table 4 – Local supply chain investment and innovation</w:t>
      </w:r>
    </w:p>
    <w:tbl>
      <w:tblPr>
        <w:tblStyle w:val="TableGrid"/>
        <w:tblW w:w="13008" w:type="dxa"/>
        <w:tblInd w:w="704" w:type="dxa"/>
        <w:tblLook w:val="04A0" w:firstRow="1" w:lastRow="0" w:firstColumn="1" w:lastColumn="0" w:noHBand="0" w:noVBand="1"/>
      </w:tblPr>
      <w:tblGrid>
        <w:gridCol w:w="4292"/>
        <w:gridCol w:w="1906"/>
        <w:gridCol w:w="1567"/>
        <w:gridCol w:w="1707"/>
        <w:gridCol w:w="3536"/>
      </w:tblGrid>
      <w:tr w:rsidR="003F76A0" w:rsidRPr="003F76A0" w14:paraId="6822FAFD" w14:textId="77777777" w:rsidTr="003F76A0">
        <w:trPr>
          <w:tblHeader/>
        </w:trPr>
        <w:tc>
          <w:tcPr>
            <w:tcW w:w="429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F74ACD" w14:textId="77777777" w:rsidR="003F76A0" w:rsidRPr="003F76A0" w:rsidRDefault="003F76A0">
            <w:pPr>
              <w:pStyle w:val="BodyText"/>
              <w:spacing w:before="120" w:after="120"/>
              <w:jc w:val="center"/>
              <w:rPr>
                <w:b/>
                <w:bCs/>
                <w:sz w:val="16"/>
                <w:szCs w:val="16"/>
              </w:rPr>
            </w:pPr>
            <w:r w:rsidRPr="003F76A0">
              <w:rPr>
                <w:b/>
                <w:bCs/>
                <w:sz w:val="16"/>
                <w:szCs w:val="16"/>
              </w:rPr>
              <w:t>Specific commitment</w:t>
            </w:r>
          </w:p>
        </w:tc>
        <w:tc>
          <w:tcPr>
            <w:tcW w:w="190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FD9D13" w14:textId="77777777" w:rsidR="003F76A0" w:rsidRPr="003F76A0" w:rsidRDefault="003F76A0">
            <w:pPr>
              <w:pStyle w:val="BodyText"/>
              <w:spacing w:before="120" w:after="120"/>
              <w:rPr>
                <w:b/>
                <w:bCs/>
                <w:sz w:val="16"/>
                <w:szCs w:val="16"/>
              </w:rPr>
            </w:pPr>
            <w:r w:rsidRPr="003F76A0">
              <w:rPr>
                <w:b/>
                <w:bCs/>
                <w:sz w:val="16"/>
                <w:szCs w:val="16"/>
              </w:rPr>
              <w:t xml:space="preserve">Start Date </w:t>
            </w:r>
          </w:p>
          <w:p w14:paraId="3B7FAC75" w14:textId="77777777" w:rsidR="003F76A0" w:rsidRPr="003F76A0" w:rsidRDefault="003F76A0">
            <w:pPr>
              <w:pStyle w:val="BodyText"/>
              <w:spacing w:before="120" w:after="120"/>
              <w:jc w:val="center"/>
              <w:rPr>
                <w:b/>
                <w:bCs/>
                <w:sz w:val="16"/>
                <w:szCs w:val="16"/>
              </w:rPr>
            </w:pPr>
            <w:r w:rsidRPr="003F76A0">
              <w:rPr>
                <w:b/>
                <w:bCs/>
                <w:sz w:val="16"/>
                <w:szCs w:val="16"/>
              </w:rPr>
              <w:t>(only binding if Commitment timeframe is Annual or One time payment)</w:t>
            </w:r>
          </w:p>
        </w:tc>
        <w:tc>
          <w:tcPr>
            <w:tcW w:w="1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C07D414" w14:textId="77777777" w:rsidR="003F76A0" w:rsidRPr="003F76A0" w:rsidRDefault="003F76A0">
            <w:pPr>
              <w:pStyle w:val="BodyText"/>
              <w:spacing w:before="120" w:after="120"/>
              <w:rPr>
                <w:b/>
                <w:bCs/>
                <w:sz w:val="16"/>
                <w:szCs w:val="16"/>
              </w:rPr>
            </w:pPr>
            <w:r w:rsidRPr="003F76A0">
              <w:rPr>
                <w:b/>
                <w:bCs/>
                <w:sz w:val="16"/>
                <w:szCs w:val="16"/>
              </w:rPr>
              <w:t>End Date / Deliverable Date</w:t>
            </w:r>
          </w:p>
          <w:p w14:paraId="435FD95C" w14:textId="77777777" w:rsidR="003F76A0" w:rsidRPr="003F76A0" w:rsidRDefault="003F76A0">
            <w:pPr>
              <w:pStyle w:val="BodyText"/>
              <w:spacing w:before="120" w:after="120"/>
              <w:jc w:val="center"/>
              <w:rPr>
                <w:b/>
                <w:bCs/>
                <w:sz w:val="16"/>
                <w:szCs w:val="16"/>
              </w:rPr>
            </w:pPr>
            <w:r w:rsidRPr="003F76A0">
              <w:rPr>
                <w:b/>
                <w:bCs/>
                <w:sz w:val="16"/>
                <w:szCs w:val="16"/>
              </w:rPr>
              <w:t>(only binding if Commitment timeframe is Annual or One time payment)</w:t>
            </w:r>
          </w:p>
        </w:tc>
        <w:tc>
          <w:tcPr>
            <w:tcW w:w="170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226CF2" w14:textId="02B3AB6D" w:rsidR="003F76A0" w:rsidRPr="003F76A0" w:rsidRDefault="003F76A0">
            <w:pPr>
              <w:pStyle w:val="BodyText"/>
              <w:spacing w:before="120" w:after="120"/>
              <w:jc w:val="center"/>
              <w:rPr>
                <w:b/>
                <w:bCs/>
                <w:sz w:val="16"/>
                <w:szCs w:val="16"/>
              </w:rPr>
            </w:pPr>
            <w:r w:rsidRPr="003F76A0">
              <w:rPr>
                <w:b/>
                <w:bCs/>
                <w:sz w:val="16"/>
                <w:szCs w:val="16"/>
              </w:rPr>
              <w:t>Commitment timeframe</w:t>
            </w:r>
            <w:r w:rsidR="00BC2BE9">
              <w:rPr>
                <w:b/>
                <w:bCs/>
                <w:sz w:val="16"/>
                <w:szCs w:val="16"/>
              </w:rPr>
              <w:t xml:space="preserve"> </w:t>
            </w:r>
          </w:p>
        </w:tc>
        <w:tc>
          <w:tcPr>
            <w:tcW w:w="353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BA6789" w14:textId="77777777" w:rsidR="003F76A0" w:rsidRPr="003F76A0" w:rsidRDefault="003F76A0">
            <w:pPr>
              <w:pStyle w:val="BodyText"/>
              <w:spacing w:before="120" w:after="120"/>
              <w:jc w:val="center"/>
              <w:rPr>
                <w:b/>
                <w:bCs/>
                <w:sz w:val="16"/>
                <w:szCs w:val="16"/>
              </w:rPr>
            </w:pPr>
            <w:r w:rsidRPr="003F76A0">
              <w:rPr>
                <w:b/>
                <w:bCs/>
                <w:sz w:val="16"/>
                <w:szCs w:val="16"/>
              </w:rPr>
              <w:t>Cost in real dollars AU$ as at the Signing Date</w:t>
            </w:r>
            <w:r w:rsidRPr="003F76A0">
              <w:rPr>
                <w:sz w:val="16"/>
                <w:szCs w:val="16"/>
              </w:rPr>
              <w:t xml:space="preserve"> [</w:t>
            </w:r>
            <w:r w:rsidRPr="008F660B">
              <w:rPr>
                <w:b/>
                <w:bCs/>
                <w:i/>
                <w:iCs/>
                <w:sz w:val="16"/>
                <w:szCs w:val="16"/>
              </w:rPr>
              <w:t>Note: the value provided here is intended to cover the total costs in real dollars AU$ over the term of the CISA.</w:t>
            </w:r>
            <w:r w:rsidRPr="003F76A0">
              <w:rPr>
                <w:sz w:val="16"/>
                <w:szCs w:val="16"/>
              </w:rPr>
              <w:t>]</w:t>
            </w:r>
          </w:p>
        </w:tc>
      </w:tr>
      <w:tr w:rsidR="003F76A0" w:rsidRPr="003F76A0" w14:paraId="667CE8E6" w14:textId="77777777" w:rsidTr="003F76A0">
        <w:tc>
          <w:tcPr>
            <w:tcW w:w="4292" w:type="dxa"/>
            <w:tcBorders>
              <w:top w:val="single" w:sz="4" w:space="0" w:color="auto"/>
              <w:left w:val="single" w:sz="4" w:space="0" w:color="auto"/>
              <w:bottom w:val="single" w:sz="4" w:space="0" w:color="auto"/>
              <w:right w:val="single" w:sz="4" w:space="0" w:color="auto"/>
            </w:tcBorders>
          </w:tcPr>
          <w:p w14:paraId="21039E71" w14:textId="77777777" w:rsidR="003F76A0" w:rsidRPr="003F76A0" w:rsidRDefault="003F76A0">
            <w:pPr>
              <w:pStyle w:val="BodyText"/>
              <w:spacing w:before="120" w:after="120"/>
              <w:jc w:val="center"/>
              <w:rPr>
                <w:sz w:val="16"/>
                <w:szCs w:val="16"/>
              </w:rPr>
            </w:pPr>
          </w:p>
        </w:tc>
        <w:tc>
          <w:tcPr>
            <w:tcW w:w="1906" w:type="dxa"/>
            <w:tcBorders>
              <w:top w:val="single" w:sz="4" w:space="0" w:color="auto"/>
              <w:left w:val="single" w:sz="4" w:space="0" w:color="auto"/>
              <w:bottom w:val="single" w:sz="4" w:space="0" w:color="auto"/>
              <w:right w:val="single" w:sz="4" w:space="0" w:color="auto"/>
            </w:tcBorders>
          </w:tcPr>
          <w:p w14:paraId="22E2296C" w14:textId="77777777" w:rsidR="003F76A0" w:rsidRPr="003F76A0" w:rsidRDefault="003F76A0">
            <w:pPr>
              <w:pStyle w:val="BodyText"/>
              <w:spacing w:before="120" w:after="120"/>
              <w:jc w:val="center"/>
              <w:rPr>
                <w:i/>
                <w:iCs/>
                <w:sz w:val="16"/>
                <w:szCs w:val="16"/>
              </w:rPr>
            </w:pPr>
          </w:p>
        </w:tc>
        <w:tc>
          <w:tcPr>
            <w:tcW w:w="1567" w:type="dxa"/>
            <w:tcBorders>
              <w:top w:val="single" w:sz="4" w:space="0" w:color="auto"/>
              <w:left w:val="single" w:sz="4" w:space="0" w:color="auto"/>
              <w:bottom w:val="single" w:sz="4" w:space="0" w:color="auto"/>
              <w:right w:val="single" w:sz="4" w:space="0" w:color="auto"/>
            </w:tcBorders>
          </w:tcPr>
          <w:p w14:paraId="595BDBF1" w14:textId="77777777" w:rsidR="003F76A0" w:rsidRPr="003F76A0" w:rsidRDefault="003F76A0">
            <w:pPr>
              <w:pStyle w:val="BodyText"/>
              <w:spacing w:before="120" w:after="120"/>
              <w:jc w:val="center"/>
              <w:rPr>
                <w:i/>
                <w:iCs/>
                <w:sz w:val="16"/>
                <w:szCs w:val="16"/>
              </w:rPr>
            </w:pPr>
          </w:p>
        </w:tc>
        <w:tc>
          <w:tcPr>
            <w:tcW w:w="1707" w:type="dxa"/>
            <w:tcBorders>
              <w:top w:val="single" w:sz="4" w:space="0" w:color="auto"/>
              <w:left w:val="single" w:sz="4" w:space="0" w:color="auto"/>
              <w:bottom w:val="single" w:sz="4" w:space="0" w:color="auto"/>
              <w:right w:val="single" w:sz="4" w:space="0" w:color="auto"/>
            </w:tcBorders>
          </w:tcPr>
          <w:p w14:paraId="34117FDF" w14:textId="77777777" w:rsidR="003F76A0" w:rsidRPr="003F76A0" w:rsidRDefault="003F76A0">
            <w:pPr>
              <w:pStyle w:val="BodyText"/>
              <w:spacing w:before="120" w:after="120"/>
              <w:jc w:val="center"/>
              <w:rPr>
                <w:i/>
                <w:iCs/>
                <w:sz w:val="16"/>
                <w:szCs w:val="16"/>
              </w:rPr>
            </w:pPr>
          </w:p>
        </w:tc>
        <w:tc>
          <w:tcPr>
            <w:tcW w:w="3536" w:type="dxa"/>
            <w:tcBorders>
              <w:top w:val="single" w:sz="4" w:space="0" w:color="auto"/>
              <w:left w:val="single" w:sz="4" w:space="0" w:color="auto"/>
              <w:bottom w:val="single" w:sz="4" w:space="0" w:color="auto"/>
              <w:right w:val="single" w:sz="4" w:space="0" w:color="auto"/>
            </w:tcBorders>
            <w:hideMark/>
          </w:tcPr>
          <w:p w14:paraId="1E636741" w14:textId="77777777" w:rsidR="003F76A0" w:rsidRPr="003F76A0" w:rsidRDefault="003F76A0">
            <w:pPr>
              <w:pStyle w:val="BodyText"/>
              <w:spacing w:before="120" w:after="120"/>
              <w:rPr>
                <w:sz w:val="16"/>
                <w:szCs w:val="16"/>
              </w:rPr>
            </w:pPr>
            <w:r w:rsidRPr="003F76A0">
              <w:rPr>
                <w:sz w:val="16"/>
                <w:szCs w:val="16"/>
              </w:rPr>
              <w:t>$</w:t>
            </w:r>
          </w:p>
        </w:tc>
      </w:tr>
      <w:tr w:rsidR="003F76A0" w:rsidRPr="003F76A0" w14:paraId="03A690E8" w14:textId="77777777" w:rsidTr="003F76A0">
        <w:tc>
          <w:tcPr>
            <w:tcW w:w="4292" w:type="dxa"/>
            <w:tcBorders>
              <w:top w:val="single" w:sz="4" w:space="0" w:color="auto"/>
              <w:left w:val="single" w:sz="4" w:space="0" w:color="auto"/>
              <w:bottom w:val="single" w:sz="4" w:space="0" w:color="auto"/>
              <w:right w:val="single" w:sz="4" w:space="0" w:color="auto"/>
            </w:tcBorders>
          </w:tcPr>
          <w:p w14:paraId="60FFB9E9" w14:textId="77777777" w:rsidR="003F76A0" w:rsidRPr="003F76A0" w:rsidRDefault="003F76A0">
            <w:pPr>
              <w:pStyle w:val="BodyText"/>
              <w:spacing w:before="120" w:after="120"/>
              <w:jc w:val="center"/>
              <w:rPr>
                <w:sz w:val="16"/>
                <w:szCs w:val="16"/>
              </w:rPr>
            </w:pPr>
          </w:p>
        </w:tc>
        <w:tc>
          <w:tcPr>
            <w:tcW w:w="1906" w:type="dxa"/>
            <w:tcBorders>
              <w:top w:val="single" w:sz="4" w:space="0" w:color="auto"/>
              <w:left w:val="single" w:sz="4" w:space="0" w:color="auto"/>
              <w:bottom w:val="single" w:sz="4" w:space="0" w:color="auto"/>
              <w:right w:val="single" w:sz="4" w:space="0" w:color="auto"/>
            </w:tcBorders>
          </w:tcPr>
          <w:p w14:paraId="4D8C113C" w14:textId="77777777" w:rsidR="003F76A0" w:rsidRPr="003F76A0" w:rsidRDefault="003F76A0">
            <w:pPr>
              <w:pStyle w:val="BodyText"/>
              <w:spacing w:before="120" w:after="120"/>
              <w:jc w:val="center"/>
              <w:rPr>
                <w:sz w:val="16"/>
                <w:szCs w:val="16"/>
              </w:rPr>
            </w:pPr>
          </w:p>
        </w:tc>
        <w:tc>
          <w:tcPr>
            <w:tcW w:w="1567" w:type="dxa"/>
            <w:tcBorders>
              <w:top w:val="single" w:sz="4" w:space="0" w:color="auto"/>
              <w:left w:val="single" w:sz="4" w:space="0" w:color="auto"/>
              <w:bottom w:val="single" w:sz="4" w:space="0" w:color="auto"/>
              <w:right w:val="single" w:sz="4" w:space="0" w:color="auto"/>
            </w:tcBorders>
          </w:tcPr>
          <w:p w14:paraId="117E12BA" w14:textId="77777777" w:rsidR="003F76A0" w:rsidRPr="003F76A0" w:rsidRDefault="003F76A0">
            <w:pPr>
              <w:pStyle w:val="BodyText"/>
              <w:spacing w:before="120" w:after="120"/>
              <w:jc w:val="center"/>
              <w:rPr>
                <w:sz w:val="16"/>
                <w:szCs w:val="16"/>
              </w:rPr>
            </w:pPr>
          </w:p>
        </w:tc>
        <w:tc>
          <w:tcPr>
            <w:tcW w:w="1707" w:type="dxa"/>
            <w:tcBorders>
              <w:top w:val="single" w:sz="4" w:space="0" w:color="auto"/>
              <w:left w:val="single" w:sz="4" w:space="0" w:color="auto"/>
              <w:bottom w:val="single" w:sz="4" w:space="0" w:color="auto"/>
              <w:right w:val="single" w:sz="4" w:space="0" w:color="auto"/>
            </w:tcBorders>
          </w:tcPr>
          <w:p w14:paraId="2CA11A93" w14:textId="77777777" w:rsidR="003F76A0" w:rsidRPr="003F76A0" w:rsidRDefault="003F76A0">
            <w:pPr>
              <w:pStyle w:val="BodyText"/>
              <w:spacing w:before="120" w:after="120"/>
              <w:jc w:val="center"/>
              <w:rPr>
                <w:sz w:val="16"/>
                <w:szCs w:val="16"/>
              </w:rPr>
            </w:pPr>
          </w:p>
        </w:tc>
        <w:tc>
          <w:tcPr>
            <w:tcW w:w="3536" w:type="dxa"/>
            <w:tcBorders>
              <w:top w:val="single" w:sz="4" w:space="0" w:color="auto"/>
              <w:left w:val="single" w:sz="4" w:space="0" w:color="auto"/>
              <w:bottom w:val="single" w:sz="4" w:space="0" w:color="auto"/>
              <w:right w:val="single" w:sz="4" w:space="0" w:color="auto"/>
            </w:tcBorders>
            <w:hideMark/>
          </w:tcPr>
          <w:p w14:paraId="3B854B4D" w14:textId="77777777" w:rsidR="003F76A0" w:rsidRPr="003F76A0" w:rsidRDefault="003F76A0">
            <w:pPr>
              <w:pStyle w:val="BodyText"/>
              <w:spacing w:before="120" w:after="120"/>
              <w:rPr>
                <w:sz w:val="16"/>
                <w:szCs w:val="16"/>
              </w:rPr>
            </w:pPr>
            <w:r w:rsidRPr="003F76A0">
              <w:rPr>
                <w:sz w:val="16"/>
                <w:szCs w:val="16"/>
              </w:rPr>
              <w:t>$</w:t>
            </w:r>
          </w:p>
        </w:tc>
      </w:tr>
      <w:tr w:rsidR="003F76A0" w:rsidRPr="003F76A0" w14:paraId="591289A4" w14:textId="77777777" w:rsidTr="003F76A0">
        <w:tc>
          <w:tcPr>
            <w:tcW w:w="4292" w:type="dxa"/>
            <w:tcBorders>
              <w:top w:val="single" w:sz="4" w:space="0" w:color="auto"/>
              <w:left w:val="single" w:sz="4" w:space="0" w:color="auto"/>
              <w:bottom w:val="single" w:sz="4" w:space="0" w:color="auto"/>
              <w:right w:val="single" w:sz="4" w:space="0" w:color="auto"/>
            </w:tcBorders>
          </w:tcPr>
          <w:p w14:paraId="2811D625" w14:textId="77777777" w:rsidR="003F76A0" w:rsidRPr="003F76A0" w:rsidRDefault="003F76A0">
            <w:pPr>
              <w:pStyle w:val="BodyText"/>
              <w:spacing w:before="120" w:after="120"/>
              <w:jc w:val="center"/>
              <w:rPr>
                <w:sz w:val="16"/>
                <w:szCs w:val="16"/>
              </w:rPr>
            </w:pPr>
          </w:p>
        </w:tc>
        <w:tc>
          <w:tcPr>
            <w:tcW w:w="1906" w:type="dxa"/>
            <w:tcBorders>
              <w:top w:val="single" w:sz="4" w:space="0" w:color="auto"/>
              <w:left w:val="single" w:sz="4" w:space="0" w:color="auto"/>
              <w:bottom w:val="single" w:sz="4" w:space="0" w:color="auto"/>
              <w:right w:val="single" w:sz="4" w:space="0" w:color="auto"/>
            </w:tcBorders>
          </w:tcPr>
          <w:p w14:paraId="4F511651" w14:textId="77777777" w:rsidR="003F76A0" w:rsidRPr="003F76A0" w:rsidRDefault="003F76A0">
            <w:pPr>
              <w:pStyle w:val="BodyText"/>
              <w:spacing w:before="120" w:after="120"/>
              <w:jc w:val="center"/>
              <w:rPr>
                <w:sz w:val="16"/>
                <w:szCs w:val="16"/>
              </w:rPr>
            </w:pPr>
          </w:p>
        </w:tc>
        <w:tc>
          <w:tcPr>
            <w:tcW w:w="1567" w:type="dxa"/>
            <w:tcBorders>
              <w:top w:val="single" w:sz="4" w:space="0" w:color="auto"/>
              <w:left w:val="single" w:sz="4" w:space="0" w:color="auto"/>
              <w:bottom w:val="single" w:sz="4" w:space="0" w:color="auto"/>
              <w:right w:val="single" w:sz="4" w:space="0" w:color="auto"/>
            </w:tcBorders>
          </w:tcPr>
          <w:p w14:paraId="74D20933" w14:textId="77777777" w:rsidR="003F76A0" w:rsidRPr="003F76A0" w:rsidRDefault="003F76A0">
            <w:pPr>
              <w:pStyle w:val="BodyText"/>
              <w:spacing w:before="120" w:after="120"/>
              <w:jc w:val="center"/>
              <w:rPr>
                <w:sz w:val="16"/>
                <w:szCs w:val="16"/>
              </w:rPr>
            </w:pPr>
          </w:p>
        </w:tc>
        <w:tc>
          <w:tcPr>
            <w:tcW w:w="1707" w:type="dxa"/>
            <w:tcBorders>
              <w:top w:val="single" w:sz="4" w:space="0" w:color="auto"/>
              <w:left w:val="single" w:sz="4" w:space="0" w:color="auto"/>
              <w:bottom w:val="single" w:sz="4" w:space="0" w:color="auto"/>
              <w:right w:val="single" w:sz="4" w:space="0" w:color="auto"/>
            </w:tcBorders>
          </w:tcPr>
          <w:p w14:paraId="38B7D952" w14:textId="77777777" w:rsidR="003F76A0" w:rsidRPr="003F76A0" w:rsidRDefault="003F76A0">
            <w:pPr>
              <w:pStyle w:val="BodyText"/>
              <w:spacing w:before="120" w:after="120"/>
              <w:jc w:val="center"/>
              <w:rPr>
                <w:sz w:val="16"/>
                <w:szCs w:val="16"/>
              </w:rPr>
            </w:pPr>
          </w:p>
        </w:tc>
        <w:tc>
          <w:tcPr>
            <w:tcW w:w="3536" w:type="dxa"/>
            <w:tcBorders>
              <w:top w:val="single" w:sz="4" w:space="0" w:color="auto"/>
              <w:left w:val="single" w:sz="4" w:space="0" w:color="auto"/>
              <w:bottom w:val="single" w:sz="4" w:space="0" w:color="auto"/>
              <w:right w:val="single" w:sz="4" w:space="0" w:color="auto"/>
            </w:tcBorders>
            <w:hideMark/>
          </w:tcPr>
          <w:p w14:paraId="0018F8EF" w14:textId="77777777" w:rsidR="003F76A0" w:rsidRPr="003F76A0" w:rsidRDefault="003F76A0">
            <w:pPr>
              <w:pStyle w:val="BodyText"/>
              <w:spacing w:before="120" w:after="120"/>
              <w:rPr>
                <w:sz w:val="16"/>
                <w:szCs w:val="16"/>
              </w:rPr>
            </w:pPr>
            <w:r w:rsidRPr="003F76A0">
              <w:rPr>
                <w:sz w:val="16"/>
                <w:szCs w:val="16"/>
              </w:rPr>
              <w:t>$</w:t>
            </w:r>
          </w:p>
        </w:tc>
      </w:tr>
      <w:tr w:rsidR="003F76A0" w:rsidRPr="003F76A0" w14:paraId="0CCE1277" w14:textId="77777777" w:rsidTr="003F76A0">
        <w:tc>
          <w:tcPr>
            <w:tcW w:w="4292" w:type="dxa"/>
            <w:tcBorders>
              <w:top w:val="single" w:sz="4" w:space="0" w:color="auto"/>
              <w:left w:val="single" w:sz="4" w:space="0" w:color="auto"/>
              <w:bottom w:val="single" w:sz="4" w:space="0" w:color="auto"/>
              <w:right w:val="single" w:sz="4" w:space="0" w:color="auto"/>
            </w:tcBorders>
          </w:tcPr>
          <w:p w14:paraId="373747D9" w14:textId="77777777" w:rsidR="003F76A0" w:rsidRPr="003F76A0" w:rsidRDefault="003F76A0">
            <w:pPr>
              <w:pStyle w:val="BodyText"/>
              <w:spacing w:before="120" w:after="120"/>
              <w:jc w:val="center"/>
              <w:rPr>
                <w:sz w:val="16"/>
                <w:szCs w:val="16"/>
              </w:rPr>
            </w:pPr>
          </w:p>
        </w:tc>
        <w:tc>
          <w:tcPr>
            <w:tcW w:w="1906" w:type="dxa"/>
            <w:tcBorders>
              <w:top w:val="single" w:sz="4" w:space="0" w:color="auto"/>
              <w:left w:val="single" w:sz="4" w:space="0" w:color="auto"/>
              <w:bottom w:val="single" w:sz="4" w:space="0" w:color="auto"/>
              <w:right w:val="single" w:sz="4" w:space="0" w:color="auto"/>
            </w:tcBorders>
          </w:tcPr>
          <w:p w14:paraId="5ECC2D31" w14:textId="77777777" w:rsidR="003F76A0" w:rsidRPr="003F76A0" w:rsidRDefault="003F76A0">
            <w:pPr>
              <w:pStyle w:val="BodyText"/>
              <w:spacing w:before="120" w:after="120"/>
              <w:jc w:val="center"/>
              <w:rPr>
                <w:sz w:val="16"/>
                <w:szCs w:val="16"/>
              </w:rPr>
            </w:pPr>
          </w:p>
        </w:tc>
        <w:tc>
          <w:tcPr>
            <w:tcW w:w="1567" w:type="dxa"/>
            <w:tcBorders>
              <w:top w:val="single" w:sz="4" w:space="0" w:color="auto"/>
              <w:left w:val="single" w:sz="4" w:space="0" w:color="auto"/>
              <w:bottom w:val="single" w:sz="4" w:space="0" w:color="auto"/>
              <w:right w:val="single" w:sz="4" w:space="0" w:color="auto"/>
            </w:tcBorders>
          </w:tcPr>
          <w:p w14:paraId="59EE9714" w14:textId="77777777" w:rsidR="003F76A0" w:rsidRPr="003F76A0" w:rsidRDefault="003F76A0">
            <w:pPr>
              <w:pStyle w:val="BodyText"/>
              <w:spacing w:before="120" w:after="120"/>
              <w:jc w:val="center"/>
              <w:rPr>
                <w:sz w:val="16"/>
                <w:szCs w:val="16"/>
              </w:rPr>
            </w:pPr>
          </w:p>
        </w:tc>
        <w:tc>
          <w:tcPr>
            <w:tcW w:w="1707" w:type="dxa"/>
            <w:tcBorders>
              <w:top w:val="single" w:sz="4" w:space="0" w:color="auto"/>
              <w:left w:val="single" w:sz="4" w:space="0" w:color="auto"/>
              <w:bottom w:val="single" w:sz="4" w:space="0" w:color="auto"/>
              <w:right w:val="single" w:sz="4" w:space="0" w:color="auto"/>
            </w:tcBorders>
          </w:tcPr>
          <w:p w14:paraId="3126B1C8" w14:textId="77777777" w:rsidR="003F76A0" w:rsidRPr="003F76A0" w:rsidRDefault="003F76A0">
            <w:pPr>
              <w:pStyle w:val="BodyText"/>
              <w:spacing w:before="120" w:after="120"/>
              <w:jc w:val="center"/>
              <w:rPr>
                <w:sz w:val="16"/>
                <w:szCs w:val="16"/>
              </w:rPr>
            </w:pPr>
          </w:p>
        </w:tc>
        <w:tc>
          <w:tcPr>
            <w:tcW w:w="3536" w:type="dxa"/>
            <w:tcBorders>
              <w:top w:val="single" w:sz="4" w:space="0" w:color="auto"/>
              <w:left w:val="single" w:sz="4" w:space="0" w:color="auto"/>
              <w:bottom w:val="single" w:sz="4" w:space="0" w:color="auto"/>
              <w:right w:val="single" w:sz="4" w:space="0" w:color="auto"/>
            </w:tcBorders>
            <w:hideMark/>
          </w:tcPr>
          <w:p w14:paraId="347F257E" w14:textId="77777777" w:rsidR="003F76A0" w:rsidRPr="003F76A0" w:rsidRDefault="003F76A0">
            <w:pPr>
              <w:pStyle w:val="BodyText"/>
              <w:spacing w:before="120" w:after="120"/>
              <w:rPr>
                <w:sz w:val="16"/>
                <w:szCs w:val="16"/>
              </w:rPr>
            </w:pPr>
            <w:r w:rsidRPr="003F76A0">
              <w:rPr>
                <w:sz w:val="16"/>
                <w:szCs w:val="16"/>
              </w:rPr>
              <w:t>$</w:t>
            </w:r>
          </w:p>
        </w:tc>
      </w:tr>
      <w:tr w:rsidR="003F76A0" w:rsidRPr="003F76A0" w14:paraId="6E7BFDAB" w14:textId="77777777" w:rsidTr="003F76A0">
        <w:tc>
          <w:tcPr>
            <w:tcW w:w="4292" w:type="dxa"/>
            <w:tcBorders>
              <w:top w:val="single" w:sz="4" w:space="0" w:color="auto"/>
              <w:left w:val="single" w:sz="4" w:space="0" w:color="auto"/>
              <w:bottom w:val="single" w:sz="4" w:space="0" w:color="auto"/>
              <w:right w:val="single" w:sz="4" w:space="0" w:color="auto"/>
            </w:tcBorders>
          </w:tcPr>
          <w:p w14:paraId="58A721D7" w14:textId="77777777" w:rsidR="003F76A0" w:rsidRPr="003F76A0" w:rsidRDefault="003F76A0">
            <w:pPr>
              <w:pStyle w:val="BodyText"/>
              <w:spacing w:before="120" w:after="120"/>
              <w:jc w:val="center"/>
              <w:rPr>
                <w:sz w:val="16"/>
                <w:szCs w:val="16"/>
              </w:rPr>
            </w:pPr>
          </w:p>
        </w:tc>
        <w:tc>
          <w:tcPr>
            <w:tcW w:w="1906" w:type="dxa"/>
            <w:tcBorders>
              <w:top w:val="single" w:sz="4" w:space="0" w:color="auto"/>
              <w:left w:val="single" w:sz="4" w:space="0" w:color="auto"/>
              <w:bottom w:val="single" w:sz="4" w:space="0" w:color="auto"/>
              <w:right w:val="single" w:sz="4" w:space="0" w:color="auto"/>
            </w:tcBorders>
          </w:tcPr>
          <w:p w14:paraId="1ECA214E" w14:textId="77777777" w:rsidR="003F76A0" w:rsidRPr="003F76A0" w:rsidRDefault="003F76A0">
            <w:pPr>
              <w:pStyle w:val="BodyText"/>
              <w:spacing w:before="120" w:after="120"/>
              <w:jc w:val="center"/>
              <w:rPr>
                <w:sz w:val="16"/>
                <w:szCs w:val="16"/>
              </w:rPr>
            </w:pPr>
          </w:p>
        </w:tc>
        <w:tc>
          <w:tcPr>
            <w:tcW w:w="1567" w:type="dxa"/>
            <w:tcBorders>
              <w:top w:val="single" w:sz="4" w:space="0" w:color="auto"/>
              <w:left w:val="single" w:sz="4" w:space="0" w:color="auto"/>
              <w:bottom w:val="single" w:sz="4" w:space="0" w:color="auto"/>
              <w:right w:val="single" w:sz="4" w:space="0" w:color="auto"/>
            </w:tcBorders>
          </w:tcPr>
          <w:p w14:paraId="4B6C6BE7" w14:textId="77777777" w:rsidR="003F76A0" w:rsidRPr="003F76A0" w:rsidRDefault="003F76A0">
            <w:pPr>
              <w:pStyle w:val="BodyText"/>
              <w:spacing w:before="120" w:after="120"/>
              <w:jc w:val="center"/>
              <w:rPr>
                <w:sz w:val="16"/>
                <w:szCs w:val="16"/>
              </w:rPr>
            </w:pPr>
          </w:p>
        </w:tc>
        <w:tc>
          <w:tcPr>
            <w:tcW w:w="1707" w:type="dxa"/>
            <w:tcBorders>
              <w:top w:val="single" w:sz="4" w:space="0" w:color="auto"/>
              <w:left w:val="single" w:sz="4" w:space="0" w:color="auto"/>
              <w:bottom w:val="single" w:sz="4" w:space="0" w:color="auto"/>
              <w:right w:val="single" w:sz="4" w:space="0" w:color="auto"/>
            </w:tcBorders>
          </w:tcPr>
          <w:p w14:paraId="19744A19" w14:textId="77777777" w:rsidR="003F76A0" w:rsidRPr="003F76A0" w:rsidRDefault="003F76A0">
            <w:pPr>
              <w:pStyle w:val="BodyText"/>
              <w:spacing w:before="120" w:after="120"/>
              <w:jc w:val="center"/>
              <w:rPr>
                <w:sz w:val="16"/>
                <w:szCs w:val="16"/>
              </w:rPr>
            </w:pPr>
          </w:p>
        </w:tc>
        <w:tc>
          <w:tcPr>
            <w:tcW w:w="3536" w:type="dxa"/>
            <w:tcBorders>
              <w:top w:val="single" w:sz="4" w:space="0" w:color="auto"/>
              <w:left w:val="single" w:sz="4" w:space="0" w:color="auto"/>
              <w:bottom w:val="single" w:sz="4" w:space="0" w:color="auto"/>
              <w:right w:val="single" w:sz="4" w:space="0" w:color="auto"/>
            </w:tcBorders>
            <w:hideMark/>
          </w:tcPr>
          <w:p w14:paraId="1D4B5802" w14:textId="77777777" w:rsidR="003F76A0" w:rsidRPr="003F76A0" w:rsidRDefault="003F76A0">
            <w:pPr>
              <w:pStyle w:val="BodyText"/>
              <w:spacing w:before="120" w:after="120"/>
              <w:rPr>
                <w:sz w:val="16"/>
                <w:szCs w:val="16"/>
              </w:rPr>
            </w:pPr>
            <w:r w:rsidRPr="003F76A0">
              <w:rPr>
                <w:sz w:val="16"/>
                <w:szCs w:val="16"/>
              </w:rPr>
              <w:t>$</w:t>
            </w:r>
          </w:p>
        </w:tc>
      </w:tr>
      <w:tr w:rsidR="003F76A0" w:rsidRPr="003F76A0" w14:paraId="322827F8" w14:textId="77777777" w:rsidTr="003F76A0">
        <w:tc>
          <w:tcPr>
            <w:tcW w:w="4292" w:type="dxa"/>
            <w:tcBorders>
              <w:top w:val="single" w:sz="4" w:space="0" w:color="auto"/>
              <w:left w:val="single" w:sz="4" w:space="0" w:color="auto"/>
              <w:bottom w:val="single" w:sz="4" w:space="0" w:color="auto"/>
              <w:right w:val="single" w:sz="4" w:space="0" w:color="auto"/>
            </w:tcBorders>
          </w:tcPr>
          <w:p w14:paraId="25BF8B20" w14:textId="77777777" w:rsidR="003F76A0" w:rsidRPr="003F76A0" w:rsidRDefault="003F76A0">
            <w:pPr>
              <w:pStyle w:val="BodyText"/>
              <w:spacing w:before="120" w:after="120"/>
              <w:jc w:val="center"/>
              <w:rPr>
                <w:sz w:val="16"/>
                <w:szCs w:val="16"/>
              </w:rPr>
            </w:pPr>
          </w:p>
        </w:tc>
        <w:tc>
          <w:tcPr>
            <w:tcW w:w="1906" w:type="dxa"/>
            <w:tcBorders>
              <w:top w:val="single" w:sz="4" w:space="0" w:color="auto"/>
              <w:left w:val="single" w:sz="4" w:space="0" w:color="auto"/>
              <w:bottom w:val="single" w:sz="4" w:space="0" w:color="auto"/>
              <w:right w:val="single" w:sz="4" w:space="0" w:color="auto"/>
            </w:tcBorders>
          </w:tcPr>
          <w:p w14:paraId="404903CC" w14:textId="77777777" w:rsidR="003F76A0" w:rsidRPr="003F76A0" w:rsidRDefault="003F76A0">
            <w:pPr>
              <w:pStyle w:val="BodyText"/>
              <w:spacing w:before="120" w:after="120"/>
              <w:jc w:val="center"/>
              <w:rPr>
                <w:sz w:val="16"/>
                <w:szCs w:val="16"/>
              </w:rPr>
            </w:pPr>
          </w:p>
        </w:tc>
        <w:tc>
          <w:tcPr>
            <w:tcW w:w="1567" w:type="dxa"/>
            <w:tcBorders>
              <w:top w:val="single" w:sz="4" w:space="0" w:color="auto"/>
              <w:left w:val="single" w:sz="4" w:space="0" w:color="auto"/>
              <w:bottom w:val="single" w:sz="4" w:space="0" w:color="auto"/>
              <w:right w:val="single" w:sz="4" w:space="0" w:color="auto"/>
            </w:tcBorders>
          </w:tcPr>
          <w:p w14:paraId="4C23734A" w14:textId="77777777" w:rsidR="003F76A0" w:rsidRPr="003F76A0" w:rsidRDefault="003F76A0">
            <w:pPr>
              <w:pStyle w:val="BodyText"/>
              <w:spacing w:before="120" w:after="120"/>
              <w:jc w:val="center"/>
              <w:rPr>
                <w:sz w:val="16"/>
                <w:szCs w:val="16"/>
              </w:rPr>
            </w:pPr>
          </w:p>
        </w:tc>
        <w:tc>
          <w:tcPr>
            <w:tcW w:w="1707" w:type="dxa"/>
            <w:tcBorders>
              <w:top w:val="single" w:sz="4" w:space="0" w:color="auto"/>
              <w:left w:val="single" w:sz="4" w:space="0" w:color="auto"/>
              <w:bottom w:val="single" w:sz="4" w:space="0" w:color="auto"/>
              <w:right w:val="single" w:sz="4" w:space="0" w:color="auto"/>
            </w:tcBorders>
          </w:tcPr>
          <w:p w14:paraId="070AB0FB" w14:textId="77777777" w:rsidR="003F76A0" w:rsidRPr="003F76A0" w:rsidRDefault="003F76A0">
            <w:pPr>
              <w:pStyle w:val="BodyText"/>
              <w:spacing w:before="120" w:after="120"/>
              <w:jc w:val="center"/>
              <w:rPr>
                <w:sz w:val="16"/>
                <w:szCs w:val="16"/>
              </w:rPr>
            </w:pPr>
          </w:p>
        </w:tc>
        <w:tc>
          <w:tcPr>
            <w:tcW w:w="3536" w:type="dxa"/>
            <w:tcBorders>
              <w:top w:val="single" w:sz="4" w:space="0" w:color="auto"/>
              <w:left w:val="single" w:sz="4" w:space="0" w:color="auto"/>
              <w:bottom w:val="single" w:sz="4" w:space="0" w:color="auto"/>
              <w:right w:val="single" w:sz="4" w:space="0" w:color="auto"/>
            </w:tcBorders>
            <w:hideMark/>
          </w:tcPr>
          <w:p w14:paraId="40345185" w14:textId="77777777" w:rsidR="003F76A0" w:rsidRPr="003F76A0" w:rsidRDefault="003F76A0">
            <w:pPr>
              <w:pStyle w:val="BodyText"/>
              <w:spacing w:before="120" w:after="120"/>
              <w:rPr>
                <w:sz w:val="16"/>
                <w:szCs w:val="16"/>
              </w:rPr>
            </w:pPr>
            <w:r w:rsidRPr="003F76A0">
              <w:rPr>
                <w:sz w:val="16"/>
                <w:szCs w:val="16"/>
              </w:rPr>
              <w:t>$</w:t>
            </w:r>
          </w:p>
        </w:tc>
      </w:tr>
      <w:tr w:rsidR="003F76A0" w:rsidRPr="003F76A0" w14:paraId="1C749DF8" w14:textId="77777777" w:rsidTr="003F76A0">
        <w:tc>
          <w:tcPr>
            <w:tcW w:w="4292" w:type="dxa"/>
            <w:tcBorders>
              <w:top w:val="single" w:sz="4" w:space="0" w:color="auto"/>
              <w:left w:val="single" w:sz="4" w:space="0" w:color="auto"/>
              <w:bottom w:val="single" w:sz="4" w:space="0" w:color="auto"/>
              <w:right w:val="single" w:sz="4" w:space="0" w:color="auto"/>
            </w:tcBorders>
          </w:tcPr>
          <w:p w14:paraId="499227F7" w14:textId="77777777" w:rsidR="003F76A0" w:rsidRPr="003F76A0" w:rsidRDefault="003F76A0">
            <w:pPr>
              <w:pStyle w:val="BodyText"/>
              <w:spacing w:before="120" w:after="120"/>
              <w:jc w:val="center"/>
              <w:rPr>
                <w:sz w:val="16"/>
                <w:szCs w:val="16"/>
              </w:rPr>
            </w:pPr>
          </w:p>
        </w:tc>
        <w:tc>
          <w:tcPr>
            <w:tcW w:w="1906" w:type="dxa"/>
            <w:tcBorders>
              <w:top w:val="single" w:sz="4" w:space="0" w:color="auto"/>
              <w:left w:val="single" w:sz="4" w:space="0" w:color="auto"/>
              <w:bottom w:val="single" w:sz="4" w:space="0" w:color="auto"/>
              <w:right w:val="single" w:sz="4" w:space="0" w:color="auto"/>
            </w:tcBorders>
          </w:tcPr>
          <w:p w14:paraId="07140487" w14:textId="77777777" w:rsidR="003F76A0" w:rsidRPr="003F76A0" w:rsidRDefault="003F76A0">
            <w:pPr>
              <w:pStyle w:val="BodyText"/>
              <w:spacing w:before="120" w:after="120"/>
              <w:jc w:val="center"/>
              <w:rPr>
                <w:sz w:val="16"/>
                <w:szCs w:val="16"/>
              </w:rPr>
            </w:pPr>
          </w:p>
        </w:tc>
        <w:tc>
          <w:tcPr>
            <w:tcW w:w="1567" w:type="dxa"/>
            <w:tcBorders>
              <w:top w:val="single" w:sz="4" w:space="0" w:color="auto"/>
              <w:left w:val="single" w:sz="4" w:space="0" w:color="auto"/>
              <w:bottom w:val="single" w:sz="4" w:space="0" w:color="auto"/>
              <w:right w:val="single" w:sz="4" w:space="0" w:color="auto"/>
            </w:tcBorders>
          </w:tcPr>
          <w:p w14:paraId="25FE61B2" w14:textId="77777777" w:rsidR="003F76A0" w:rsidRPr="003F76A0" w:rsidRDefault="003F76A0">
            <w:pPr>
              <w:pStyle w:val="BodyText"/>
              <w:spacing w:before="120" w:after="120"/>
              <w:jc w:val="center"/>
              <w:rPr>
                <w:sz w:val="16"/>
                <w:szCs w:val="16"/>
              </w:rPr>
            </w:pPr>
          </w:p>
        </w:tc>
        <w:tc>
          <w:tcPr>
            <w:tcW w:w="1707" w:type="dxa"/>
            <w:tcBorders>
              <w:top w:val="single" w:sz="4" w:space="0" w:color="auto"/>
              <w:left w:val="single" w:sz="4" w:space="0" w:color="auto"/>
              <w:bottom w:val="single" w:sz="4" w:space="0" w:color="auto"/>
              <w:right w:val="single" w:sz="4" w:space="0" w:color="auto"/>
            </w:tcBorders>
          </w:tcPr>
          <w:p w14:paraId="2AF6BB6A" w14:textId="77777777" w:rsidR="003F76A0" w:rsidRPr="003F76A0" w:rsidRDefault="003F76A0">
            <w:pPr>
              <w:pStyle w:val="BodyText"/>
              <w:spacing w:before="120" w:after="120"/>
              <w:jc w:val="center"/>
              <w:rPr>
                <w:sz w:val="16"/>
                <w:szCs w:val="16"/>
              </w:rPr>
            </w:pPr>
          </w:p>
        </w:tc>
        <w:tc>
          <w:tcPr>
            <w:tcW w:w="3536" w:type="dxa"/>
            <w:tcBorders>
              <w:top w:val="single" w:sz="4" w:space="0" w:color="auto"/>
              <w:left w:val="single" w:sz="4" w:space="0" w:color="auto"/>
              <w:bottom w:val="single" w:sz="4" w:space="0" w:color="auto"/>
              <w:right w:val="single" w:sz="4" w:space="0" w:color="auto"/>
            </w:tcBorders>
            <w:hideMark/>
          </w:tcPr>
          <w:p w14:paraId="56808B80" w14:textId="77777777" w:rsidR="003F76A0" w:rsidRPr="003F76A0" w:rsidRDefault="003F76A0">
            <w:pPr>
              <w:pStyle w:val="BodyText"/>
              <w:spacing w:before="120" w:after="120"/>
              <w:rPr>
                <w:sz w:val="16"/>
                <w:szCs w:val="16"/>
              </w:rPr>
            </w:pPr>
            <w:r w:rsidRPr="003F76A0">
              <w:rPr>
                <w:sz w:val="16"/>
                <w:szCs w:val="16"/>
              </w:rPr>
              <w:t>$</w:t>
            </w:r>
          </w:p>
        </w:tc>
      </w:tr>
      <w:tr w:rsidR="003F76A0" w:rsidRPr="003F76A0" w14:paraId="5468520A" w14:textId="77777777" w:rsidTr="003F76A0">
        <w:tc>
          <w:tcPr>
            <w:tcW w:w="4292" w:type="dxa"/>
            <w:tcBorders>
              <w:top w:val="single" w:sz="4" w:space="0" w:color="auto"/>
              <w:left w:val="single" w:sz="4" w:space="0" w:color="auto"/>
              <w:bottom w:val="single" w:sz="4" w:space="0" w:color="auto"/>
              <w:right w:val="single" w:sz="4" w:space="0" w:color="auto"/>
            </w:tcBorders>
          </w:tcPr>
          <w:p w14:paraId="40DCFF39" w14:textId="77777777" w:rsidR="003F76A0" w:rsidRPr="003F76A0" w:rsidRDefault="003F76A0">
            <w:pPr>
              <w:pStyle w:val="BodyText"/>
              <w:spacing w:before="120" w:after="120"/>
              <w:jc w:val="center"/>
              <w:rPr>
                <w:sz w:val="16"/>
                <w:szCs w:val="16"/>
              </w:rPr>
            </w:pPr>
          </w:p>
        </w:tc>
        <w:tc>
          <w:tcPr>
            <w:tcW w:w="1906" w:type="dxa"/>
            <w:tcBorders>
              <w:top w:val="single" w:sz="4" w:space="0" w:color="auto"/>
              <w:left w:val="single" w:sz="4" w:space="0" w:color="auto"/>
              <w:bottom w:val="single" w:sz="4" w:space="0" w:color="auto"/>
              <w:right w:val="single" w:sz="4" w:space="0" w:color="auto"/>
            </w:tcBorders>
          </w:tcPr>
          <w:p w14:paraId="7937F629" w14:textId="77777777" w:rsidR="003F76A0" w:rsidRPr="003F76A0" w:rsidRDefault="003F76A0">
            <w:pPr>
              <w:pStyle w:val="BodyText"/>
              <w:spacing w:before="120" w:after="120"/>
              <w:jc w:val="center"/>
              <w:rPr>
                <w:sz w:val="16"/>
                <w:szCs w:val="16"/>
              </w:rPr>
            </w:pPr>
          </w:p>
        </w:tc>
        <w:tc>
          <w:tcPr>
            <w:tcW w:w="1567" w:type="dxa"/>
            <w:tcBorders>
              <w:top w:val="single" w:sz="4" w:space="0" w:color="auto"/>
              <w:left w:val="single" w:sz="4" w:space="0" w:color="auto"/>
              <w:bottom w:val="single" w:sz="4" w:space="0" w:color="auto"/>
              <w:right w:val="single" w:sz="4" w:space="0" w:color="auto"/>
            </w:tcBorders>
          </w:tcPr>
          <w:p w14:paraId="72EB7588" w14:textId="77777777" w:rsidR="003F76A0" w:rsidRPr="003F76A0" w:rsidRDefault="003F76A0">
            <w:pPr>
              <w:pStyle w:val="BodyText"/>
              <w:spacing w:before="120" w:after="120"/>
              <w:jc w:val="center"/>
              <w:rPr>
                <w:sz w:val="16"/>
                <w:szCs w:val="16"/>
              </w:rPr>
            </w:pPr>
          </w:p>
        </w:tc>
        <w:tc>
          <w:tcPr>
            <w:tcW w:w="1707" w:type="dxa"/>
            <w:tcBorders>
              <w:top w:val="single" w:sz="4" w:space="0" w:color="auto"/>
              <w:left w:val="single" w:sz="4" w:space="0" w:color="auto"/>
              <w:bottom w:val="single" w:sz="4" w:space="0" w:color="auto"/>
              <w:right w:val="single" w:sz="4" w:space="0" w:color="auto"/>
            </w:tcBorders>
          </w:tcPr>
          <w:p w14:paraId="4E08DF50" w14:textId="77777777" w:rsidR="003F76A0" w:rsidRPr="003F76A0" w:rsidRDefault="003F76A0">
            <w:pPr>
              <w:pStyle w:val="BodyText"/>
              <w:spacing w:before="120" w:after="120"/>
              <w:jc w:val="center"/>
              <w:rPr>
                <w:sz w:val="16"/>
                <w:szCs w:val="16"/>
              </w:rPr>
            </w:pPr>
          </w:p>
        </w:tc>
        <w:tc>
          <w:tcPr>
            <w:tcW w:w="3536" w:type="dxa"/>
            <w:tcBorders>
              <w:top w:val="single" w:sz="4" w:space="0" w:color="auto"/>
              <w:left w:val="single" w:sz="4" w:space="0" w:color="auto"/>
              <w:bottom w:val="single" w:sz="4" w:space="0" w:color="auto"/>
              <w:right w:val="single" w:sz="4" w:space="0" w:color="auto"/>
            </w:tcBorders>
            <w:hideMark/>
          </w:tcPr>
          <w:p w14:paraId="456BD21C" w14:textId="77777777" w:rsidR="003F76A0" w:rsidRPr="003F76A0" w:rsidRDefault="003F76A0">
            <w:pPr>
              <w:pStyle w:val="BodyText"/>
              <w:spacing w:before="120" w:after="120"/>
              <w:rPr>
                <w:sz w:val="16"/>
                <w:szCs w:val="16"/>
              </w:rPr>
            </w:pPr>
            <w:r w:rsidRPr="003F76A0">
              <w:rPr>
                <w:sz w:val="16"/>
                <w:szCs w:val="16"/>
              </w:rPr>
              <w:t>$</w:t>
            </w:r>
          </w:p>
        </w:tc>
      </w:tr>
      <w:tr w:rsidR="003F76A0" w:rsidRPr="003F76A0" w14:paraId="4829165A" w14:textId="77777777" w:rsidTr="003F76A0">
        <w:tc>
          <w:tcPr>
            <w:tcW w:w="4292" w:type="dxa"/>
            <w:tcBorders>
              <w:top w:val="single" w:sz="4" w:space="0" w:color="auto"/>
              <w:left w:val="single" w:sz="4" w:space="0" w:color="auto"/>
              <w:bottom w:val="single" w:sz="4" w:space="0" w:color="auto"/>
              <w:right w:val="single" w:sz="4" w:space="0" w:color="auto"/>
            </w:tcBorders>
          </w:tcPr>
          <w:p w14:paraId="4120299E" w14:textId="77777777" w:rsidR="003F76A0" w:rsidRPr="003F76A0" w:rsidRDefault="003F76A0">
            <w:pPr>
              <w:pStyle w:val="BodyText"/>
              <w:spacing w:before="120" w:after="120"/>
              <w:jc w:val="center"/>
              <w:rPr>
                <w:sz w:val="16"/>
                <w:szCs w:val="16"/>
              </w:rPr>
            </w:pPr>
          </w:p>
        </w:tc>
        <w:tc>
          <w:tcPr>
            <w:tcW w:w="1906" w:type="dxa"/>
            <w:tcBorders>
              <w:top w:val="single" w:sz="4" w:space="0" w:color="auto"/>
              <w:left w:val="single" w:sz="4" w:space="0" w:color="auto"/>
              <w:bottom w:val="single" w:sz="4" w:space="0" w:color="auto"/>
              <w:right w:val="single" w:sz="4" w:space="0" w:color="auto"/>
            </w:tcBorders>
          </w:tcPr>
          <w:p w14:paraId="09E96007" w14:textId="77777777" w:rsidR="003F76A0" w:rsidRPr="003F76A0" w:rsidRDefault="003F76A0">
            <w:pPr>
              <w:pStyle w:val="BodyText"/>
              <w:spacing w:before="120" w:after="120"/>
              <w:jc w:val="center"/>
              <w:rPr>
                <w:sz w:val="16"/>
                <w:szCs w:val="16"/>
              </w:rPr>
            </w:pPr>
          </w:p>
        </w:tc>
        <w:tc>
          <w:tcPr>
            <w:tcW w:w="1567" w:type="dxa"/>
            <w:tcBorders>
              <w:top w:val="single" w:sz="4" w:space="0" w:color="auto"/>
              <w:left w:val="single" w:sz="4" w:space="0" w:color="auto"/>
              <w:bottom w:val="single" w:sz="4" w:space="0" w:color="auto"/>
              <w:right w:val="single" w:sz="4" w:space="0" w:color="auto"/>
            </w:tcBorders>
          </w:tcPr>
          <w:p w14:paraId="5915A6E9" w14:textId="77777777" w:rsidR="003F76A0" w:rsidRPr="003F76A0" w:rsidRDefault="003F76A0">
            <w:pPr>
              <w:pStyle w:val="BodyText"/>
              <w:spacing w:before="120" w:after="120"/>
              <w:jc w:val="center"/>
              <w:rPr>
                <w:sz w:val="16"/>
                <w:szCs w:val="16"/>
              </w:rPr>
            </w:pPr>
          </w:p>
        </w:tc>
        <w:tc>
          <w:tcPr>
            <w:tcW w:w="1707" w:type="dxa"/>
            <w:tcBorders>
              <w:top w:val="single" w:sz="4" w:space="0" w:color="auto"/>
              <w:left w:val="single" w:sz="4" w:space="0" w:color="auto"/>
              <w:bottom w:val="single" w:sz="4" w:space="0" w:color="auto"/>
              <w:right w:val="single" w:sz="4" w:space="0" w:color="auto"/>
            </w:tcBorders>
          </w:tcPr>
          <w:p w14:paraId="2EB12597" w14:textId="77777777" w:rsidR="003F76A0" w:rsidRPr="003F76A0" w:rsidRDefault="003F76A0">
            <w:pPr>
              <w:pStyle w:val="BodyText"/>
              <w:spacing w:before="120" w:after="120"/>
              <w:jc w:val="center"/>
              <w:rPr>
                <w:sz w:val="16"/>
                <w:szCs w:val="16"/>
              </w:rPr>
            </w:pPr>
          </w:p>
        </w:tc>
        <w:tc>
          <w:tcPr>
            <w:tcW w:w="3536" w:type="dxa"/>
            <w:tcBorders>
              <w:top w:val="single" w:sz="4" w:space="0" w:color="auto"/>
              <w:left w:val="single" w:sz="4" w:space="0" w:color="auto"/>
              <w:bottom w:val="single" w:sz="4" w:space="0" w:color="auto"/>
              <w:right w:val="single" w:sz="4" w:space="0" w:color="auto"/>
            </w:tcBorders>
            <w:hideMark/>
          </w:tcPr>
          <w:p w14:paraId="5CFBEFBD" w14:textId="77777777" w:rsidR="003F76A0" w:rsidRPr="003F76A0" w:rsidRDefault="003F76A0">
            <w:pPr>
              <w:pStyle w:val="BodyText"/>
              <w:spacing w:before="120" w:after="120"/>
              <w:rPr>
                <w:sz w:val="16"/>
                <w:szCs w:val="16"/>
              </w:rPr>
            </w:pPr>
            <w:r w:rsidRPr="003F76A0">
              <w:rPr>
                <w:sz w:val="16"/>
                <w:szCs w:val="16"/>
              </w:rPr>
              <w:t>$</w:t>
            </w:r>
          </w:p>
        </w:tc>
      </w:tr>
      <w:tr w:rsidR="003F76A0" w:rsidRPr="003F76A0" w14:paraId="6F3D8B42" w14:textId="77777777" w:rsidTr="003F76A0">
        <w:tc>
          <w:tcPr>
            <w:tcW w:w="4292" w:type="dxa"/>
            <w:tcBorders>
              <w:top w:val="single" w:sz="4" w:space="0" w:color="auto"/>
              <w:left w:val="single" w:sz="4" w:space="0" w:color="auto"/>
              <w:bottom w:val="single" w:sz="4" w:space="0" w:color="auto"/>
              <w:right w:val="single" w:sz="4" w:space="0" w:color="auto"/>
            </w:tcBorders>
          </w:tcPr>
          <w:p w14:paraId="6B4B5BBA" w14:textId="77777777" w:rsidR="003F76A0" w:rsidRPr="003F76A0" w:rsidRDefault="003F76A0">
            <w:pPr>
              <w:pStyle w:val="BodyText"/>
              <w:spacing w:before="120" w:after="120"/>
              <w:jc w:val="center"/>
              <w:rPr>
                <w:sz w:val="16"/>
                <w:szCs w:val="16"/>
              </w:rPr>
            </w:pPr>
          </w:p>
        </w:tc>
        <w:tc>
          <w:tcPr>
            <w:tcW w:w="1906" w:type="dxa"/>
            <w:tcBorders>
              <w:top w:val="single" w:sz="4" w:space="0" w:color="auto"/>
              <w:left w:val="single" w:sz="4" w:space="0" w:color="auto"/>
              <w:bottom w:val="single" w:sz="4" w:space="0" w:color="auto"/>
              <w:right w:val="single" w:sz="4" w:space="0" w:color="auto"/>
            </w:tcBorders>
          </w:tcPr>
          <w:p w14:paraId="450AD107" w14:textId="77777777" w:rsidR="003F76A0" w:rsidRPr="003F76A0" w:rsidRDefault="003F76A0">
            <w:pPr>
              <w:pStyle w:val="BodyText"/>
              <w:spacing w:before="120" w:after="120"/>
              <w:jc w:val="center"/>
              <w:rPr>
                <w:sz w:val="16"/>
                <w:szCs w:val="16"/>
              </w:rPr>
            </w:pPr>
          </w:p>
        </w:tc>
        <w:tc>
          <w:tcPr>
            <w:tcW w:w="1567" w:type="dxa"/>
            <w:tcBorders>
              <w:top w:val="single" w:sz="4" w:space="0" w:color="auto"/>
              <w:left w:val="single" w:sz="4" w:space="0" w:color="auto"/>
              <w:bottom w:val="single" w:sz="4" w:space="0" w:color="auto"/>
              <w:right w:val="single" w:sz="4" w:space="0" w:color="auto"/>
            </w:tcBorders>
          </w:tcPr>
          <w:p w14:paraId="4B01C718" w14:textId="77777777" w:rsidR="003F76A0" w:rsidRPr="003F76A0" w:rsidRDefault="003F76A0">
            <w:pPr>
              <w:pStyle w:val="BodyText"/>
              <w:spacing w:before="120" w:after="120"/>
              <w:jc w:val="center"/>
              <w:rPr>
                <w:sz w:val="16"/>
                <w:szCs w:val="16"/>
              </w:rPr>
            </w:pPr>
          </w:p>
        </w:tc>
        <w:tc>
          <w:tcPr>
            <w:tcW w:w="1707" w:type="dxa"/>
            <w:tcBorders>
              <w:top w:val="single" w:sz="4" w:space="0" w:color="auto"/>
              <w:left w:val="single" w:sz="4" w:space="0" w:color="auto"/>
              <w:bottom w:val="single" w:sz="4" w:space="0" w:color="auto"/>
              <w:right w:val="single" w:sz="4" w:space="0" w:color="auto"/>
            </w:tcBorders>
          </w:tcPr>
          <w:p w14:paraId="1E3FBD7C" w14:textId="77777777" w:rsidR="003F76A0" w:rsidRPr="003F76A0" w:rsidRDefault="003F76A0">
            <w:pPr>
              <w:pStyle w:val="BodyText"/>
              <w:spacing w:before="120" w:after="120"/>
              <w:jc w:val="center"/>
              <w:rPr>
                <w:sz w:val="16"/>
                <w:szCs w:val="16"/>
              </w:rPr>
            </w:pPr>
          </w:p>
        </w:tc>
        <w:tc>
          <w:tcPr>
            <w:tcW w:w="3536" w:type="dxa"/>
            <w:tcBorders>
              <w:top w:val="single" w:sz="4" w:space="0" w:color="auto"/>
              <w:left w:val="single" w:sz="4" w:space="0" w:color="auto"/>
              <w:bottom w:val="single" w:sz="4" w:space="0" w:color="auto"/>
              <w:right w:val="single" w:sz="4" w:space="0" w:color="auto"/>
            </w:tcBorders>
            <w:hideMark/>
          </w:tcPr>
          <w:p w14:paraId="0E5508C1" w14:textId="77777777" w:rsidR="003F76A0" w:rsidRPr="003F76A0" w:rsidRDefault="003F76A0">
            <w:pPr>
              <w:pStyle w:val="BodyText"/>
              <w:spacing w:before="120" w:after="120"/>
              <w:rPr>
                <w:sz w:val="16"/>
                <w:szCs w:val="16"/>
              </w:rPr>
            </w:pPr>
            <w:r w:rsidRPr="003F76A0">
              <w:rPr>
                <w:sz w:val="16"/>
                <w:szCs w:val="16"/>
              </w:rPr>
              <w:t>$</w:t>
            </w:r>
          </w:p>
        </w:tc>
      </w:tr>
    </w:tbl>
    <w:p w14:paraId="27145731" w14:textId="77777777" w:rsidR="003F76A0" w:rsidRPr="003F76A0" w:rsidRDefault="003F76A0" w:rsidP="003F76A0">
      <w:pPr>
        <w:pStyle w:val="SchedH3"/>
        <w:numPr>
          <w:ilvl w:val="0"/>
          <w:numId w:val="0"/>
        </w:numPr>
        <w:tabs>
          <w:tab w:val="left" w:pos="720"/>
        </w:tabs>
        <w:ind w:left="1474"/>
        <w:rPr>
          <w:b/>
          <w:bCs/>
        </w:rPr>
      </w:pPr>
    </w:p>
    <w:p w14:paraId="5261C226" w14:textId="77777777" w:rsidR="003F76A0" w:rsidRPr="003F76A0" w:rsidRDefault="003F76A0" w:rsidP="003F76A0">
      <w:pPr>
        <w:pStyle w:val="SchedH3"/>
        <w:numPr>
          <w:ilvl w:val="0"/>
          <w:numId w:val="0"/>
        </w:numPr>
        <w:tabs>
          <w:tab w:val="left" w:pos="720"/>
        </w:tabs>
        <w:ind w:left="1474"/>
        <w:rPr>
          <w:b/>
          <w:bCs/>
        </w:rPr>
      </w:pPr>
    </w:p>
    <w:p w14:paraId="0B62135C" w14:textId="77777777" w:rsidR="003F76A0" w:rsidRPr="003F76A0" w:rsidRDefault="003F76A0" w:rsidP="003F76A0">
      <w:pPr>
        <w:pStyle w:val="SchedH3"/>
        <w:numPr>
          <w:ilvl w:val="0"/>
          <w:numId w:val="0"/>
        </w:numPr>
        <w:tabs>
          <w:tab w:val="left" w:pos="720"/>
        </w:tabs>
        <w:ind w:left="1474"/>
        <w:rPr>
          <w:b/>
          <w:bCs/>
        </w:rPr>
      </w:pPr>
    </w:p>
    <w:p w14:paraId="0FEC0B2C" w14:textId="77777777" w:rsidR="0024371D" w:rsidRPr="003F76A0" w:rsidRDefault="0024371D" w:rsidP="003F76A0">
      <w:pPr>
        <w:pStyle w:val="SchedH3"/>
        <w:numPr>
          <w:ilvl w:val="3"/>
          <w:numId w:val="42"/>
        </w:numPr>
        <w:rPr>
          <w:b/>
        </w:rPr>
      </w:pPr>
      <w:r w:rsidRPr="00507B20">
        <w:rPr>
          <w:b/>
        </w:rPr>
        <w:t>Employment and workforce commitments</w:t>
      </w:r>
    </w:p>
    <w:p w14:paraId="6D75443D" w14:textId="5E8A1D30" w:rsidR="0024371D" w:rsidRDefault="0024371D" w:rsidP="0024371D">
      <w:pPr>
        <w:pStyle w:val="Indent2"/>
      </w:pPr>
      <w:r>
        <w:rPr>
          <w:rFonts w:eastAsiaTheme="minorEastAsia" w:cstheme="minorBidi"/>
        </w:rPr>
        <w:t xml:space="preserve">In accordance with </w:t>
      </w:r>
      <w:r w:rsidR="003F76A0" w:rsidRPr="003F76A0">
        <w:rPr>
          <w:rFonts w:eastAsiaTheme="minorEastAsia" w:cstheme="minorBidi"/>
        </w:rPr>
        <w:t xml:space="preserve">clause </w:t>
      </w:r>
      <w:r w:rsidR="00883C27" w:rsidRPr="002157AE">
        <w:rPr>
          <w:rFonts w:eastAsia="SimSun"/>
          <w:b/>
          <w:i/>
        </w:rPr>
        <w:fldChar w:fldCharType="begin"/>
      </w:r>
      <w:r w:rsidR="00883C27" w:rsidRPr="002157AE">
        <w:rPr>
          <w:rFonts w:eastAsia="SimSun"/>
          <w:b/>
          <w:i/>
        </w:rPr>
        <w:instrText xml:space="preserve"> REF _Ref206706719 \r \h </w:instrText>
      </w:r>
      <w:r w:rsidR="00883C27">
        <w:rPr>
          <w:rFonts w:eastAsia="SimSun"/>
          <w:b/>
          <w:i/>
        </w:rPr>
        <w:instrText xml:space="preserve"> \* MERGEFORMAT </w:instrText>
      </w:r>
      <w:r w:rsidR="00883C27" w:rsidRPr="002157AE">
        <w:rPr>
          <w:rFonts w:eastAsia="SimSun"/>
          <w:b/>
          <w:i/>
        </w:rPr>
      </w:r>
      <w:r w:rsidR="00883C27" w:rsidRPr="002157AE">
        <w:rPr>
          <w:rFonts w:eastAsia="SimSun"/>
          <w:b/>
          <w:i/>
        </w:rPr>
        <w:fldChar w:fldCharType="separate"/>
      </w:r>
      <w:r w:rsidR="002E5C6A">
        <w:rPr>
          <w:rFonts w:eastAsia="SimSun"/>
          <w:b/>
          <w:i/>
        </w:rPr>
        <w:t>11.1</w:t>
      </w:r>
      <w:r w:rsidR="00883C27" w:rsidRPr="002157AE">
        <w:rPr>
          <w:rFonts w:eastAsia="SimSun"/>
          <w:b/>
          <w:i/>
        </w:rPr>
        <w:fldChar w:fldCharType="end"/>
      </w:r>
      <w:r w:rsidR="00883C27" w:rsidRPr="002157AE">
        <w:rPr>
          <w:rFonts w:eastAsia="SimSun"/>
          <w:b/>
          <w:i/>
        </w:rPr>
        <w:t xml:space="preserve"> (“</w:t>
      </w:r>
      <w:r w:rsidR="00883C27" w:rsidRPr="002157AE">
        <w:rPr>
          <w:rFonts w:eastAsia="SimSun"/>
          <w:b/>
          <w:i/>
        </w:rPr>
        <w:fldChar w:fldCharType="begin"/>
      </w:r>
      <w:r w:rsidR="00883C27" w:rsidRPr="002157AE">
        <w:rPr>
          <w:rFonts w:eastAsia="SimSun"/>
          <w:b/>
          <w:i/>
        </w:rPr>
        <w:instrText xml:space="preserve"> REF _Ref206706721 \h  \* MERGEFORMAT </w:instrText>
      </w:r>
      <w:r w:rsidR="00883C27" w:rsidRPr="002157AE">
        <w:rPr>
          <w:rFonts w:eastAsia="SimSun"/>
          <w:b/>
          <w:i/>
        </w:rPr>
      </w:r>
      <w:r w:rsidR="00883C27" w:rsidRPr="002157AE">
        <w:rPr>
          <w:rFonts w:eastAsia="SimSun"/>
          <w:b/>
          <w:i/>
        </w:rPr>
        <w:fldChar w:fldCharType="separate"/>
      </w:r>
      <w:r w:rsidR="002E5C6A" w:rsidRPr="006C780B">
        <w:rPr>
          <w:b/>
          <w:i/>
        </w:rPr>
        <w:t>Performance</w:t>
      </w:r>
      <w:r w:rsidR="00883C27" w:rsidRPr="002157AE">
        <w:rPr>
          <w:rFonts w:eastAsia="SimSun"/>
          <w:b/>
          <w:i/>
        </w:rPr>
        <w:fldChar w:fldCharType="end"/>
      </w:r>
      <w:r w:rsidR="00883C27" w:rsidRPr="002157AE">
        <w:rPr>
          <w:rFonts w:eastAsia="SimSun"/>
          <w:b/>
          <w:i/>
        </w:rPr>
        <w:t>”)</w:t>
      </w:r>
      <w:r w:rsidR="00883C27" w:rsidRPr="00883C27">
        <w:rPr>
          <w:rFonts w:eastAsiaTheme="minorEastAsia" w:cstheme="minorBidi"/>
        </w:rPr>
        <w:t xml:space="preserve">, </w:t>
      </w:r>
      <w:r>
        <w:t>Project Operator must employ a number of the relevant workforce category below for a number of hours equal or greater than the percentage of the Total</w:t>
      </w:r>
      <w:r w:rsidR="00BC2BE9">
        <w:t xml:space="preserve"> </w:t>
      </w:r>
      <w:r>
        <w:t>Project Workforce specified in Table 5 below.</w:t>
      </w:r>
      <w:r w:rsidR="00BC2BE9">
        <w:t xml:space="preserve"> </w:t>
      </w:r>
      <w:r>
        <w:t xml:space="preserve">The total hours at the Signing Date is estimated to be as described in Table 5 below, which will be updated from time to time under this </w:t>
      </w:r>
      <w:r>
        <w:fldChar w:fldCharType="begin"/>
      </w:r>
      <w:r>
        <w:instrText xml:space="preserve"> REF _Ref159507374 \n \h  \* MERGEFORMAT </w:instrText>
      </w:r>
      <w:r>
        <w:fldChar w:fldCharType="separate"/>
      </w:r>
      <w:r w:rsidR="002E5C6A">
        <w:t>Schedule 2</w:t>
      </w:r>
      <w:r>
        <w:fldChar w:fldCharType="end"/>
      </w:r>
      <w:r>
        <w:t xml:space="preserve">. </w:t>
      </w:r>
    </w:p>
    <w:p w14:paraId="46C7CD46" w14:textId="77777777" w:rsidR="0024371D" w:rsidRPr="00507B20" w:rsidRDefault="0024371D" w:rsidP="0024371D">
      <w:pPr>
        <w:pStyle w:val="Indent2"/>
        <w:keepNext/>
        <w:rPr>
          <w:b/>
        </w:rPr>
      </w:pPr>
      <w:r>
        <w:rPr>
          <w:b/>
          <w:bCs/>
        </w:rPr>
        <w:t>Table 5 –Commitments to Local employment</w:t>
      </w:r>
    </w:p>
    <w:tbl>
      <w:tblPr>
        <w:tblStyle w:val="TableGrid"/>
        <w:tblW w:w="0" w:type="auto"/>
        <w:tblInd w:w="709" w:type="dxa"/>
        <w:tblLook w:val="04A0" w:firstRow="1" w:lastRow="0" w:firstColumn="1" w:lastColumn="0" w:noHBand="0" w:noVBand="1"/>
      </w:tblPr>
      <w:tblGrid>
        <w:gridCol w:w="587"/>
        <w:gridCol w:w="2260"/>
        <w:gridCol w:w="1772"/>
        <w:gridCol w:w="1763"/>
        <w:gridCol w:w="2162"/>
        <w:gridCol w:w="4459"/>
      </w:tblGrid>
      <w:tr w:rsidR="003F76A0" w:rsidRPr="003F76A0" w14:paraId="7E572499" w14:textId="77777777" w:rsidTr="003F76A0">
        <w:trPr>
          <w:cantSplit/>
        </w:trPr>
        <w:tc>
          <w:tcPr>
            <w:tcW w:w="58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6D2BDE" w14:textId="77777777" w:rsidR="003F76A0" w:rsidRPr="003F76A0" w:rsidRDefault="003F76A0">
            <w:pPr>
              <w:pStyle w:val="BodyText"/>
              <w:spacing w:before="120" w:after="120"/>
              <w:jc w:val="center"/>
              <w:rPr>
                <w:color w:val="000000" w:themeColor="text1"/>
                <w:sz w:val="16"/>
                <w:szCs w:val="16"/>
              </w:rPr>
            </w:pPr>
            <w:r w:rsidRPr="003F76A0">
              <w:rPr>
                <w:b/>
                <w:bCs/>
                <w:sz w:val="16"/>
                <w:szCs w:val="16"/>
              </w:rPr>
              <w:t>Row</w:t>
            </w:r>
          </w:p>
        </w:tc>
        <w:tc>
          <w:tcPr>
            <w:tcW w:w="2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738CE33" w14:textId="77777777" w:rsidR="003F76A0" w:rsidRPr="003F76A0" w:rsidRDefault="003F76A0">
            <w:pPr>
              <w:pStyle w:val="BodyText"/>
              <w:spacing w:before="120" w:after="120"/>
              <w:jc w:val="center"/>
              <w:rPr>
                <w:color w:val="000000" w:themeColor="text1"/>
                <w:sz w:val="16"/>
                <w:szCs w:val="16"/>
              </w:rPr>
            </w:pPr>
            <w:r w:rsidRPr="003F76A0">
              <w:rPr>
                <w:b/>
                <w:bCs/>
                <w:sz w:val="16"/>
                <w:szCs w:val="16"/>
              </w:rPr>
              <w:t>Workforce category</w:t>
            </w:r>
          </w:p>
        </w:tc>
        <w:tc>
          <w:tcPr>
            <w:tcW w:w="177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4B3964" w14:textId="77777777" w:rsidR="003F76A0" w:rsidRPr="003F76A0" w:rsidRDefault="003F76A0">
            <w:pPr>
              <w:pStyle w:val="BodyText"/>
              <w:spacing w:before="120" w:after="120"/>
              <w:jc w:val="center"/>
              <w:rPr>
                <w:sz w:val="16"/>
                <w:szCs w:val="16"/>
              </w:rPr>
            </w:pPr>
            <w:r w:rsidRPr="003F76A0">
              <w:rPr>
                <w:b/>
                <w:bCs/>
                <w:sz w:val="16"/>
                <w:szCs w:val="16"/>
              </w:rPr>
              <w:t>Pre-COD (hours)</w:t>
            </w:r>
          </w:p>
        </w:tc>
        <w:tc>
          <w:tcPr>
            <w:tcW w:w="176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5E59A60" w14:textId="77777777" w:rsidR="003F76A0" w:rsidRPr="003F76A0" w:rsidRDefault="003F76A0">
            <w:pPr>
              <w:pStyle w:val="BodyText"/>
              <w:keepNext/>
              <w:spacing w:before="120" w:after="120"/>
              <w:jc w:val="center"/>
              <w:rPr>
                <w:b/>
                <w:bCs/>
                <w:sz w:val="16"/>
                <w:szCs w:val="16"/>
              </w:rPr>
            </w:pPr>
            <w:r w:rsidRPr="003F76A0">
              <w:rPr>
                <w:b/>
                <w:bCs/>
                <w:sz w:val="16"/>
                <w:szCs w:val="16"/>
              </w:rPr>
              <w:t>Post-COD (hours)</w:t>
            </w:r>
          </w:p>
        </w:tc>
        <w:tc>
          <w:tcPr>
            <w:tcW w:w="21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460480A" w14:textId="77777777" w:rsidR="003F76A0" w:rsidRPr="003F76A0" w:rsidRDefault="003F76A0">
            <w:pPr>
              <w:pStyle w:val="BodyText"/>
              <w:keepNext/>
              <w:spacing w:before="120" w:after="120"/>
              <w:jc w:val="center"/>
              <w:rPr>
                <w:b/>
                <w:bCs/>
                <w:sz w:val="16"/>
                <w:szCs w:val="16"/>
              </w:rPr>
            </w:pPr>
            <w:r w:rsidRPr="003F76A0">
              <w:rPr>
                <w:b/>
                <w:bCs/>
                <w:sz w:val="16"/>
                <w:szCs w:val="16"/>
              </w:rPr>
              <w:t>Total (hours)</w:t>
            </w:r>
          </w:p>
        </w:tc>
        <w:tc>
          <w:tcPr>
            <w:tcW w:w="445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CB88870" w14:textId="77777777" w:rsidR="003F76A0" w:rsidRPr="003F76A0" w:rsidRDefault="003F76A0">
            <w:pPr>
              <w:pStyle w:val="BodyText"/>
              <w:spacing w:before="120" w:after="120"/>
              <w:jc w:val="center"/>
              <w:rPr>
                <w:b/>
                <w:bCs/>
                <w:sz w:val="16"/>
                <w:szCs w:val="16"/>
              </w:rPr>
            </w:pPr>
            <w:r w:rsidRPr="003F76A0">
              <w:rPr>
                <w:b/>
                <w:bCs/>
                <w:sz w:val="16"/>
                <w:szCs w:val="16"/>
              </w:rPr>
              <w:t>Note</w:t>
            </w:r>
          </w:p>
        </w:tc>
      </w:tr>
      <w:tr w:rsidR="003F76A0" w:rsidRPr="003F76A0" w14:paraId="49417F05" w14:textId="77777777" w:rsidTr="003F76A0">
        <w:trPr>
          <w:cantSplit/>
        </w:trPr>
        <w:tc>
          <w:tcPr>
            <w:tcW w:w="587" w:type="dxa"/>
            <w:tcBorders>
              <w:top w:val="single" w:sz="4" w:space="0" w:color="auto"/>
              <w:left w:val="single" w:sz="4" w:space="0" w:color="auto"/>
              <w:bottom w:val="single" w:sz="4" w:space="0" w:color="auto"/>
              <w:right w:val="single" w:sz="4" w:space="0" w:color="auto"/>
            </w:tcBorders>
            <w:vAlign w:val="center"/>
            <w:hideMark/>
          </w:tcPr>
          <w:p w14:paraId="702401C8" w14:textId="77777777" w:rsidR="003F76A0" w:rsidRPr="003F76A0" w:rsidRDefault="003F76A0">
            <w:pPr>
              <w:pStyle w:val="BodyText"/>
              <w:spacing w:before="120" w:after="120"/>
              <w:jc w:val="center"/>
              <w:rPr>
                <w:color w:val="000000" w:themeColor="text1"/>
                <w:sz w:val="16"/>
                <w:szCs w:val="16"/>
              </w:rPr>
            </w:pPr>
            <w:bookmarkStart w:id="5460" w:name="_Hlk143594134" w:colFirst="0" w:colLast="0"/>
            <w:r w:rsidRPr="003F76A0">
              <w:rPr>
                <w:color w:val="000000" w:themeColor="text1"/>
                <w:sz w:val="16"/>
                <w:szCs w:val="16"/>
              </w:rPr>
              <w:t>1</w:t>
            </w:r>
          </w:p>
        </w:tc>
        <w:tc>
          <w:tcPr>
            <w:tcW w:w="2260" w:type="dxa"/>
            <w:tcBorders>
              <w:top w:val="single" w:sz="4" w:space="0" w:color="auto"/>
              <w:left w:val="single" w:sz="4" w:space="0" w:color="auto"/>
              <w:bottom w:val="single" w:sz="4" w:space="0" w:color="auto"/>
              <w:right w:val="single" w:sz="4" w:space="0" w:color="auto"/>
            </w:tcBorders>
            <w:vAlign w:val="center"/>
            <w:hideMark/>
          </w:tcPr>
          <w:p w14:paraId="30654DC5" w14:textId="77777777" w:rsidR="003F76A0" w:rsidRPr="003F76A0" w:rsidRDefault="003F76A0">
            <w:pPr>
              <w:pStyle w:val="BodyText"/>
              <w:spacing w:before="120" w:after="120"/>
              <w:jc w:val="center"/>
              <w:rPr>
                <w:color w:val="000000" w:themeColor="text1"/>
                <w:sz w:val="16"/>
                <w:szCs w:val="16"/>
              </w:rPr>
            </w:pPr>
            <w:r w:rsidRPr="003F76A0">
              <w:rPr>
                <w:color w:val="000000" w:themeColor="text1"/>
                <w:sz w:val="16"/>
                <w:szCs w:val="16"/>
              </w:rPr>
              <w:t>Total Project Workforce</w:t>
            </w:r>
          </w:p>
        </w:tc>
        <w:tc>
          <w:tcPr>
            <w:tcW w:w="1772" w:type="dxa"/>
            <w:tcBorders>
              <w:top w:val="single" w:sz="4" w:space="0" w:color="auto"/>
              <w:left w:val="single" w:sz="4" w:space="0" w:color="auto"/>
              <w:bottom w:val="single" w:sz="4" w:space="0" w:color="auto"/>
              <w:right w:val="single" w:sz="4" w:space="0" w:color="auto"/>
            </w:tcBorders>
            <w:vAlign w:val="center"/>
          </w:tcPr>
          <w:p w14:paraId="396538A3" w14:textId="77777777" w:rsidR="003F76A0" w:rsidRPr="008F660B" w:rsidRDefault="003F76A0">
            <w:pPr>
              <w:pStyle w:val="BodyText"/>
              <w:spacing w:before="120" w:after="120"/>
              <w:jc w:val="center"/>
              <w:rPr>
                <w:sz w:val="16"/>
                <w:szCs w:val="16"/>
              </w:rPr>
            </w:pPr>
          </w:p>
        </w:tc>
        <w:tc>
          <w:tcPr>
            <w:tcW w:w="1763" w:type="dxa"/>
            <w:tcBorders>
              <w:top w:val="single" w:sz="4" w:space="0" w:color="auto"/>
              <w:left w:val="single" w:sz="4" w:space="0" w:color="auto"/>
              <w:bottom w:val="single" w:sz="4" w:space="0" w:color="auto"/>
              <w:right w:val="single" w:sz="4" w:space="0" w:color="auto"/>
            </w:tcBorders>
            <w:vAlign w:val="center"/>
          </w:tcPr>
          <w:p w14:paraId="7B3A9649" w14:textId="77777777" w:rsidR="003F76A0" w:rsidRPr="008F660B" w:rsidRDefault="003F76A0">
            <w:pPr>
              <w:pStyle w:val="BodyText"/>
              <w:spacing w:before="120" w:after="120"/>
              <w:jc w:val="center"/>
              <w:rPr>
                <w:sz w:val="16"/>
                <w:szCs w:val="16"/>
              </w:rPr>
            </w:pPr>
          </w:p>
        </w:tc>
        <w:tc>
          <w:tcPr>
            <w:tcW w:w="2162" w:type="dxa"/>
            <w:tcBorders>
              <w:top w:val="single" w:sz="4" w:space="0" w:color="auto"/>
              <w:left w:val="single" w:sz="4" w:space="0" w:color="auto"/>
              <w:bottom w:val="single" w:sz="4" w:space="0" w:color="auto"/>
              <w:right w:val="single" w:sz="4" w:space="0" w:color="auto"/>
            </w:tcBorders>
            <w:vAlign w:val="center"/>
          </w:tcPr>
          <w:p w14:paraId="11A45CE4" w14:textId="77777777" w:rsidR="003F76A0" w:rsidRPr="008F660B" w:rsidRDefault="003F76A0">
            <w:pPr>
              <w:pStyle w:val="BodyText"/>
              <w:spacing w:before="120" w:after="120"/>
              <w:jc w:val="center"/>
              <w:rPr>
                <w:sz w:val="16"/>
                <w:szCs w:val="16"/>
              </w:rPr>
            </w:pPr>
          </w:p>
        </w:tc>
        <w:tc>
          <w:tcPr>
            <w:tcW w:w="4459" w:type="dxa"/>
            <w:tcBorders>
              <w:top w:val="single" w:sz="4" w:space="0" w:color="auto"/>
              <w:left w:val="single" w:sz="4" w:space="0" w:color="auto"/>
              <w:bottom w:val="single" w:sz="4" w:space="0" w:color="auto"/>
              <w:right w:val="single" w:sz="4" w:space="0" w:color="auto"/>
            </w:tcBorders>
          </w:tcPr>
          <w:p w14:paraId="698C5FBB" w14:textId="77777777" w:rsidR="003F76A0" w:rsidRPr="003F76A0" w:rsidRDefault="003F76A0">
            <w:pPr>
              <w:pStyle w:val="BodyText"/>
              <w:spacing w:before="120" w:after="120"/>
              <w:jc w:val="center"/>
              <w:rPr>
                <w:sz w:val="16"/>
                <w:szCs w:val="16"/>
              </w:rPr>
            </w:pPr>
          </w:p>
        </w:tc>
      </w:tr>
      <w:bookmarkEnd w:id="5460"/>
      <w:tr w:rsidR="003F76A0" w:rsidRPr="003F76A0" w14:paraId="3A1FB866" w14:textId="77777777" w:rsidTr="003F76A0">
        <w:trPr>
          <w:cantSplit/>
        </w:trPr>
        <w:tc>
          <w:tcPr>
            <w:tcW w:w="587" w:type="dxa"/>
            <w:tcBorders>
              <w:top w:val="single" w:sz="4" w:space="0" w:color="auto"/>
              <w:left w:val="single" w:sz="4" w:space="0" w:color="auto"/>
              <w:bottom w:val="single" w:sz="4" w:space="0" w:color="auto"/>
              <w:right w:val="single" w:sz="4" w:space="0" w:color="auto"/>
            </w:tcBorders>
            <w:vAlign w:val="center"/>
            <w:hideMark/>
          </w:tcPr>
          <w:p w14:paraId="70B2C6D8" w14:textId="77777777" w:rsidR="003F76A0" w:rsidRPr="003F76A0" w:rsidRDefault="003F76A0">
            <w:pPr>
              <w:pStyle w:val="BodyText"/>
              <w:spacing w:before="120" w:after="120"/>
              <w:jc w:val="center"/>
              <w:rPr>
                <w:color w:val="000000" w:themeColor="text1"/>
                <w:sz w:val="16"/>
                <w:szCs w:val="16"/>
              </w:rPr>
            </w:pPr>
            <w:r w:rsidRPr="003F76A0">
              <w:rPr>
                <w:color w:val="000000" w:themeColor="text1"/>
                <w:sz w:val="16"/>
                <w:szCs w:val="16"/>
              </w:rPr>
              <w:t>2</w:t>
            </w:r>
          </w:p>
        </w:tc>
        <w:tc>
          <w:tcPr>
            <w:tcW w:w="2260" w:type="dxa"/>
            <w:tcBorders>
              <w:top w:val="single" w:sz="4" w:space="0" w:color="auto"/>
              <w:left w:val="single" w:sz="4" w:space="0" w:color="auto"/>
              <w:bottom w:val="single" w:sz="4" w:space="0" w:color="auto"/>
              <w:right w:val="single" w:sz="4" w:space="0" w:color="auto"/>
            </w:tcBorders>
            <w:vAlign w:val="center"/>
            <w:hideMark/>
          </w:tcPr>
          <w:p w14:paraId="1583391E" w14:textId="77777777" w:rsidR="003F76A0" w:rsidRPr="003F76A0" w:rsidRDefault="003F76A0">
            <w:pPr>
              <w:pStyle w:val="BodyText"/>
              <w:spacing w:before="120" w:after="120"/>
              <w:jc w:val="center"/>
              <w:rPr>
                <w:color w:val="000000" w:themeColor="text1"/>
                <w:sz w:val="16"/>
                <w:szCs w:val="16"/>
              </w:rPr>
            </w:pPr>
            <w:r w:rsidRPr="003F76A0">
              <w:rPr>
                <w:color w:val="000000" w:themeColor="text1"/>
                <w:sz w:val="16"/>
                <w:szCs w:val="16"/>
              </w:rPr>
              <w:t>Total Trade</w:t>
            </w:r>
          </w:p>
        </w:tc>
        <w:tc>
          <w:tcPr>
            <w:tcW w:w="1772" w:type="dxa"/>
            <w:tcBorders>
              <w:top w:val="single" w:sz="4" w:space="0" w:color="auto"/>
              <w:left w:val="single" w:sz="4" w:space="0" w:color="auto"/>
              <w:bottom w:val="single" w:sz="4" w:space="0" w:color="auto"/>
              <w:right w:val="single" w:sz="4" w:space="0" w:color="auto"/>
            </w:tcBorders>
            <w:vAlign w:val="center"/>
          </w:tcPr>
          <w:p w14:paraId="6632F60F" w14:textId="77777777" w:rsidR="003F76A0" w:rsidRPr="008F660B" w:rsidRDefault="003F76A0">
            <w:pPr>
              <w:pStyle w:val="BodyText"/>
              <w:spacing w:before="120" w:after="120"/>
              <w:jc w:val="center"/>
              <w:rPr>
                <w:sz w:val="16"/>
                <w:szCs w:val="16"/>
              </w:rPr>
            </w:pPr>
          </w:p>
        </w:tc>
        <w:tc>
          <w:tcPr>
            <w:tcW w:w="1763" w:type="dxa"/>
            <w:tcBorders>
              <w:top w:val="single" w:sz="4" w:space="0" w:color="auto"/>
              <w:left w:val="single" w:sz="4" w:space="0" w:color="auto"/>
              <w:bottom w:val="single" w:sz="4" w:space="0" w:color="auto"/>
              <w:right w:val="single" w:sz="4" w:space="0" w:color="auto"/>
            </w:tcBorders>
            <w:vAlign w:val="center"/>
          </w:tcPr>
          <w:p w14:paraId="4C168633" w14:textId="77777777" w:rsidR="003F76A0" w:rsidRPr="008F660B" w:rsidRDefault="003F76A0">
            <w:pPr>
              <w:pStyle w:val="BodyText"/>
              <w:spacing w:before="120" w:after="120"/>
              <w:jc w:val="center"/>
              <w:rPr>
                <w:sz w:val="16"/>
                <w:szCs w:val="16"/>
              </w:rPr>
            </w:pPr>
          </w:p>
        </w:tc>
        <w:tc>
          <w:tcPr>
            <w:tcW w:w="2162" w:type="dxa"/>
            <w:tcBorders>
              <w:top w:val="single" w:sz="4" w:space="0" w:color="auto"/>
              <w:left w:val="single" w:sz="4" w:space="0" w:color="auto"/>
              <w:bottom w:val="single" w:sz="4" w:space="0" w:color="auto"/>
              <w:right w:val="single" w:sz="4" w:space="0" w:color="auto"/>
            </w:tcBorders>
            <w:vAlign w:val="center"/>
          </w:tcPr>
          <w:p w14:paraId="172729D2" w14:textId="77777777" w:rsidR="003F76A0" w:rsidRPr="008F660B" w:rsidRDefault="003F76A0">
            <w:pPr>
              <w:pStyle w:val="BodyText"/>
              <w:spacing w:before="120" w:after="120"/>
              <w:jc w:val="center"/>
              <w:rPr>
                <w:sz w:val="16"/>
                <w:szCs w:val="16"/>
              </w:rPr>
            </w:pPr>
          </w:p>
        </w:tc>
        <w:tc>
          <w:tcPr>
            <w:tcW w:w="4459" w:type="dxa"/>
            <w:tcBorders>
              <w:top w:val="single" w:sz="4" w:space="0" w:color="auto"/>
              <w:left w:val="single" w:sz="4" w:space="0" w:color="auto"/>
              <w:bottom w:val="single" w:sz="4" w:space="0" w:color="auto"/>
              <w:right w:val="single" w:sz="4" w:space="0" w:color="auto"/>
            </w:tcBorders>
          </w:tcPr>
          <w:p w14:paraId="547C2837" w14:textId="77777777" w:rsidR="003F76A0" w:rsidRPr="003F76A0" w:rsidRDefault="003F76A0">
            <w:pPr>
              <w:pStyle w:val="BodyText"/>
              <w:spacing w:before="120" w:after="120"/>
              <w:jc w:val="center"/>
              <w:rPr>
                <w:sz w:val="16"/>
                <w:szCs w:val="16"/>
              </w:rPr>
            </w:pPr>
          </w:p>
        </w:tc>
      </w:tr>
      <w:tr w:rsidR="003F76A0" w:rsidRPr="003F76A0" w14:paraId="102337E0" w14:textId="77777777" w:rsidTr="003F76A0">
        <w:trPr>
          <w:cantSplit/>
        </w:trPr>
        <w:tc>
          <w:tcPr>
            <w:tcW w:w="587" w:type="dxa"/>
            <w:tcBorders>
              <w:top w:val="single" w:sz="4" w:space="0" w:color="auto"/>
              <w:left w:val="single" w:sz="4" w:space="0" w:color="auto"/>
              <w:bottom w:val="single" w:sz="4" w:space="0" w:color="auto"/>
              <w:right w:val="single" w:sz="4" w:space="0" w:color="auto"/>
            </w:tcBorders>
            <w:vAlign w:val="center"/>
            <w:hideMark/>
          </w:tcPr>
          <w:p w14:paraId="6DF1E28A" w14:textId="77777777" w:rsidR="003F76A0" w:rsidRPr="003F76A0" w:rsidRDefault="003F76A0">
            <w:pPr>
              <w:pStyle w:val="BodyText"/>
              <w:spacing w:before="120" w:after="120"/>
              <w:jc w:val="center"/>
              <w:rPr>
                <w:color w:val="000000" w:themeColor="text1"/>
                <w:sz w:val="16"/>
                <w:szCs w:val="16"/>
              </w:rPr>
            </w:pPr>
            <w:r w:rsidRPr="003F76A0">
              <w:rPr>
                <w:color w:val="000000" w:themeColor="text1"/>
                <w:sz w:val="16"/>
                <w:szCs w:val="16"/>
              </w:rPr>
              <w:t>3</w:t>
            </w:r>
          </w:p>
        </w:tc>
        <w:tc>
          <w:tcPr>
            <w:tcW w:w="2260" w:type="dxa"/>
            <w:tcBorders>
              <w:top w:val="single" w:sz="4" w:space="0" w:color="auto"/>
              <w:left w:val="single" w:sz="4" w:space="0" w:color="auto"/>
              <w:bottom w:val="single" w:sz="4" w:space="0" w:color="auto"/>
              <w:right w:val="single" w:sz="4" w:space="0" w:color="auto"/>
            </w:tcBorders>
            <w:vAlign w:val="center"/>
            <w:hideMark/>
          </w:tcPr>
          <w:p w14:paraId="738CBEE4" w14:textId="77777777" w:rsidR="003F76A0" w:rsidRPr="003F76A0" w:rsidRDefault="003F76A0">
            <w:pPr>
              <w:pStyle w:val="BodyText"/>
              <w:spacing w:before="120" w:after="120"/>
              <w:jc w:val="center"/>
              <w:rPr>
                <w:color w:val="000000" w:themeColor="text1"/>
                <w:sz w:val="16"/>
                <w:szCs w:val="16"/>
              </w:rPr>
            </w:pPr>
            <w:r w:rsidRPr="003F76A0">
              <w:rPr>
                <w:color w:val="000000" w:themeColor="text1"/>
                <w:sz w:val="16"/>
                <w:szCs w:val="16"/>
              </w:rPr>
              <w:t>Total Trainee</w:t>
            </w:r>
          </w:p>
        </w:tc>
        <w:tc>
          <w:tcPr>
            <w:tcW w:w="1772" w:type="dxa"/>
            <w:tcBorders>
              <w:top w:val="single" w:sz="4" w:space="0" w:color="auto"/>
              <w:left w:val="single" w:sz="4" w:space="0" w:color="auto"/>
              <w:bottom w:val="single" w:sz="4" w:space="0" w:color="auto"/>
              <w:right w:val="single" w:sz="4" w:space="0" w:color="auto"/>
            </w:tcBorders>
            <w:vAlign w:val="center"/>
          </w:tcPr>
          <w:p w14:paraId="79842D48" w14:textId="77777777" w:rsidR="003F76A0" w:rsidRPr="008F660B" w:rsidRDefault="003F76A0">
            <w:pPr>
              <w:pStyle w:val="BodyText"/>
              <w:spacing w:before="120" w:after="120"/>
              <w:jc w:val="center"/>
              <w:rPr>
                <w:sz w:val="16"/>
                <w:szCs w:val="16"/>
              </w:rPr>
            </w:pPr>
          </w:p>
        </w:tc>
        <w:tc>
          <w:tcPr>
            <w:tcW w:w="1763" w:type="dxa"/>
            <w:tcBorders>
              <w:top w:val="single" w:sz="4" w:space="0" w:color="auto"/>
              <w:left w:val="single" w:sz="4" w:space="0" w:color="auto"/>
              <w:bottom w:val="single" w:sz="4" w:space="0" w:color="auto"/>
              <w:right w:val="single" w:sz="4" w:space="0" w:color="auto"/>
            </w:tcBorders>
            <w:vAlign w:val="center"/>
          </w:tcPr>
          <w:p w14:paraId="5ECA181E" w14:textId="77777777" w:rsidR="003F76A0" w:rsidRPr="008F660B" w:rsidRDefault="003F76A0">
            <w:pPr>
              <w:pStyle w:val="BodyText"/>
              <w:spacing w:before="120" w:after="120"/>
              <w:jc w:val="center"/>
              <w:rPr>
                <w:sz w:val="16"/>
                <w:szCs w:val="16"/>
              </w:rPr>
            </w:pPr>
          </w:p>
        </w:tc>
        <w:tc>
          <w:tcPr>
            <w:tcW w:w="2162" w:type="dxa"/>
            <w:tcBorders>
              <w:top w:val="single" w:sz="4" w:space="0" w:color="auto"/>
              <w:left w:val="single" w:sz="4" w:space="0" w:color="auto"/>
              <w:bottom w:val="single" w:sz="4" w:space="0" w:color="auto"/>
              <w:right w:val="single" w:sz="4" w:space="0" w:color="auto"/>
            </w:tcBorders>
            <w:vAlign w:val="center"/>
          </w:tcPr>
          <w:p w14:paraId="0A0C2592" w14:textId="77777777" w:rsidR="003F76A0" w:rsidRPr="008F660B" w:rsidRDefault="003F76A0">
            <w:pPr>
              <w:pStyle w:val="BodyText"/>
              <w:spacing w:before="120" w:after="120"/>
              <w:jc w:val="center"/>
              <w:rPr>
                <w:sz w:val="16"/>
                <w:szCs w:val="16"/>
              </w:rPr>
            </w:pPr>
          </w:p>
        </w:tc>
        <w:tc>
          <w:tcPr>
            <w:tcW w:w="4459" w:type="dxa"/>
            <w:tcBorders>
              <w:top w:val="single" w:sz="4" w:space="0" w:color="auto"/>
              <w:left w:val="single" w:sz="4" w:space="0" w:color="auto"/>
              <w:bottom w:val="single" w:sz="4" w:space="0" w:color="auto"/>
              <w:right w:val="single" w:sz="4" w:space="0" w:color="auto"/>
            </w:tcBorders>
          </w:tcPr>
          <w:p w14:paraId="0F0A1062" w14:textId="77777777" w:rsidR="003F76A0" w:rsidRPr="003F76A0" w:rsidRDefault="003F76A0">
            <w:pPr>
              <w:pStyle w:val="BodyText"/>
              <w:spacing w:before="120" w:after="120"/>
              <w:jc w:val="center"/>
              <w:rPr>
                <w:sz w:val="16"/>
                <w:szCs w:val="16"/>
              </w:rPr>
            </w:pPr>
          </w:p>
        </w:tc>
      </w:tr>
      <w:tr w:rsidR="003F76A0" w:rsidRPr="003F76A0" w14:paraId="392B9D63" w14:textId="77777777" w:rsidTr="003F76A0">
        <w:trPr>
          <w:cantSplit/>
        </w:trPr>
        <w:tc>
          <w:tcPr>
            <w:tcW w:w="58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2234FA9" w14:textId="77777777" w:rsidR="003F76A0" w:rsidRPr="003F76A0" w:rsidRDefault="003F76A0">
            <w:pPr>
              <w:pStyle w:val="BodyText"/>
              <w:keepNext/>
              <w:spacing w:before="120" w:after="120"/>
              <w:jc w:val="center"/>
              <w:rPr>
                <w:color w:val="000000" w:themeColor="text1"/>
                <w:sz w:val="16"/>
                <w:szCs w:val="16"/>
              </w:rPr>
            </w:pPr>
            <w:r w:rsidRPr="003F76A0">
              <w:rPr>
                <w:b/>
                <w:bCs/>
                <w:sz w:val="16"/>
                <w:szCs w:val="16"/>
              </w:rPr>
              <w:t>Row</w:t>
            </w:r>
          </w:p>
        </w:tc>
        <w:tc>
          <w:tcPr>
            <w:tcW w:w="2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FB3E495" w14:textId="77777777" w:rsidR="003F76A0" w:rsidRPr="003F76A0" w:rsidRDefault="003F76A0">
            <w:pPr>
              <w:pStyle w:val="BodyText"/>
              <w:keepNext/>
              <w:spacing w:before="120" w:after="120"/>
              <w:jc w:val="center"/>
              <w:rPr>
                <w:color w:val="000000" w:themeColor="text1"/>
                <w:sz w:val="16"/>
                <w:szCs w:val="16"/>
              </w:rPr>
            </w:pPr>
            <w:r w:rsidRPr="003F76A0">
              <w:rPr>
                <w:b/>
                <w:bCs/>
                <w:sz w:val="16"/>
                <w:szCs w:val="16"/>
              </w:rPr>
              <w:t>Workforce category</w:t>
            </w:r>
          </w:p>
        </w:tc>
        <w:tc>
          <w:tcPr>
            <w:tcW w:w="177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354E7F9" w14:textId="77777777" w:rsidR="003F76A0" w:rsidRPr="003F76A0" w:rsidRDefault="003F76A0">
            <w:pPr>
              <w:pStyle w:val="BodyText"/>
              <w:keepNext/>
              <w:spacing w:before="120" w:after="120"/>
              <w:jc w:val="center"/>
              <w:rPr>
                <w:sz w:val="16"/>
                <w:szCs w:val="16"/>
              </w:rPr>
            </w:pPr>
            <w:r w:rsidRPr="003F76A0">
              <w:rPr>
                <w:b/>
                <w:bCs/>
                <w:sz w:val="16"/>
                <w:szCs w:val="16"/>
              </w:rPr>
              <w:t>Pre-COD (% of TPW)</w:t>
            </w:r>
          </w:p>
        </w:tc>
        <w:tc>
          <w:tcPr>
            <w:tcW w:w="176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B53E5A4" w14:textId="77777777" w:rsidR="003F76A0" w:rsidRPr="003F76A0" w:rsidRDefault="003F76A0">
            <w:pPr>
              <w:pStyle w:val="BodyText"/>
              <w:keepNext/>
              <w:spacing w:before="120" w:after="120"/>
              <w:jc w:val="center"/>
              <w:rPr>
                <w:b/>
                <w:bCs/>
                <w:sz w:val="16"/>
                <w:szCs w:val="16"/>
              </w:rPr>
            </w:pPr>
            <w:r w:rsidRPr="003F76A0">
              <w:rPr>
                <w:b/>
                <w:bCs/>
                <w:sz w:val="16"/>
                <w:szCs w:val="16"/>
              </w:rPr>
              <w:t>Post-COD (% of TPW)</w:t>
            </w:r>
          </w:p>
        </w:tc>
        <w:tc>
          <w:tcPr>
            <w:tcW w:w="21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9DA88A" w14:textId="0B35B9BC" w:rsidR="003F76A0" w:rsidRPr="003F76A0" w:rsidRDefault="003F76A0">
            <w:pPr>
              <w:pStyle w:val="Default"/>
              <w:jc w:val="center"/>
              <w:rPr>
                <w:sz w:val="16"/>
                <w:szCs w:val="16"/>
              </w:rPr>
            </w:pPr>
            <w:r w:rsidRPr="003F76A0">
              <w:rPr>
                <w:b/>
                <w:bCs/>
                <w:sz w:val="16"/>
                <w:szCs w:val="16"/>
              </w:rPr>
              <w:t>% of Total Project Workforce</w:t>
            </w:r>
          </w:p>
          <w:p w14:paraId="1757662A" w14:textId="77777777" w:rsidR="003F76A0" w:rsidRPr="003F76A0" w:rsidRDefault="003F76A0">
            <w:pPr>
              <w:pStyle w:val="BodyText"/>
              <w:keepNext/>
              <w:spacing w:before="120" w:after="120"/>
              <w:jc w:val="center"/>
              <w:rPr>
                <w:b/>
                <w:bCs/>
                <w:sz w:val="16"/>
                <w:szCs w:val="16"/>
              </w:rPr>
            </w:pPr>
          </w:p>
        </w:tc>
        <w:tc>
          <w:tcPr>
            <w:tcW w:w="445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EF71D4C" w14:textId="77777777" w:rsidR="003F76A0" w:rsidRPr="003F76A0" w:rsidRDefault="003F76A0">
            <w:pPr>
              <w:pStyle w:val="BodyText"/>
              <w:keepNext/>
              <w:spacing w:before="120" w:after="120"/>
              <w:jc w:val="center"/>
              <w:rPr>
                <w:b/>
                <w:bCs/>
                <w:sz w:val="16"/>
                <w:szCs w:val="16"/>
              </w:rPr>
            </w:pPr>
            <w:r w:rsidRPr="003F76A0">
              <w:rPr>
                <w:b/>
                <w:bCs/>
                <w:sz w:val="16"/>
                <w:szCs w:val="16"/>
              </w:rPr>
              <w:t>Timeframe</w:t>
            </w:r>
          </w:p>
        </w:tc>
      </w:tr>
      <w:tr w:rsidR="003F76A0" w:rsidRPr="003F76A0" w14:paraId="1622B18B" w14:textId="77777777" w:rsidTr="003F76A0">
        <w:trPr>
          <w:cantSplit/>
        </w:trPr>
        <w:tc>
          <w:tcPr>
            <w:tcW w:w="587" w:type="dxa"/>
            <w:tcBorders>
              <w:top w:val="single" w:sz="4" w:space="0" w:color="auto"/>
              <w:left w:val="single" w:sz="4" w:space="0" w:color="auto"/>
              <w:bottom w:val="single" w:sz="4" w:space="0" w:color="auto"/>
              <w:right w:val="single" w:sz="4" w:space="0" w:color="auto"/>
            </w:tcBorders>
            <w:vAlign w:val="center"/>
            <w:hideMark/>
          </w:tcPr>
          <w:p w14:paraId="5941C252" w14:textId="77777777" w:rsidR="003F76A0" w:rsidRPr="003F76A0" w:rsidRDefault="003F76A0">
            <w:pPr>
              <w:pStyle w:val="BodyText"/>
              <w:keepNext/>
              <w:spacing w:before="120" w:after="120"/>
              <w:jc w:val="center"/>
              <w:rPr>
                <w:color w:val="000000" w:themeColor="text1"/>
                <w:sz w:val="16"/>
                <w:szCs w:val="16"/>
              </w:rPr>
            </w:pPr>
            <w:r w:rsidRPr="003F76A0">
              <w:rPr>
                <w:color w:val="000000" w:themeColor="text1"/>
                <w:sz w:val="16"/>
                <w:szCs w:val="16"/>
              </w:rPr>
              <w:t>4</w:t>
            </w:r>
          </w:p>
        </w:tc>
        <w:tc>
          <w:tcPr>
            <w:tcW w:w="2260" w:type="dxa"/>
            <w:tcBorders>
              <w:top w:val="single" w:sz="4" w:space="0" w:color="auto"/>
              <w:left w:val="single" w:sz="4" w:space="0" w:color="auto"/>
              <w:bottom w:val="single" w:sz="4" w:space="0" w:color="auto"/>
              <w:right w:val="single" w:sz="4" w:space="0" w:color="auto"/>
            </w:tcBorders>
            <w:vAlign w:val="center"/>
            <w:hideMark/>
          </w:tcPr>
          <w:p w14:paraId="4AC89815" w14:textId="77777777" w:rsidR="003F76A0" w:rsidRPr="003F76A0" w:rsidRDefault="003F76A0">
            <w:pPr>
              <w:pStyle w:val="BodyText"/>
              <w:keepNext/>
              <w:spacing w:before="120" w:after="120"/>
              <w:jc w:val="center"/>
              <w:rPr>
                <w:color w:val="000000" w:themeColor="text1"/>
                <w:sz w:val="16"/>
                <w:szCs w:val="16"/>
              </w:rPr>
            </w:pPr>
            <w:r w:rsidRPr="003F76A0">
              <w:rPr>
                <w:color w:val="000000" w:themeColor="text1"/>
                <w:sz w:val="16"/>
                <w:szCs w:val="16"/>
              </w:rPr>
              <w:t>Learning Workers</w:t>
            </w:r>
          </w:p>
        </w:tc>
        <w:tc>
          <w:tcPr>
            <w:tcW w:w="1772" w:type="dxa"/>
            <w:tcBorders>
              <w:top w:val="single" w:sz="4" w:space="0" w:color="auto"/>
              <w:left w:val="single" w:sz="4" w:space="0" w:color="auto"/>
              <w:bottom w:val="single" w:sz="4" w:space="0" w:color="auto"/>
              <w:right w:val="single" w:sz="4" w:space="0" w:color="auto"/>
            </w:tcBorders>
            <w:vAlign w:val="center"/>
          </w:tcPr>
          <w:p w14:paraId="0C7F44BC" w14:textId="77777777" w:rsidR="003F76A0" w:rsidRPr="008F660B" w:rsidRDefault="003F76A0">
            <w:pPr>
              <w:pStyle w:val="BodyText"/>
              <w:keepNext/>
              <w:spacing w:before="120" w:after="120"/>
              <w:jc w:val="center"/>
              <w:rPr>
                <w:sz w:val="16"/>
                <w:szCs w:val="16"/>
              </w:rPr>
            </w:pPr>
          </w:p>
        </w:tc>
        <w:tc>
          <w:tcPr>
            <w:tcW w:w="1763" w:type="dxa"/>
            <w:tcBorders>
              <w:top w:val="single" w:sz="4" w:space="0" w:color="auto"/>
              <w:left w:val="single" w:sz="4" w:space="0" w:color="auto"/>
              <w:bottom w:val="single" w:sz="4" w:space="0" w:color="auto"/>
              <w:right w:val="single" w:sz="4" w:space="0" w:color="auto"/>
            </w:tcBorders>
            <w:vAlign w:val="center"/>
          </w:tcPr>
          <w:p w14:paraId="097C9161" w14:textId="77777777" w:rsidR="003F76A0" w:rsidRPr="008F660B" w:rsidRDefault="003F76A0">
            <w:pPr>
              <w:pStyle w:val="BodyText"/>
              <w:keepNext/>
              <w:spacing w:before="120" w:after="120"/>
              <w:jc w:val="center"/>
              <w:rPr>
                <w:sz w:val="16"/>
                <w:szCs w:val="16"/>
              </w:rPr>
            </w:pPr>
          </w:p>
        </w:tc>
        <w:tc>
          <w:tcPr>
            <w:tcW w:w="2162" w:type="dxa"/>
            <w:tcBorders>
              <w:top w:val="single" w:sz="4" w:space="0" w:color="auto"/>
              <w:left w:val="single" w:sz="4" w:space="0" w:color="auto"/>
              <w:bottom w:val="single" w:sz="4" w:space="0" w:color="auto"/>
              <w:right w:val="single" w:sz="4" w:space="0" w:color="auto"/>
            </w:tcBorders>
            <w:vAlign w:val="center"/>
          </w:tcPr>
          <w:p w14:paraId="0AE1E8BE" w14:textId="77777777" w:rsidR="003F76A0" w:rsidRPr="008F660B" w:rsidRDefault="003F76A0">
            <w:pPr>
              <w:pStyle w:val="BodyText"/>
              <w:keepNext/>
              <w:spacing w:before="120" w:after="120"/>
              <w:jc w:val="center"/>
              <w:rPr>
                <w:sz w:val="16"/>
                <w:szCs w:val="16"/>
              </w:rPr>
            </w:pPr>
          </w:p>
        </w:tc>
        <w:tc>
          <w:tcPr>
            <w:tcW w:w="4459" w:type="dxa"/>
            <w:vMerge w:val="restart"/>
            <w:tcBorders>
              <w:top w:val="single" w:sz="4" w:space="0" w:color="auto"/>
              <w:left w:val="single" w:sz="4" w:space="0" w:color="auto"/>
              <w:bottom w:val="single" w:sz="4" w:space="0" w:color="auto"/>
              <w:right w:val="single" w:sz="4" w:space="0" w:color="auto"/>
            </w:tcBorders>
            <w:hideMark/>
          </w:tcPr>
          <w:p w14:paraId="17AA84D6" w14:textId="498EA141" w:rsidR="003F76A0" w:rsidRPr="003F76A0" w:rsidRDefault="003F76A0">
            <w:pPr>
              <w:pStyle w:val="BodyText"/>
              <w:keepNext/>
              <w:spacing w:before="120" w:after="120"/>
              <w:rPr>
                <w:sz w:val="16"/>
                <w:szCs w:val="16"/>
              </w:rPr>
            </w:pPr>
            <w:r w:rsidRPr="003F76A0">
              <w:rPr>
                <w:sz w:val="16"/>
                <w:szCs w:val="16"/>
              </w:rPr>
              <w:t>Project Operator must achieve a minimum of 70% of the ‘% of Total Project Workforce’ commitment for each of the workforce categories by the end of the pre-COD period.</w:t>
            </w:r>
          </w:p>
          <w:p w14:paraId="03B6C7FC" w14:textId="6C69AA3C" w:rsidR="003F76A0" w:rsidRPr="003F76A0" w:rsidRDefault="003F76A0">
            <w:pPr>
              <w:pStyle w:val="BodyText"/>
              <w:keepNext/>
              <w:spacing w:before="120" w:after="120"/>
              <w:rPr>
                <w:sz w:val="16"/>
                <w:szCs w:val="16"/>
              </w:rPr>
            </w:pPr>
            <w:r w:rsidRPr="003F76A0">
              <w:rPr>
                <w:sz w:val="16"/>
                <w:szCs w:val="16"/>
              </w:rPr>
              <w:t>[</w:t>
            </w:r>
            <w:r w:rsidRPr="008F660B">
              <w:rPr>
                <w:b/>
                <w:bCs/>
                <w:i/>
                <w:iCs/>
                <w:sz w:val="16"/>
                <w:szCs w:val="16"/>
              </w:rPr>
              <w:t>Note: for example, for Learning Workers, if the ‘% of Total Project Workforce’ commitment is 20%, and Project Operator has not achieved a minimum of 14% by the end of Construction, Project Operator may be non compliant with the Learning Workers commitment.]</w:t>
            </w:r>
          </w:p>
        </w:tc>
      </w:tr>
      <w:tr w:rsidR="003F76A0" w:rsidRPr="003F76A0" w14:paraId="5C3156D0" w14:textId="77777777" w:rsidTr="003F76A0">
        <w:trPr>
          <w:cantSplit/>
        </w:trPr>
        <w:tc>
          <w:tcPr>
            <w:tcW w:w="587" w:type="dxa"/>
            <w:tcBorders>
              <w:top w:val="single" w:sz="4" w:space="0" w:color="auto"/>
              <w:left w:val="single" w:sz="4" w:space="0" w:color="auto"/>
              <w:bottom w:val="single" w:sz="4" w:space="0" w:color="auto"/>
              <w:right w:val="single" w:sz="4" w:space="0" w:color="auto"/>
            </w:tcBorders>
            <w:vAlign w:val="center"/>
            <w:hideMark/>
          </w:tcPr>
          <w:p w14:paraId="4C01CE4E" w14:textId="77777777" w:rsidR="003F76A0" w:rsidRPr="003F76A0" w:rsidRDefault="003F76A0">
            <w:pPr>
              <w:pStyle w:val="BodyText"/>
              <w:spacing w:before="120" w:after="120"/>
              <w:jc w:val="center"/>
              <w:rPr>
                <w:color w:val="000000" w:themeColor="text1"/>
                <w:sz w:val="16"/>
                <w:szCs w:val="16"/>
              </w:rPr>
            </w:pPr>
            <w:r w:rsidRPr="003F76A0">
              <w:rPr>
                <w:color w:val="000000" w:themeColor="text1"/>
                <w:sz w:val="16"/>
                <w:szCs w:val="16"/>
              </w:rPr>
              <w:t>5</w:t>
            </w:r>
          </w:p>
        </w:tc>
        <w:tc>
          <w:tcPr>
            <w:tcW w:w="2260" w:type="dxa"/>
            <w:tcBorders>
              <w:top w:val="single" w:sz="4" w:space="0" w:color="auto"/>
              <w:left w:val="single" w:sz="4" w:space="0" w:color="auto"/>
              <w:bottom w:val="single" w:sz="4" w:space="0" w:color="auto"/>
              <w:right w:val="single" w:sz="4" w:space="0" w:color="auto"/>
            </w:tcBorders>
            <w:vAlign w:val="center"/>
            <w:hideMark/>
          </w:tcPr>
          <w:p w14:paraId="7C5451A3" w14:textId="77777777" w:rsidR="003F76A0" w:rsidRPr="008F660B" w:rsidRDefault="003F76A0">
            <w:pPr>
              <w:pStyle w:val="BodyText"/>
              <w:spacing w:before="120" w:after="120"/>
              <w:jc w:val="center"/>
              <w:rPr>
                <w:color w:val="000000" w:themeColor="text1"/>
                <w:sz w:val="16"/>
                <w:szCs w:val="16"/>
              </w:rPr>
            </w:pPr>
            <w:r w:rsidRPr="008F660B">
              <w:rPr>
                <w:color w:val="000000" w:themeColor="text1"/>
                <w:sz w:val="16"/>
                <w:szCs w:val="16"/>
              </w:rPr>
              <w:t>Underrepresented Groups</w:t>
            </w:r>
          </w:p>
        </w:tc>
        <w:tc>
          <w:tcPr>
            <w:tcW w:w="1772" w:type="dxa"/>
            <w:tcBorders>
              <w:top w:val="single" w:sz="4" w:space="0" w:color="auto"/>
              <w:left w:val="single" w:sz="4" w:space="0" w:color="auto"/>
              <w:bottom w:val="single" w:sz="4" w:space="0" w:color="auto"/>
              <w:right w:val="single" w:sz="4" w:space="0" w:color="auto"/>
            </w:tcBorders>
            <w:vAlign w:val="center"/>
          </w:tcPr>
          <w:p w14:paraId="49CCC91C" w14:textId="77777777" w:rsidR="003F76A0" w:rsidRPr="008F660B" w:rsidRDefault="003F76A0">
            <w:pPr>
              <w:pStyle w:val="BodyText"/>
              <w:spacing w:before="120" w:after="120"/>
              <w:jc w:val="center"/>
              <w:rPr>
                <w:sz w:val="16"/>
                <w:szCs w:val="16"/>
              </w:rPr>
            </w:pPr>
          </w:p>
        </w:tc>
        <w:tc>
          <w:tcPr>
            <w:tcW w:w="1763" w:type="dxa"/>
            <w:tcBorders>
              <w:top w:val="single" w:sz="4" w:space="0" w:color="auto"/>
              <w:left w:val="single" w:sz="4" w:space="0" w:color="auto"/>
              <w:bottom w:val="single" w:sz="4" w:space="0" w:color="auto"/>
              <w:right w:val="single" w:sz="4" w:space="0" w:color="auto"/>
            </w:tcBorders>
            <w:vAlign w:val="center"/>
          </w:tcPr>
          <w:p w14:paraId="504C0A6B" w14:textId="77777777" w:rsidR="003F76A0" w:rsidRPr="008F660B" w:rsidRDefault="003F76A0">
            <w:pPr>
              <w:pStyle w:val="BodyText"/>
              <w:spacing w:before="120" w:after="120"/>
              <w:jc w:val="center"/>
              <w:rPr>
                <w:sz w:val="16"/>
                <w:szCs w:val="16"/>
              </w:rPr>
            </w:pPr>
          </w:p>
        </w:tc>
        <w:tc>
          <w:tcPr>
            <w:tcW w:w="2162" w:type="dxa"/>
            <w:tcBorders>
              <w:top w:val="single" w:sz="4" w:space="0" w:color="auto"/>
              <w:left w:val="single" w:sz="4" w:space="0" w:color="auto"/>
              <w:bottom w:val="single" w:sz="4" w:space="0" w:color="auto"/>
              <w:right w:val="single" w:sz="4" w:space="0" w:color="auto"/>
            </w:tcBorders>
            <w:vAlign w:val="center"/>
          </w:tcPr>
          <w:p w14:paraId="10387D25" w14:textId="77777777" w:rsidR="003F76A0" w:rsidRPr="008F660B" w:rsidRDefault="003F76A0">
            <w:pPr>
              <w:pStyle w:val="BodyText"/>
              <w:spacing w:before="120" w:after="120"/>
              <w:jc w:val="cente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25B8D9" w14:textId="77777777" w:rsidR="003F76A0" w:rsidRPr="003F76A0" w:rsidRDefault="003F76A0">
            <w:pPr>
              <w:rPr>
                <w:sz w:val="16"/>
                <w:szCs w:val="16"/>
              </w:rPr>
            </w:pPr>
          </w:p>
        </w:tc>
      </w:tr>
      <w:tr w:rsidR="003F76A0" w:rsidRPr="003F76A0" w14:paraId="072E9F47" w14:textId="77777777" w:rsidTr="003F76A0">
        <w:trPr>
          <w:cantSplit/>
        </w:trPr>
        <w:tc>
          <w:tcPr>
            <w:tcW w:w="587" w:type="dxa"/>
            <w:tcBorders>
              <w:top w:val="single" w:sz="4" w:space="0" w:color="auto"/>
              <w:left w:val="single" w:sz="4" w:space="0" w:color="auto"/>
              <w:bottom w:val="single" w:sz="4" w:space="0" w:color="auto"/>
              <w:right w:val="single" w:sz="4" w:space="0" w:color="auto"/>
            </w:tcBorders>
            <w:vAlign w:val="center"/>
            <w:hideMark/>
          </w:tcPr>
          <w:p w14:paraId="6BDC5EAC" w14:textId="77777777" w:rsidR="003F76A0" w:rsidRPr="003F76A0" w:rsidRDefault="003F76A0">
            <w:pPr>
              <w:pStyle w:val="BodyText"/>
              <w:spacing w:before="120" w:after="120"/>
              <w:jc w:val="center"/>
              <w:rPr>
                <w:color w:val="000000" w:themeColor="text1"/>
                <w:sz w:val="16"/>
                <w:szCs w:val="16"/>
              </w:rPr>
            </w:pPr>
            <w:r w:rsidRPr="003F76A0">
              <w:rPr>
                <w:color w:val="000000" w:themeColor="text1"/>
                <w:sz w:val="16"/>
                <w:szCs w:val="16"/>
              </w:rPr>
              <w:t>6</w:t>
            </w:r>
          </w:p>
        </w:tc>
        <w:tc>
          <w:tcPr>
            <w:tcW w:w="2260" w:type="dxa"/>
            <w:tcBorders>
              <w:top w:val="single" w:sz="4" w:space="0" w:color="auto"/>
              <w:left w:val="single" w:sz="4" w:space="0" w:color="auto"/>
              <w:bottom w:val="single" w:sz="4" w:space="0" w:color="auto"/>
              <w:right w:val="single" w:sz="4" w:space="0" w:color="auto"/>
            </w:tcBorders>
            <w:vAlign w:val="center"/>
            <w:hideMark/>
          </w:tcPr>
          <w:p w14:paraId="0028E905" w14:textId="77777777" w:rsidR="003F76A0" w:rsidRPr="008F660B" w:rsidRDefault="003F76A0">
            <w:pPr>
              <w:pStyle w:val="BodyText"/>
              <w:spacing w:before="120" w:after="120"/>
              <w:jc w:val="center"/>
              <w:rPr>
                <w:color w:val="000000" w:themeColor="text1"/>
                <w:sz w:val="16"/>
                <w:szCs w:val="16"/>
              </w:rPr>
            </w:pPr>
            <w:r w:rsidRPr="008F660B">
              <w:rPr>
                <w:color w:val="000000" w:themeColor="text1"/>
                <w:sz w:val="16"/>
                <w:szCs w:val="16"/>
              </w:rPr>
              <w:t>Local Workers</w:t>
            </w:r>
          </w:p>
        </w:tc>
        <w:tc>
          <w:tcPr>
            <w:tcW w:w="1772" w:type="dxa"/>
            <w:tcBorders>
              <w:top w:val="single" w:sz="4" w:space="0" w:color="auto"/>
              <w:left w:val="single" w:sz="4" w:space="0" w:color="auto"/>
              <w:bottom w:val="single" w:sz="4" w:space="0" w:color="auto"/>
              <w:right w:val="single" w:sz="4" w:space="0" w:color="auto"/>
            </w:tcBorders>
            <w:vAlign w:val="center"/>
          </w:tcPr>
          <w:p w14:paraId="3C801419" w14:textId="77777777" w:rsidR="003F76A0" w:rsidRPr="008F660B" w:rsidRDefault="003F76A0">
            <w:pPr>
              <w:pStyle w:val="BodyText"/>
              <w:spacing w:before="120" w:after="120"/>
              <w:jc w:val="center"/>
              <w:rPr>
                <w:sz w:val="16"/>
                <w:szCs w:val="16"/>
              </w:rPr>
            </w:pPr>
          </w:p>
        </w:tc>
        <w:tc>
          <w:tcPr>
            <w:tcW w:w="1763" w:type="dxa"/>
            <w:tcBorders>
              <w:top w:val="single" w:sz="4" w:space="0" w:color="auto"/>
              <w:left w:val="single" w:sz="4" w:space="0" w:color="auto"/>
              <w:bottom w:val="single" w:sz="4" w:space="0" w:color="auto"/>
              <w:right w:val="single" w:sz="4" w:space="0" w:color="auto"/>
            </w:tcBorders>
            <w:vAlign w:val="center"/>
          </w:tcPr>
          <w:p w14:paraId="188FCE2A" w14:textId="77777777" w:rsidR="003F76A0" w:rsidRPr="008F660B" w:rsidRDefault="003F76A0">
            <w:pPr>
              <w:pStyle w:val="BodyText"/>
              <w:spacing w:before="120" w:after="120"/>
              <w:jc w:val="center"/>
              <w:rPr>
                <w:sz w:val="16"/>
                <w:szCs w:val="16"/>
              </w:rPr>
            </w:pPr>
          </w:p>
        </w:tc>
        <w:tc>
          <w:tcPr>
            <w:tcW w:w="2162" w:type="dxa"/>
            <w:tcBorders>
              <w:top w:val="single" w:sz="4" w:space="0" w:color="auto"/>
              <w:left w:val="single" w:sz="4" w:space="0" w:color="auto"/>
              <w:bottom w:val="single" w:sz="4" w:space="0" w:color="auto"/>
              <w:right w:val="single" w:sz="4" w:space="0" w:color="auto"/>
            </w:tcBorders>
            <w:vAlign w:val="center"/>
          </w:tcPr>
          <w:p w14:paraId="5FE4E345" w14:textId="77777777" w:rsidR="003F76A0" w:rsidRPr="008F660B" w:rsidRDefault="003F76A0">
            <w:pPr>
              <w:pStyle w:val="BodyText"/>
              <w:spacing w:before="120" w:after="120"/>
              <w:jc w:val="cente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EFA8E1" w14:textId="77777777" w:rsidR="003F76A0" w:rsidRPr="003F76A0" w:rsidRDefault="003F76A0">
            <w:pPr>
              <w:rPr>
                <w:sz w:val="16"/>
                <w:szCs w:val="16"/>
              </w:rPr>
            </w:pPr>
          </w:p>
        </w:tc>
      </w:tr>
      <w:tr w:rsidR="003F76A0" w:rsidRPr="003F76A0" w14:paraId="13E388DC" w14:textId="77777777" w:rsidTr="003F76A0">
        <w:trPr>
          <w:cantSplit/>
        </w:trPr>
        <w:tc>
          <w:tcPr>
            <w:tcW w:w="587" w:type="dxa"/>
            <w:tcBorders>
              <w:top w:val="single" w:sz="4" w:space="0" w:color="auto"/>
              <w:left w:val="single" w:sz="4" w:space="0" w:color="auto"/>
              <w:bottom w:val="single" w:sz="4" w:space="0" w:color="auto"/>
              <w:right w:val="single" w:sz="4" w:space="0" w:color="auto"/>
            </w:tcBorders>
            <w:vAlign w:val="center"/>
            <w:hideMark/>
          </w:tcPr>
          <w:p w14:paraId="22A10AB0" w14:textId="77777777" w:rsidR="003F76A0" w:rsidRPr="003F76A0" w:rsidRDefault="003F76A0">
            <w:pPr>
              <w:pStyle w:val="BodyText"/>
              <w:spacing w:before="120" w:after="120"/>
              <w:jc w:val="center"/>
              <w:rPr>
                <w:color w:val="000000" w:themeColor="text1"/>
                <w:sz w:val="16"/>
                <w:szCs w:val="16"/>
              </w:rPr>
            </w:pPr>
            <w:r w:rsidRPr="003F76A0">
              <w:rPr>
                <w:color w:val="000000" w:themeColor="text1"/>
                <w:sz w:val="16"/>
                <w:szCs w:val="16"/>
              </w:rPr>
              <w:t>7</w:t>
            </w:r>
          </w:p>
        </w:tc>
        <w:tc>
          <w:tcPr>
            <w:tcW w:w="2260" w:type="dxa"/>
            <w:tcBorders>
              <w:top w:val="single" w:sz="4" w:space="0" w:color="auto"/>
              <w:left w:val="single" w:sz="4" w:space="0" w:color="auto"/>
              <w:bottom w:val="single" w:sz="4" w:space="0" w:color="auto"/>
              <w:right w:val="single" w:sz="4" w:space="0" w:color="auto"/>
            </w:tcBorders>
            <w:vAlign w:val="center"/>
            <w:hideMark/>
          </w:tcPr>
          <w:p w14:paraId="1723B5A4" w14:textId="77777777" w:rsidR="003F76A0" w:rsidRPr="003F76A0" w:rsidRDefault="003F76A0">
            <w:pPr>
              <w:pStyle w:val="BodyText"/>
              <w:spacing w:before="120" w:after="120"/>
              <w:jc w:val="center"/>
              <w:rPr>
                <w:color w:val="000000" w:themeColor="text1"/>
                <w:sz w:val="16"/>
                <w:szCs w:val="16"/>
              </w:rPr>
            </w:pPr>
            <w:r w:rsidRPr="003F76A0">
              <w:rPr>
                <w:color w:val="000000" w:themeColor="text1"/>
                <w:sz w:val="16"/>
                <w:szCs w:val="16"/>
              </w:rPr>
              <w:t>Women</w:t>
            </w:r>
          </w:p>
        </w:tc>
        <w:tc>
          <w:tcPr>
            <w:tcW w:w="1772" w:type="dxa"/>
            <w:tcBorders>
              <w:top w:val="single" w:sz="4" w:space="0" w:color="auto"/>
              <w:left w:val="single" w:sz="4" w:space="0" w:color="auto"/>
              <w:bottom w:val="single" w:sz="4" w:space="0" w:color="auto"/>
              <w:right w:val="single" w:sz="4" w:space="0" w:color="auto"/>
            </w:tcBorders>
            <w:vAlign w:val="center"/>
          </w:tcPr>
          <w:p w14:paraId="4FFC14CB" w14:textId="77777777" w:rsidR="003F76A0" w:rsidRPr="008F660B" w:rsidRDefault="003F76A0">
            <w:pPr>
              <w:pStyle w:val="BodyText"/>
              <w:spacing w:before="120" w:after="120"/>
              <w:jc w:val="center"/>
              <w:rPr>
                <w:sz w:val="16"/>
                <w:szCs w:val="16"/>
              </w:rPr>
            </w:pPr>
          </w:p>
        </w:tc>
        <w:tc>
          <w:tcPr>
            <w:tcW w:w="1763" w:type="dxa"/>
            <w:tcBorders>
              <w:top w:val="single" w:sz="4" w:space="0" w:color="auto"/>
              <w:left w:val="single" w:sz="4" w:space="0" w:color="auto"/>
              <w:bottom w:val="single" w:sz="4" w:space="0" w:color="auto"/>
              <w:right w:val="single" w:sz="4" w:space="0" w:color="auto"/>
            </w:tcBorders>
            <w:vAlign w:val="center"/>
          </w:tcPr>
          <w:p w14:paraId="14B67CC6" w14:textId="77777777" w:rsidR="003F76A0" w:rsidRPr="008F660B" w:rsidRDefault="003F76A0">
            <w:pPr>
              <w:pStyle w:val="BodyText"/>
              <w:spacing w:before="120" w:after="120"/>
              <w:jc w:val="center"/>
              <w:rPr>
                <w:sz w:val="16"/>
                <w:szCs w:val="16"/>
              </w:rPr>
            </w:pPr>
          </w:p>
        </w:tc>
        <w:tc>
          <w:tcPr>
            <w:tcW w:w="2162" w:type="dxa"/>
            <w:tcBorders>
              <w:top w:val="single" w:sz="4" w:space="0" w:color="auto"/>
              <w:left w:val="single" w:sz="4" w:space="0" w:color="auto"/>
              <w:bottom w:val="single" w:sz="4" w:space="0" w:color="auto"/>
              <w:right w:val="single" w:sz="4" w:space="0" w:color="auto"/>
            </w:tcBorders>
            <w:vAlign w:val="center"/>
          </w:tcPr>
          <w:p w14:paraId="37DD8748" w14:textId="77777777" w:rsidR="003F76A0" w:rsidRPr="008F660B" w:rsidRDefault="003F76A0">
            <w:pPr>
              <w:pStyle w:val="BodyText"/>
              <w:spacing w:before="120" w:after="120"/>
              <w:jc w:val="cente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9B9658" w14:textId="77777777" w:rsidR="003F76A0" w:rsidRPr="003F76A0" w:rsidRDefault="003F76A0">
            <w:pPr>
              <w:rPr>
                <w:sz w:val="16"/>
                <w:szCs w:val="16"/>
              </w:rPr>
            </w:pPr>
          </w:p>
        </w:tc>
      </w:tr>
      <w:tr w:rsidR="003F76A0" w:rsidRPr="003F76A0" w14:paraId="5BDEA74F" w14:textId="77777777" w:rsidTr="003F76A0">
        <w:trPr>
          <w:cantSplit/>
        </w:trPr>
        <w:tc>
          <w:tcPr>
            <w:tcW w:w="58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B062010" w14:textId="77777777" w:rsidR="003F76A0" w:rsidRPr="003F76A0" w:rsidRDefault="003F76A0">
            <w:pPr>
              <w:pStyle w:val="BodyText"/>
              <w:spacing w:before="120" w:after="120"/>
              <w:jc w:val="center"/>
              <w:rPr>
                <w:color w:val="000000" w:themeColor="text1"/>
                <w:sz w:val="16"/>
                <w:szCs w:val="16"/>
              </w:rPr>
            </w:pPr>
            <w:r w:rsidRPr="003F76A0">
              <w:rPr>
                <w:b/>
                <w:bCs/>
                <w:sz w:val="16"/>
                <w:szCs w:val="16"/>
              </w:rPr>
              <w:t>Row</w:t>
            </w:r>
          </w:p>
        </w:tc>
        <w:tc>
          <w:tcPr>
            <w:tcW w:w="2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508CBDF" w14:textId="77777777" w:rsidR="003F76A0" w:rsidRPr="003F76A0" w:rsidRDefault="003F76A0">
            <w:pPr>
              <w:pStyle w:val="BodyText"/>
              <w:spacing w:before="120" w:after="120"/>
              <w:jc w:val="center"/>
              <w:rPr>
                <w:color w:val="000000" w:themeColor="text1"/>
                <w:sz w:val="16"/>
                <w:szCs w:val="16"/>
              </w:rPr>
            </w:pPr>
            <w:r w:rsidRPr="003F76A0">
              <w:rPr>
                <w:b/>
                <w:bCs/>
                <w:sz w:val="16"/>
                <w:szCs w:val="16"/>
              </w:rPr>
              <w:t xml:space="preserve">Workforce category </w:t>
            </w:r>
            <w:r w:rsidRPr="008F660B">
              <w:rPr>
                <w:b/>
                <w:bCs/>
                <w:sz w:val="16"/>
                <w:szCs w:val="16"/>
              </w:rPr>
              <w:t>(Trades)</w:t>
            </w:r>
          </w:p>
        </w:tc>
        <w:tc>
          <w:tcPr>
            <w:tcW w:w="177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D81FD7B" w14:textId="77777777" w:rsidR="003F76A0" w:rsidRPr="003F76A0" w:rsidRDefault="003F76A0">
            <w:pPr>
              <w:pStyle w:val="BodyText"/>
              <w:spacing w:before="120" w:after="120"/>
              <w:jc w:val="center"/>
              <w:rPr>
                <w:sz w:val="16"/>
                <w:szCs w:val="16"/>
              </w:rPr>
            </w:pPr>
            <w:r w:rsidRPr="003F76A0">
              <w:rPr>
                <w:b/>
                <w:bCs/>
                <w:sz w:val="16"/>
                <w:szCs w:val="16"/>
              </w:rPr>
              <w:t>Pre-COD (% of TPW)</w:t>
            </w:r>
          </w:p>
        </w:tc>
        <w:tc>
          <w:tcPr>
            <w:tcW w:w="176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EE63EDD" w14:textId="77777777" w:rsidR="003F76A0" w:rsidRPr="003F76A0" w:rsidRDefault="003F76A0">
            <w:pPr>
              <w:pStyle w:val="BodyText"/>
              <w:spacing w:before="120" w:after="120"/>
              <w:jc w:val="center"/>
              <w:rPr>
                <w:sz w:val="16"/>
                <w:szCs w:val="16"/>
              </w:rPr>
            </w:pPr>
            <w:r w:rsidRPr="003F76A0">
              <w:rPr>
                <w:b/>
                <w:bCs/>
                <w:sz w:val="16"/>
                <w:szCs w:val="16"/>
              </w:rPr>
              <w:t>Post-COD (% of TPW)</w:t>
            </w:r>
          </w:p>
        </w:tc>
        <w:tc>
          <w:tcPr>
            <w:tcW w:w="21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2065C55" w14:textId="77777777" w:rsidR="003F76A0" w:rsidRPr="003F76A0" w:rsidRDefault="003F76A0">
            <w:pPr>
              <w:pStyle w:val="BodyText"/>
              <w:spacing w:before="120" w:after="120"/>
              <w:jc w:val="center"/>
              <w:rPr>
                <w:sz w:val="16"/>
                <w:szCs w:val="16"/>
              </w:rPr>
            </w:pPr>
            <w:r w:rsidRPr="003F76A0">
              <w:rPr>
                <w:b/>
                <w:bCs/>
                <w:sz w:val="16"/>
                <w:szCs w:val="16"/>
              </w:rPr>
              <w:t>% of total trades position</w:t>
            </w:r>
          </w:p>
        </w:tc>
        <w:tc>
          <w:tcPr>
            <w:tcW w:w="445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10FDA0" w14:textId="77777777" w:rsidR="003F76A0" w:rsidRPr="003F76A0" w:rsidRDefault="003F76A0">
            <w:pPr>
              <w:pStyle w:val="BodyText"/>
              <w:spacing w:before="120" w:after="120"/>
              <w:jc w:val="center"/>
              <w:rPr>
                <w:sz w:val="16"/>
                <w:szCs w:val="16"/>
              </w:rPr>
            </w:pPr>
            <w:r w:rsidRPr="003F76A0">
              <w:rPr>
                <w:b/>
                <w:bCs/>
                <w:sz w:val="16"/>
                <w:szCs w:val="16"/>
              </w:rPr>
              <w:t>Timeframe</w:t>
            </w:r>
          </w:p>
        </w:tc>
      </w:tr>
      <w:tr w:rsidR="003F76A0" w:rsidRPr="003F76A0" w14:paraId="3E8F9831" w14:textId="77777777" w:rsidTr="003F76A0">
        <w:trPr>
          <w:cantSplit/>
        </w:trPr>
        <w:tc>
          <w:tcPr>
            <w:tcW w:w="587" w:type="dxa"/>
            <w:tcBorders>
              <w:top w:val="single" w:sz="4" w:space="0" w:color="auto"/>
              <w:left w:val="single" w:sz="4" w:space="0" w:color="auto"/>
              <w:bottom w:val="single" w:sz="4" w:space="0" w:color="auto"/>
              <w:right w:val="single" w:sz="4" w:space="0" w:color="auto"/>
            </w:tcBorders>
            <w:vAlign w:val="center"/>
            <w:hideMark/>
          </w:tcPr>
          <w:p w14:paraId="07C566C8" w14:textId="77777777" w:rsidR="003F76A0" w:rsidRPr="003F76A0" w:rsidRDefault="003F76A0">
            <w:pPr>
              <w:pStyle w:val="BodyText"/>
              <w:spacing w:before="120" w:after="120"/>
              <w:jc w:val="center"/>
              <w:rPr>
                <w:color w:val="000000" w:themeColor="text1"/>
                <w:sz w:val="16"/>
                <w:szCs w:val="16"/>
              </w:rPr>
            </w:pPr>
            <w:r w:rsidRPr="003F76A0">
              <w:rPr>
                <w:color w:val="000000" w:themeColor="text1"/>
                <w:sz w:val="16"/>
                <w:szCs w:val="16"/>
              </w:rPr>
              <w:t>8</w:t>
            </w:r>
          </w:p>
        </w:tc>
        <w:tc>
          <w:tcPr>
            <w:tcW w:w="2260" w:type="dxa"/>
            <w:tcBorders>
              <w:top w:val="single" w:sz="4" w:space="0" w:color="auto"/>
              <w:left w:val="single" w:sz="4" w:space="0" w:color="auto"/>
              <w:bottom w:val="single" w:sz="4" w:space="0" w:color="auto"/>
              <w:right w:val="single" w:sz="4" w:space="0" w:color="auto"/>
            </w:tcBorders>
            <w:vAlign w:val="center"/>
            <w:hideMark/>
          </w:tcPr>
          <w:p w14:paraId="3B04BB68" w14:textId="77777777" w:rsidR="003F76A0" w:rsidRPr="003F76A0" w:rsidRDefault="003F76A0">
            <w:pPr>
              <w:pStyle w:val="BodyText"/>
              <w:spacing w:before="120" w:after="120"/>
              <w:jc w:val="center"/>
              <w:rPr>
                <w:color w:val="000000" w:themeColor="text1"/>
                <w:sz w:val="16"/>
                <w:szCs w:val="16"/>
              </w:rPr>
            </w:pPr>
            <w:r w:rsidRPr="003F76A0">
              <w:rPr>
                <w:color w:val="000000" w:themeColor="text1"/>
                <w:sz w:val="16"/>
                <w:szCs w:val="16"/>
              </w:rPr>
              <w:t>Apprentices</w:t>
            </w:r>
          </w:p>
        </w:tc>
        <w:tc>
          <w:tcPr>
            <w:tcW w:w="1772" w:type="dxa"/>
            <w:tcBorders>
              <w:top w:val="single" w:sz="4" w:space="0" w:color="auto"/>
              <w:left w:val="single" w:sz="4" w:space="0" w:color="auto"/>
              <w:bottom w:val="single" w:sz="4" w:space="0" w:color="auto"/>
              <w:right w:val="single" w:sz="4" w:space="0" w:color="auto"/>
            </w:tcBorders>
            <w:vAlign w:val="center"/>
          </w:tcPr>
          <w:p w14:paraId="3F9659D3" w14:textId="77777777" w:rsidR="003F76A0" w:rsidRPr="008F660B" w:rsidRDefault="003F76A0">
            <w:pPr>
              <w:pStyle w:val="BodyText"/>
              <w:spacing w:before="120" w:after="120"/>
              <w:jc w:val="center"/>
              <w:rPr>
                <w:sz w:val="16"/>
                <w:szCs w:val="16"/>
              </w:rPr>
            </w:pPr>
          </w:p>
        </w:tc>
        <w:tc>
          <w:tcPr>
            <w:tcW w:w="1763" w:type="dxa"/>
            <w:tcBorders>
              <w:top w:val="single" w:sz="4" w:space="0" w:color="auto"/>
              <w:left w:val="single" w:sz="4" w:space="0" w:color="auto"/>
              <w:bottom w:val="single" w:sz="4" w:space="0" w:color="auto"/>
              <w:right w:val="single" w:sz="4" w:space="0" w:color="auto"/>
            </w:tcBorders>
            <w:vAlign w:val="center"/>
          </w:tcPr>
          <w:p w14:paraId="0600D3B7" w14:textId="77777777" w:rsidR="003F76A0" w:rsidRPr="008F660B" w:rsidRDefault="003F76A0">
            <w:pPr>
              <w:pStyle w:val="BodyText"/>
              <w:spacing w:before="120" w:after="120"/>
              <w:jc w:val="center"/>
              <w:rPr>
                <w:sz w:val="16"/>
                <w:szCs w:val="16"/>
              </w:rPr>
            </w:pPr>
          </w:p>
        </w:tc>
        <w:tc>
          <w:tcPr>
            <w:tcW w:w="2162" w:type="dxa"/>
            <w:tcBorders>
              <w:top w:val="single" w:sz="4" w:space="0" w:color="auto"/>
              <w:left w:val="single" w:sz="4" w:space="0" w:color="auto"/>
              <w:bottom w:val="single" w:sz="4" w:space="0" w:color="auto"/>
              <w:right w:val="single" w:sz="4" w:space="0" w:color="auto"/>
            </w:tcBorders>
            <w:vAlign w:val="center"/>
          </w:tcPr>
          <w:p w14:paraId="68C6C1B6" w14:textId="77777777" w:rsidR="003F76A0" w:rsidRPr="008F660B" w:rsidRDefault="003F76A0">
            <w:pPr>
              <w:pStyle w:val="BodyText"/>
              <w:spacing w:before="120" w:after="120"/>
              <w:jc w:val="center"/>
              <w:rPr>
                <w:sz w:val="16"/>
                <w:szCs w:val="16"/>
              </w:rPr>
            </w:pPr>
          </w:p>
        </w:tc>
        <w:tc>
          <w:tcPr>
            <w:tcW w:w="4459" w:type="dxa"/>
            <w:vMerge w:val="restart"/>
            <w:tcBorders>
              <w:top w:val="single" w:sz="4" w:space="0" w:color="auto"/>
              <w:left w:val="single" w:sz="4" w:space="0" w:color="auto"/>
              <w:bottom w:val="single" w:sz="4" w:space="0" w:color="auto"/>
              <w:right w:val="single" w:sz="4" w:space="0" w:color="auto"/>
            </w:tcBorders>
            <w:hideMark/>
          </w:tcPr>
          <w:p w14:paraId="2C023FBB" w14:textId="77777777" w:rsidR="003F76A0" w:rsidRPr="003F76A0" w:rsidRDefault="003F76A0">
            <w:pPr>
              <w:pStyle w:val="BodyText"/>
              <w:spacing w:before="120" w:after="120"/>
              <w:rPr>
                <w:sz w:val="16"/>
                <w:szCs w:val="16"/>
              </w:rPr>
            </w:pPr>
            <w:r w:rsidRPr="003F76A0">
              <w:rPr>
                <w:sz w:val="16"/>
                <w:szCs w:val="16"/>
              </w:rPr>
              <w:t>Project Operator must achieve a minimum of 70% of the ‘% of total trades positions’ commitment for each of the workforce categories by the end of the pre-COD period.</w:t>
            </w:r>
          </w:p>
          <w:p w14:paraId="6D53AFE3" w14:textId="77777777" w:rsidR="003F76A0" w:rsidRPr="003F76A0" w:rsidRDefault="003F76A0">
            <w:pPr>
              <w:pStyle w:val="BodyText"/>
              <w:spacing w:before="120" w:after="120"/>
              <w:rPr>
                <w:sz w:val="16"/>
                <w:szCs w:val="16"/>
              </w:rPr>
            </w:pPr>
            <w:r w:rsidRPr="003F76A0">
              <w:rPr>
                <w:sz w:val="16"/>
                <w:szCs w:val="16"/>
              </w:rPr>
              <w:t>[</w:t>
            </w:r>
            <w:r w:rsidRPr="008F660B">
              <w:rPr>
                <w:b/>
                <w:bCs/>
                <w:i/>
                <w:iCs/>
                <w:sz w:val="16"/>
                <w:szCs w:val="16"/>
              </w:rPr>
              <w:t>Note: for example, for Apprentices, if the ‘% of total trades positions’ commitment is 20%, and Project Operator has not achieved a minimum of 14% by the end of Construction, Project Operator may be non compliant with the Apprentices commitment.</w:t>
            </w:r>
            <w:r w:rsidRPr="003F76A0">
              <w:rPr>
                <w:sz w:val="16"/>
                <w:szCs w:val="16"/>
              </w:rPr>
              <w:t>]</w:t>
            </w:r>
          </w:p>
        </w:tc>
      </w:tr>
      <w:tr w:rsidR="003F76A0" w:rsidRPr="003F76A0" w14:paraId="0AE8F9E0" w14:textId="77777777" w:rsidTr="003F76A0">
        <w:trPr>
          <w:cantSplit/>
        </w:trPr>
        <w:tc>
          <w:tcPr>
            <w:tcW w:w="587" w:type="dxa"/>
            <w:tcBorders>
              <w:top w:val="single" w:sz="4" w:space="0" w:color="auto"/>
              <w:left w:val="single" w:sz="4" w:space="0" w:color="auto"/>
              <w:bottom w:val="single" w:sz="4" w:space="0" w:color="auto"/>
              <w:right w:val="single" w:sz="4" w:space="0" w:color="auto"/>
            </w:tcBorders>
            <w:vAlign w:val="center"/>
            <w:hideMark/>
          </w:tcPr>
          <w:p w14:paraId="25CE6C0A" w14:textId="77777777" w:rsidR="003F76A0" w:rsidRPr="003F76A0" w:rsidRDefault="003F76A0">
            <w:pPr>
              <w:pStyle w:val="BodyText"/>
              <w:spacing w:before="120" w:after="120"/>
              <w:jc w:val="center"/>
              <w:rPr>
                <w:color w:val="000000" w:themeColor="text1"/>
                <w:sz w:val="16"/>
                <w:szCs w:val="16"/>
              </w:rPr>
            </w:pPr>
            <w:r w:rsidRPr="003F76A0">
              <w:rPr>
                <w:color w:val="000000" w:themeColor="text1"/>
                <w:sz w:val="16"/>
                <w:szCs w:val="16"/>
              </w:rPr>
              <w:t>9</w:t>
            </w:r>
          </w:p>
        </w:tc>
        <w:tc>
          <w:tcPr>
            <w:tcW w:w="2260" w:type="dxa"/>
            <w:tcBorders>
              <w:top w:val="single" w:sz="4" w:space="0" w:color="auto"/>
              <w:left w:val="single" w:sz="4" w:space="0" w:color="auto"/>
              <w:bottom w:val="single" w:sz="4" w:space="0" w:color="auto"/>
              <w:right w:val="single" w:sz="4" w:space="0" w:color="auto"/>
            </w:tcBorders>
            <w:vAlign w:val="center"/>
            <w:hideMark/>
          </w:tcPr>
          <w:p w14:paraId="7B13861C" w14:textId="77777777" w:rsidR="003F76A0" w:rsidRPr="003F76A0" w:rsidRDefault="003F76A0">
            <w:pPr>
              <w:pStyle w:val="BodyText"/>
              <w:spacing w:before="120" w:after="120"/>
              <w:jc w:val="center"/>
              <w:rPr>
                <w:color w:val="000000" w:themeColor="text1"/>
                <w:sz w:val="16"/>
                <w:szCs w:val="16"/>
              </w:rPr>
            </w:pPr>
            <w:r w:rsidRPr="003F76A0">
              <w:rPr>
                <w:color w:val="000000" w:themeColor="text1"/>
                <w:sz w:val="16"/>
                <w:szCs w:val="16"/>
              </w:rPr>
              <w:t>Local Trades</w:t>
            </w:r>
          </w:p>
        </w:tc>
        <w:tc>
          <w:tcPr>
            <w:tcW w:w="1772" w:type="dxa"/>
            <w:tcBorders>
              <w:top w:val="single" w:sz="4" w:space="0" w:color="auto"/>
              <w:left w:val="single" w:sz="4" w:space="0" w:color="auto"/>
              <w:bottom w:val="single" w:sz="4" w:space="0" w:color="auto"/>
              <w:right w:val="single" w:sz="4" w:space="0" w:color="auto"/>
            </w:tcBorders>
            <w:vAlign w:val="center"/>
          </w:tcPr>
          <w:p w14:paraId="370CCF24" w14:textId="77777777" w:rsidR="003F76A0" w:rsidRPr="008F660B" w:rsidRDefault="003F76A0">
            <w:pPr>
              <w:pStyle w:val="BodyText"/>
              <w:spacing w:before="120" w:after="120"/>
              <w:jc w:val="center"/>
              <w:rPr>
                <w:sz w:val="16"/>
                <w:szCs w:val="16"/>
              </w:rPr>
            </w:pPr>
          </w:p>
        </w:tc>
        <w:tc>
          <w:tcPr>
            <w:tcW w:w="1763" w:type="dxa"/>
            <w:tcBorders>
              <w:top w:val="single" w:sz="4" w:space="0" w:color="auto"/>
              <w:left w:val="single" w:sz="4" w:space="0" w:color="auto"/>
              <w:bottom w:val="single" w:sz="4" w:space="0" w:color="auto"/>
              <w:right w:val="single" w:sz="4" w:space="0" w:color="auto"/>
            </w:tcBorders>
            <w:vAlign w:val="center"/>
          </w:tcPr>
          <w:p w14:paraId="0173725F" w14:textId="77777777" w:rsidR="003F76A0" w:rsidRPr="008F660B" w:rsidRDefault="003F76A0">
            <w:pPr>
              <w:pStyle w:val="BodyText"/>
              <w:spacing w:before="120" w:after="120"/>
              <w:jc w:val="center"/>
              <w:rPr>
                <w:sz w:val="16"/>
                <w:szCs w:val="16"/>
              </w:rPr>
            </w:pPr>
          </w:p>
        </w:tc>
        <w:tc>
          <w:tcPr>
            <w:tcW w:w="2162" w:type="dxa"/>
            <w:tcBorders>
              <w:top w:val="single" w:sz="4" w:space="0" w:color="auto"/>
              <w:left w:val="single" w:sz="4" w:space="0" w:color="auto"/>
              <w:bottom w:val="single" w:sz="4" w:space="0" w:color="auto"/>
              <w:right w:val="single" w:sz="4" w:space="0" w:color="auto"/>
            </w:tcBorders>
            <w:vAlign w:val="center"/>
          </w:tcPr>
          <w:p w14:paraId="44F75544" w14:textId="77777777" w:rsidR="003F76A0" w:rsidRPr="008F660B" w:rsidRDefault="003F76A0">
            <w:pPr>
              <w:pStyle w:val="BodyText"/>
              <w:spacing w:before="120" w:after="120"/>
              <w:jc w:val="cente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8EF8BB" w14:textId="77777777" w:rsidR="003F76A0" w:rsidRPr="003F76A0" w:rsidRDefault="003F76A0">
            <w:pPr>
              <w:rPr>
                <w:sz w:val="16"/>
                <w:szCs w:val="16"/>
              </w:rPr>
            </w:pPr>
          </w:p>
        </w:tc>
      </w:tr>
      <w:tr w:rsidR="003F76A0" w:rsidRPr="003F76A0" w14:paraId="607FEE62" w14:textId="77777777" w:rsidTr="003F76A0">
        <w:trPr>
          <w:cantSplit/>
        </w:trPr>
        <w:tc>
          <w:tcPr>
            <w:tcW w:w="587" w:type="dxa"/>
            <w:tcBorders>
              <w:top w:val="single" w:sz="4" w:space="0" w:color="auto"/>
              <w:left w:val="single" w:sz="4" w:space="0" w:color="auto"/>
              <w:bottom w:val="single" w:sz="4" w:space="0" w:color="auto"/>
              <w:right w:val="single" w:sz="4" w:space="0" w:color="auto"/>
            </w:tcBorders>
            <w:vAlign w:val="center"/>
            <w:hideMark/>
          </w:tcPr>
          <w:p w14:paraId="26C6B4FB" w14:textId="77777777" w:rsidR="003F76A0" w:rsidRPr="003F76A0" w:rsidRDefault="003F76A0">
            <w:pPr>
              <w:pStyle w:val="BodyText"/>
              <w:spacing w:before="120" w:after="120"/>
              <w:jc w:val="center"/>
              <w:rPr>
                <w:color w:val="000000" w:themeColor="text1"/>
                <w:sz w:val="16"/>
                <w:szCs w:val="16"/>
              </w:rPr>
            </w:pPr>
            <w:r w:rsidRPr="003F76A0">
              <w:rPr>
                <w:color w:val="000000" w:themeColor="text1"/>
                <w:sz w:val="16"/>
                <w:szCs w:val="16"/>
              </w:rPr>
              <w:t>10</w:t>
            </w:r>
          </w:p>
        </w:tc>
        <w:tc>
          <w:tcPr>
            <w:tcW w:w="2260" w:type="dxa"/>
            <w:tcBorders>
              <w:top w:val="single" w:sz="4" w:space="0" w:color="auto"/>
              <w:left w:val="single" w:sz="4" w:space="0" w:color="auto"/>
              <w:bottom w:val="single" w:sz="4" w:space="0" w:color="auto"/>
              <w:right w:val="single" w:sz="4" w:space="0" w:color="auto"/>
            </w:tcBorders>
            <w:vAlign w:val="center"/>
            <w:hideMark/>
          </w:tcPr>
          <w:p w14:paraId="3019DA46" w14:textId="77777777" w:rsidR="003F76A0" w:rsidRPr="003F76A0" w:rsidRDefault="003F76A0">
            <w:pPr>
              <w:pStyle w:val="BodyText"/>
              <w:spacing w:before="120" w:after="120"/>
              <w:jc w:val="center"/>
              <w:rPr>
                <w:color w:val="000000" w:themeColor="text1"/>
                <w:sz w:val="16"/>
                <w:szCs w:val="16"/>
              </w:rPr>
            </w:pPr>
            <w:r w:rsidRPr="003F76A0">
              <w:rPr>
                <w:color w:val="000000" w:themeColor="text1"/>
                <w:sz w:val="16"/>
                <w:szCs w:val="16"/>
              </w:rPr>
              <w:t>Women in Trades</w:t>
            </w:r>
          </w:p>
        </w:tc>
        <w:tc>
          <w:tcPr>
            <w:tcW w:w="1772" w:type="dxa"/>
            <w:tcBorders>
              <w:top w:val="single" w:sz="4" w:space="0" w:color="auto"/>
              <w:left w:val="single" w:sz="4" w:space="0" w:color="auto"/>
              <w:bottom w:val="single" w:sz="4" w:space="0" w:color="auto"/>
              <w:right w:val="single" w:sz="4" w:space="0" w:color="auto"/>
            </w:tcBorders>
            <w:vAlign w:val="center"/>
          </w:tcPr>
          <w:p w14:paraId="6AD78824" w14:textId="77777777" w:rsidR="003F76A0" w:rsidRPr="008F660B" w:rsidRDefault="003F76A0">
            <w:pPr>
              <w:pStyle w:val="BodyText"/>
              <w:spacing w:before="120" w:after="120"/>
              <w:jc w:val="center"/>
              <w:rPr>
                <w:sz w:val="16"/>
                <w:szCs w:val="16"/>
              </w:rPr>
            </w:pPr>
          </w:p>
        </w:tc>
        <w:tc>
          <w:tcPr>
            <w:tcW w:w="1763" w:type="dxa"/>
            <w:tcBorders>
              <w:top w:val="single" w:sz="4" w:space="0" w:color="auto"/>
              <w:left w:val="single" w:sz="4" w:space="0" w:color="auto"/>
              <w:bottom w:val="single" w:sz="4" w:space="0" w:color="auto"/>
              <w:right w:val="single" w:sz="4" w:space="0" w:color="auto"/>
            </w:tcBorders>
            <w:vAlign w:val="center"/>
          </w:tcPr>
          <w:p w14:paraId="698ECFAD" w14:textId="77777777" w:rsidR="003F76A0" w:rsidRPr="008F660B" w:rsidRDefault="003F76A0">
            <w:pPr>
              <w:pStyle w:val="BodyText"/>
              <w:spacing w:before="120" w:after="120"/>
              <w:jc w:val="center"/>
              <w:rPr>
                <w:sz w:val="16"/>
                <w:szCs w:val="16"/>
              </w:rPr>
            </w:pPr>
          </w:p>
        </w:tc>
        <w:tc>
          <w:tcPr>
            <w:tcW w:w="2162" w:type="dxa"/>
            <w:tcBorders>
              <w:top w:val="single" w:sz="4" w:space="0" w:color="auto"/>
              <w:left w:val="single" w:sz="4" w:space="0" w:color="auto"/>
              <w:bottom w:val="single" w:sz="4" w:space="0" w:color="auto"/>
              <w:right w:val="single" w:sz="4" w:space="0" w:color="auto"/>
            </w:tcBorders>
            <w:vAlign w:val="center"/>
          </w:tcPr>
          <w:p w14:paraId="26C210C4" w14:textId="77777777" w:rsidR="003F76A0" w:rsidRPr="008F660B" w:rsidRDefault="003F76A0">
            <w:pPr>
              <w:pStyle w:val="BodyText"/>
              <w:spacing w:before="120" w:after="120"/>
              <w:jc w:val="cente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09FEC6" w14:textId="77777777" w:rsidR="003F76A0" w:rsidRPr="003F76A0" w:rsidRDefault="003F76A0">
            <w:pPr>
              <w:rPr>
                <w:sz w:val="16"/>
                <w:szCs w:val="16"/>
              </w:rPr>
            </w:pPr>
          </w:p>
        </w:tc>
      </w:tr>
      <w:tr w:rsidR="003F76A0" w:rsidRPr="003F76A0" w14:paraId="678B86D6" w14:textId="77777777" w:rsidTr="003F76A0">
        <w:trPr>
          <w:cantSplit/>
        </w:trPr>
        <w:tc>
          <w:tcPr>
            <w:tcW w:w="58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6E91A91" w14:textId="77777777" w:rsidR="003F76A0" w:rsidRPr="003F76A0" w:rsidRDefault="003F76A0">
            <w:pPr>
              <w:pStyle w:val="BodyText"/>
              <w:spacing w:before="120" w:after="120"/>
              <w:jc w:val="center"/>
              <w:rPr>
                <w:color w:val="000000" w:themeColor="text1"/>
                <w:sz w:val="16"/>
                <w:szCs w:val="16"/>
              </w:rPr>
            </w:pPr>
            <w:r w:rsidRPr="003F76A0">
              <w:rPr>
                <w:b/>
                <w:bCs/>
                <w:sz w:val="16"/>
                <w:szCs w:val="16"/>
              </w:rPr>
              <w:t>Row</w:t>
            </w:r>
          </w:p>
        </w:tc>
        <w:tc>
          <w:tcPr>
            <w:tcW w:w="226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7ACF4E8" w14:textId="77777777" w:rsidR="003F76A0" w:rsidRPr="003F76A0" w:rsidRDefault="003F76A0">
            <w:pPr>
              <w:pStyle w:val="BodyText"/>
              <w:spacing w:before="120" w:after="120"/>
              <w:jc w:val="center"/>
              <w:rPr>
                <w:b/>
                <w:bCs/>
                <w:sz w:val="16"/>
                <w:szCs w:val="16"/>
              </w:rPr>
            </w:pPr>
            <w:r w:rsidRPr="003F76A0">
              <w:rPr>
                <w:b/>
                <w:bCs/>
                <w:sz w:val="16"/>
                <w:szCs w:val="16"/>
              </w:rPr>
              <w:t>Workforce category</w:t>
            </w:r>
          </w:p>
          <w:p w14:paraId="213C4605" w14:textId="77777777" w:rsidR="003F76A0" w:rsidRPr="003F76A0" w:rsidRDefault="003F76A0">
            <w:pPr>
              <w:pStyle w:val="BodyText"/>
              <w:spacing w:before="120" w:after="120"/>
              <w:jc w:val="center"/>
              <w:rPr>
                <w:color w:val="000000" w:themeColor="text1"/>
                <w:sz w:val="16"/>
                <w:szCs w:val="16"/>
              </w:rPr>
            </w:pPr>
            <w:r w:rsidRPr="008F660B">
              <w:rPr>
                <w:b/>
                <w:bCs/>
                <w:color w:val="000000" w:themeColor="text1"/>
                <w:sz w:val="16"/>
                <w:szCs w:val="16"/>
              </w:rPr>
              <w:t>(Women Apprentice Targets)</w:t>
            </w:r>
          </w:p>
        </w:tc>
        <w:tc>
          <w:tcPr>
            <w:tcW w:w="177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056EA36" w14:textId="77777777" w:rsidR="003F76A0" w:rsidRPr="003F76A0" w:rsidRDefault="003F76A0">
            <w:pPr>
              <w:pStyle w:val="BodyText"/>
              <w:spacing w:before="120" w:after="120"/>
              <w:jc w:val="center"/>
              <w:rPr>
                <w:sz w:val="16"/>
                <w:szCs w:val="16"/>
              </w:rPr>
            </w:pPr>
            <w:r w:rsidRPr="003F76A0">
              <w:rPr>
                <w:b/>
                <w:bCs/>
                <w:sz w:val="16"/>
                <w:szCs w:val="16"/>
              </w:rPr>
              <w:t>Pre-COD (% of TPW)</w:t>
            </w:r>
          </w:p>
        </w:tc>
        <w:tc>
          <w:tcPr>
            <w:tcW w:w="176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163DC87" w14:textId="77777777" w:rsidR="003F76A0" w:rsidRPr="003F76A0" w:rsidRDefault="003F76A0">
            <w:pPr>
              <w:pStyle w:val="BodyText"/>
              <w:spacing w:before="120" w:after="120"/>
              <w:jc w:val="center"/>
              <w:rPr>
                <w:sz w:val="16"/>
                <w:szCs w:val="16"/>
              </w:rPr>
            </w:pPr>
            <w:r w:rsidRPr="003F76A0">
              <w:rPr>
                <w:b/>
                <w:bCs/>
                <w:sz w:val="16"/>
                <w:szCs w:val="16"/>
              </w:rPr>
              <w:t>Post-COD (% of TPW)</w:t>
            </w:r>
          </w:p>
        </w:tc>
        <w:tc>
          <w:tcPr>
            <w:tcW w:w="216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F1008C0" w14:textId="77777777" w:rsidR="003F76A0" w:rsidRPr="003F76A0" w:rsidRDefault="003F76A0">
            <w:pPr>
              <w:pStyle w:val="BodyText"/>
              <w:spacing w:before="120" w:after="120"/>
              <w:jc w:val="center"/>
              <w:rPr>
                <w:sz w:val="16"/>
                <w:szCs w:val="16"/>
              </w:rPr>
            </w:pPr>
            <w:r w:rsidRPr="003F76A0">
              <w:rPr>
                <w:b/>
                <w:bCs/>
                <w:sz w:val="16"/>
                <w:szCs w:val="16"/>
              </w:rPr>
              <w:t>% of relevant metric</w:t>
            </w:r>
          </w:p>
        </w:tc>
        <w:tc>
          <w:tcPr>
            <w:tcW w:w="445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52C8232" w14:textId="77777777" w:rsidR="003F76A0" w:rsidRPr="003F76A0" w:rsidRDefault="003F76A0">
            <w:pPr>
              <w:pStyle w:val="BodyText"/>
              <w:spacing w:before="120" w:after="120"/>
              <w:jc w:val="center"/>
              <w:rPr>
                <w:sz w:val="16"/>
                <w:szCs w:val="16"/>
              </w:rPr>
            </w:pPr>
            <w:r w:rsidRPr="003F76A0">
              <w:rPr>
                <w:b/>
                <w:bCs/>
                <w:sz w:val="16"/>
                <w:szCs w:val="16"/>
              </w:rPr>
              <w:t>Timeframe</w:t>
            </w:r>
          </w:p>
        </w:tc>
      </w:tr>
      <w:tr w:rsidR="003F76A0" w:rsidRPr="003F76A0" w14:paraId="671E2125" w14:textId="77777777" w:rsidTr="003F76A0">
        <w:trPr>
          <w:cantSplit/>
        </w:trPr>
        <w:tc>
          <w:tcPr>
            <w:tcW w:w="587" w:type="dxa"/>
            <w:tcBorders>
              <w:top w:val="single" w:sz="4" w:space="0" w:color="auto"/>
              <w:left w:val="single" w:sz="4" w:space="0" w:color="auto"/>
              <w:bottom w:val="single" w:sz="4" w:space="0" w:color="auto"/>
              <w:right w:val="single" w:sz="4" w:space="0" w:color="auto"/>
            </w:tcBorders>
            <w:vAlign w:val="center"/>
            <w:hideMark/>
          </w:tcPr>
          <w:p w14:paraId="6EC0B54D" w14:textId="77777777" w:rsidR="003F76A0" w:rsidRPr="003F76A0" w:rsidRDefault="003F76A0">
            <w:pPr>
              <w:pStyle w:val="BodyText"/>
              <w:spacing w:before="120" w:after="120"/>
              <w:jc w:val="center"/>
              <w:rPr>
                <w:color w:val="000000" w:themeColor="text1"/>
                <w:sz w:val="16"/>
                <w:szCs w:val="16"/>
              </w:rPr>
            </w:pPr>
            <w:r w:rsidRPr="003F76A0">
              <w:rPr>
                <w:color w:val="000000" w:themeColor="text1"/>
                <w:sz w:val="16"/>
                <w:szCs w:val="16"/>
              </w:rPr>
              <w:t>11</w:t>
            </w:r>
          </w:p>
        </w:tc>
        <w:tc>
          <w:tcPr>
            <w:tcW w:w="2260" w:type="dxa"/>
            <w:tcBorders>
              <w:top w:val="single" w:sz="4" w:space="0" w:color="auto"/>
              <w:left w:val="single" w:sz="4" w:space="0" w:color="auto"/>
              <w:bottom w:val="single" w:sz="4" w:space="0" w:color="auto"/>
              <w:right w:val="single" w:sz="4" w:space="0" w:color="auto"/>
            </w:tcBorders>
            <w:vAlign w:val="center"/>
            <w:hideMark/>
          </w:tcPr>
          <w:p w14:paraId="71F84AF3" w14:textId="77777777" w:rsidR="003F76A0" w:rsidRPr="003F76A0" w:rsidRDefault="003F76A0">
            <w:pPr>
              <w:pStyle w:val="BodyText"/>
              <w:spacing w:before="120" w:after="120"/>
              <w:jc w:val="center"/>
              <w:rPr>
                <w:color w:val="000000" w:themeColor="text1"/>
                <w:sz w:val="16"/>
                <w:szCs w:val="16"/>
              </w:rPr>
            </w:pPr>
            <w:r w:rsidRPr="003F76A0">
              <w:rPr>
                <w:color w:val="000000" w:themeColor="text1"/>
                <w:sz w:val="16"/>
                <w:szCs w:val="16"/>
              </w:rPr>
              <w:t>Overarching Apprentice Target for Women</w:t>
            </w:r>
          </w:p>
        </w:tc>
        <w:tc>
          <w:tcPr>
            <w:tcW w:w="1772" w:type="dxa"/>
            <w:tcBorders>
              <w:top w:val="single" w:sz="4" w:space="0" w:color="auto"/>
              <w:left w:val="single" w:sz="4" w:space="0" w:color="auto"/>
              <w:bottom w:val="single" w:sz="4" w:space="0" w:color="auto"/>
              <w:right w:val="single" w:sz="4" w:space="0" w:color="auto"/>
            </w:tcBorders>
            <w:vAlign w:val="center"/>
          </w:tcPr>
          <w:p w14:paraId="5D602F68" w14:textId="77777777" w:rsidR="003F76A0" w:rsidRPr="008F660B" w:rsidRDefault="003F76A0">
            <w:pPr>
              <w:pStyle w:val="BodyText"/>
              <w:spacing w:before="120" w:after="120"/>
              <w:jc w:val="center"/>
              <w:rPr>
                <w:sz w:val="16"/>
                <w:szCs w:val="16"/>
              </w:rPr>
            </w:pPr>
          </w:p>
        </w:tc>
        <w:tc>
          <w:tcPr>
            <w:tcW w:w="1763" w:type="dxa"/>
            <w:tcBorders>
              <w:top w:val="single" w:sz="4" w:space="0" w:color="auto"/>
              <w:left w:val="single" w:sz="4" w:space="0" w:color="auto"/>
              <w:bottom w:val="single" w:sz="4" w:space="0" w:color="auto"/>
              <w:right w:val="single" w:sz="4" w:space="0" w:color="auto"/>
            </w:tcBorders>
            <w:vAlign w:val="center"/>
          </w:tcPr>
          <w:p w14:paraId="4E078E9C" w14:textId="77777777" w:rsidR="003F76A0" w:rsidRPr="008F660B" w:rsidRDefault="003F76A0">
            <w:pPr>
              <w:pStyle w:val="BodyText"/>
              <w:spacing w:before="120" w:after="120"/>
              <w:jc w:val="center"/>
              <w:rPr>
                <w:sz w:val="16"/>
                <w:szCs w:val="16"/>
              </w:rPr>
            </w:pPr>
          </w:p>
        </w:tc>
        <w:tc>
          <w:tcPr>
            <w:tcW w:w="2162" w:type="dxa"/>
            <w:tcBorders>
              <w:top w:val="single" w:sz="4" w:space="0" w:color="auto"/>
              <w:left w:val="single" w:sz="4" w:space="0" w:color="auto"/>
              <w:bottom w:val="single" w:sz="4" w:space="0" w:color="auto"/>
              <w:right w:val="single" w:sz="4" w:space="0" w:color="auto"/>
            </w:tcBorders>
            <w:vAlign w:val="center"/>
          </w:tcPr>
          <w:p w14:paraId="12F6CABF" w14:textId="77777777" w:rsidR="003F76A0" w:rsidRPr="008F660B" w:rsidRDefault="003F76A0">
            <w:pPr>
              <w:pStyle w:val="BodyText"/>
              <w:spacing w:before="120" w:after="120"/>
              <w:jc w:val="center"/>
              <w:rPr>
                <w:sz w:val="16"/>
                <w:szCs w:val="16"/>
              </w:rPr>
            </w:pPr>
          </w:p>
        </w:tc>
        <w:tc>
          <w:tcPr>
            <w:tcW w:w="4459" w:type="dxa"/>
            <w:vMerge w:val="restart"/>
            <w:tcBorders>
              <w:top w:val="single" w:sz="4" w:space="0" w:color="auto"/>
              <w:left w:val="single" w:sz="4" w:space="0" w:color="auto"/>
              <w:bottom w:val="single" w:sz="4" w:space="0" w:color="auto"/>
              <w:right w:val="single" w:sz="4" w:space="0" w:color="auto"/>
            </w:tcBorders>
          </w:tcPr>
          <w:p w14:paraId="20CCAD39" w14:textId="77777777" w:rsidR="003F76A0" w:rsidRPr="003F76A0" w:rsidRDefault="003F76A0">
            <w:pPr>
              <w:pStyle w:val="BodyText"/>
              <w:spacing w:before="120" w:after="120"/>
              <w:jc w:val="center"/>
              <w:rPr>
                <w:sz w:val="16"/>
                <w:szCs w:val="16"/>
              </w:rPr>
            </w:pPr>
          </w:p>
        </w:tc>
      </w:tr>
      <w:tr w:rsidR="003F76A0" w:rsidRPr="003F76A0" w14:paraId="36346C09" w14:textId="77777777" w:rsidTr="003F76A0">
        <w:trPr>
          <w:cantSplit/>
        </w:trPr>
        <w:tc>
          <w:tcPr>
            <w:tcW w:w="587" w:type="dxa"/>
            <w:tcBorders>
              <w:top w:val="single" w:sz="4" w:space="0" w:color="auto"/>
              <w:left w:val="single" w:sz="4" w:space="0" w:color="auto"/>
              <w:bottom w:val="single" w:sz="4" w:space="0" w:color="auto"/>
              <w:right w:val="single" w:sz="4" w:space="0" w:color="auto"/>
            </w:tcBorders>
            <w:vAlign w:val="center"/>
            <w:hideMark/>
          </w:tcPr>
          <w:p w14:paraId="09EA868D" w14:textId="77777777" w:rsidR="003F76A0" w:rsidRPr="003F76A0" w:rsidRDefault="003F76A0">
            <w:pPr>
              <w:pStyle w:val="BodyText"/>
              <w:spacing w:before="120" w:after="120"/>
              <w:jc w:val="center"/>
              <w:rPr>
                <w:color w:val="000000" w:themeColor="text1"/>
                <w:sz w:val="16"/>
                <w:szCs w:val="16"/>
              </w:rPr>
            </w:pPr>
            <w:r w:rsidRPr="003F76A0">
              <w:rPr>
                <w:color w:val="000000" w:themeColor="text1"/>
                <w:sz w:val="16"/>
                <w:szCs w:val="16"/>
              </w:rPr>
              <w:t>12</w:t>
            </w:r>
          </w:p>
        </w:tc>
        <w:tc>
          <w:tcPr>
            <w:tcW w:w="2260" w:type="dxa"/>
            <w:tcBorders>
              <w:top w:val="single" w:sz="4" w:space="0" w:color="auto"/>
              <w:left w:val="single" w:sz="4" w:space="0" w:color="auto"/>
              <w:bottom w:val="single" w:sz="4" w:space="0" w:color="auto"/>
              <w:right w:val="single" w:sz="4" w:space="0" w:color="auto"/>
            </w:tcBorders>
            <w:vAlign w:val="center"/>
            <w:hideMark/>
          </w:tcPr>
          <w:p w14:paraId="0538773D" w14:textId="77777777" w:rsidR="003F76A0" w:rsidRPr="003F76A0" w:rsidRDefault="003F76A0">
            <w:pPr>
              <w:pStyle w:val="BodyText"/>
              <w:spacing w:before="120" w:after="120"/>
              <w:jc w:val="center"/>
              <w:rPr>
                <w:color w:val="000000" w:themeColor="text1"/>
                <w:sz w:val="16"/>
                <w:szCs w:val="16"/>
              </w:rPr>
            </w:pPr>
            <w:r w:rsidRPr="003F76A0">
              <w:rPr>
                <w:color w:val="000000" w:themeColor="text1"/>
                <w:sz w:val="16"/>
                <w:szCs w:val="16"/>
              </w:rPr>
              <w:t>Trade-specific Apprentices Target for Women</w:t>
            </w:r>
          </w:p>
        </w:tc>
        <w:tc>
          <w:tcPr>
            <w:tcW w:w="1772" w:type="dxa"/>
            <w:tcBorders>
              <w:top w:val="single" w:sz="4" w:space="0" w:color="auto"/>
              <w:left w:val="single" w:sz="4" w:space="0" w:color="auto"/>
              <w:bottom w:val="single" w:sz="4" w:space="0" w:color="auto"/>
              <w:right w:val="single" w:sz="4" w:space="0" w:color="auto"/>
            </w:tcBorders>
            <w:vAlign w:val="center"/>
          </w:tcPr>
          <w:p w14:paraId="6243127C" w14:textId="77777777" w:rsidR="003F76A0" w:rsidRPr="008F660B" w:rsidRDefault="003F76A0">
            <w:pPr>
              <w:pStyle w:val="BodyText"/>
              <w:spacing w:before="120" w:after="120"/>
              <w:jc w:val="center"/>
              <w:rPr>
                <w:sz w:val="16"/>
                <w:szCs w:val="16"/>
              </w:rPr>
            </w:pPr>
          </w:p>
        </w:tc>
        <w:tc>
          <w:tcPr>
            <w:tcW w:w="1763" w:type="dxa"/>
            <w:tcBorders>
              <w:top w:val="single" w:sz="4" w:space="0" w:color="auto"/>
              <w:left w:val="single" w:sz="4" w:space="0" w:color="auto"/>
              <w:bottom w:val="single" w:sz="4" w:space="0" w:color="auto"/>
              <w:right w:val="single" w:sz="4" w:space="0" w:color="auto"/>
            </w:tcBorders>
            <w:vAlign w:val="center"/>
          </w:tcPr>
          <w:p w14:paraId="42290925" w14:textId="77777777" w:rsidR="003F76A0" w:rsidRPr="008F660B" w:rsidRDefault="003F76A0">
            <w:pPr>
              <w:pStyle w:val="BodyText"/>
              <w:spacing w:before="120" w:after="120"/>
              <w:jc w:val="center"/>
              <w:rPr>
                <w:sz w:val="16"/>
                <w:szCs w:val="16"/>
              </w:rPr>
            </w:pPr>
          </w:p>
        </w:tc>
        <w:tc>
          <w:tcPr>
            <w:tcW w:w="2162" w:type="dxa"/>
            <w:tcBorders>
              <w:top w:val="single" w:sz="4" w:space="0" w:color="auto"/>
              <w:left w:val="single" w:sz="4" w:space="0" w:color="auto"/>
              <w:bottom w:val="single" w:sz="4" w:space="0" w:color="auto"/>
              <w:right w:val="single" w:sz="4" w:space="0" w:color="auto"/>
            </w:tcBorders>
            <w:vAlign w:val="center"/>
          </w:tcPr>
          <w:p w14:paraId="3B50B213" w14:textId="77777777" w:rsidR="003F76A0" w:rsidRPr="008F660B" w:rsidRDefault="003F76A0">
            <w:pPr>
              <w:pStyle w:val="BodyText"/>
              <w:spacing w:before="120" w:after="120"/>
              <w:jc w:val="cente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CC5061" w14:textId="77777777" w:rsidR="003F76A0" w:rsidRPr="003F76A0" w:rsidRDefault="003F76A0">
            <w:pPr>
              <w:rPr>
                <w:sz w:val="16"/>
                <w:szCs w:val="16"/>
              </w:rPr>
            </w:pPr>
          </w:p>
        </w:tc>
      </w:tr>
    </w:tbl>
    <w:p w14:paraId="4351056C" w14:textId="054BF082" w:rsidR="0024371D" w:rsidRPr="00507B20" w:rsidRDefault="0024371D" w:rsidP="0024371D">
      <w:pPr>
        <w:pStyle w:val="Indent2"/>
        <w:spacing w:before="240"/>
        <w:rPr>
          <w:b/>
        </w:rPr>
      </w:pPr>
      <w:r>
        <w:t>[</w:t>
      </w:r>
      <w:r w:rsidRPr="008F660B">
        <w:rPr>
          <w:b/>
        </w:rPr>
        <w:t>Note: non-accredited Micro credentials must not account for more than 25% of the Learning Worker commitment. For example, if the Learning Worker ‘% of Total Project Workforce’ commitment is 20%, non-accredited Micro credentials must be less than 5%. For example, (15 Learning Workers +no more than 5 non-accredited Micro credentials workers/ 100 Project Workforce).]</w:t>
      </w:r>
    </w:p>
    <w:p w14:paraId="1649DF06" w14:textId="77777777" w:rsidR="0024371D" w:rsidRDefault="0024371D" w:rsidP="0024371D">
      <w:pPr>
        <w:pStyle w:val="Indent2"/>
        <w:spacing w:before="240"/>
      </w:pPr>
      <w:r w:rsidRPr="008F660B">
        <w:rPr>
          <w:b/>
        </w:rPr>
        <w:t>[Note: Once a worker is included in this Table 5 as a Learning Worker, the worker maintains this status for the duration of the Term.]</w:t>
      </w:r>
    </w:p>
    <w:p w14:paraId="2AFD940A" w14:textId="77777777" w:rsidR="0024371D" w:rsidRDefault="0024371D" w:rsidP="003F76A0">
      <w:pPr>
        <w:pStyle w:val="SchedH1"/>
        <w:numPr>
          <w:ilvl w:val="1"/>
          <w:numId w:val="42"/>
        </w:numPr>
      </w:pPr>
      <w:r>
        <w:t>Community Benefits Sharing Commitments</w:t>
      </w:r>
    </w:p>
    <w:p w14:paraId="58E43957" w14:textId="2811B5D3" w:rsidR="003F76A0" w:rsidRPr="003F76A0" w:rsidRDefault="003F76A0" w:rsidP="003F76A0">
      <w:pPr>
        <w:pStyle w:val="Indent2"/>
      </w:pPr>
      <w:r w:rsidRPr="003F76A0">
        <w:rPr>
          <w:rFonts w:eastAsiaTheme="minorEastAsia" w:cstheme="minorBidi"/>
        </w:rPr>
        <w:t xml:space="preserve">In accordance with clause </w:t>
      </w:r>
      <w:r w:rsidR="00883C27" w:rsidRPr="002157AE">
        <w:rPr>
          <w:rFonts w:eastAsia="SimSun"/>
          <w:b/>
          <w:i/>
        </w:rPr>
        <w:fldChar w:fldCharType="begin"/>
      </w:r>
      <w:r w:rsidR="00883C27" w:rsidRPr="002157AE">
        <w:rPr>
          <w:rFonts w:eastAsia="SimSun"/>
          <w:b/>
          <w:i/>
        </w:rPr>
        <w:instrText xml:space="preserve"> REF _Ref206706719 \r \h </w:instrText>
      </w:r>
      <w:r w:rsidR="00883C27">
        <w:rPr>
          <w:rFonts w:eastAsia="SimSun"/>
          <w:b/>
          <w:i/>
        </w:rPr>
        <w:instrText xml:space="preserve"> \* MERGEFORMAT </w:instrText>
      </w:r>
      <w:r w:rsidR="00883C27" w:rsidRPr="002157AE">
        <w:rPr>
          <w:rFonts w:eastAsia="SimSun"/>
          <w:b/>
          <w:i/>
        </w:rPr>
      </w:r>
      <w:r w:rsidR="00883C27" w:rsidRPr="002157AE">
        <w:rPr>
          <w:rFonts w:eastAsia="SimSun"/>
          <w:b/>
          <w:i/>
        </w:rPr>
        <w:fldChar w:fldCharType="separate"/>
      </w:r>
      <w:r w:rsidR="002E5C6A">
        <w:rPr>
          <w:rFonts w:eastAsia="SimSun"/>
          <w:b/>
          <w:i/>
        </w:rPr>
        <w:t>11.1</w:t>
      </w:r>
      <w:r w:rsidR="00883C27" w:rsidRPr="002157AE">
        <w:rPr>
          <w:rFonts w:eastAsia="SimSun"/>
          <w:b/>
          <w:i/>
        </w:rPr>
        <w:fldChar w:fldCharType="end"/>
      </w:r>
      <w:r w:rsidR="00883C27" w:rsidRPr="002157AE">
        <w:rPr>
          <w:rFonts w:eastAsia="SimSun"/>
          <w:b/>
          <w:i/>
        </w:rPr>
        <w:t xml:space="preserve"> (“</w:t>
      </w:r>
      <w:r w:rsidR="00883C27" w:rsidRPr="002157AE">
        <w:rPr>
          <w:rFonts w:eastAsia="SimSun"/>
          <w:b/>
          <w:i/>
        </w:rPr>
        <w:fldChar w:fldCharType="begin"/>
      </w:r>
      <w:r w:rsidR="00883C27" w:rsidRPr="002157AE">
        <w:rPr>
          <w:rFonts w:eastAsia="SimSun"/>
          <w:b/>
          <w:i/>
        </w:rPr>
        <w:instrText xml:space="preserve"> REF _Ref206706721 \h  \* MERGEFORMAT </w:instrText>
      </w:r>
      <w:r w:rsidR="00883C27" w:rsidRPr="002157AE">
        <w:rPr>
          <w:rFonts w:eastAsia="SimSun"/>
          <w:b/>
          <w:i/>
        </w:rPr>
      </w:r>
      <w:r w:rsidR="00883C27" w:rsidRPr="002157AE">
        <w:rPr>
          <w:rFonts w:eastAsia="SimSun"/>
          <w:b/>
          <w:i/>
        </w:rPr>
        <w:fldChar w:fldCharType="separate"/>
      </w:r>
      <w:r w:rsidR="002E5C6A" w:rsidRPr="006C780B">
        <w:rPr>
          <w:b/>
          <w:i/>
        </w:rPr>
        <w:t>Performance</w:t>
      </w:r>
      <w:r w:rsidR="00883C27" w:rsidRPr="002157AE">
        <w:rPr>
          <w:rFonts w:eastAsia="SimSun"/>
          <w:b/>
          <w:i/>
        </w:rPr>
        <w:fldChar w:fldCharType="end"/>
      </w:r>
      <w:r w:rsidR="00883C27" w:rsidRPr="002157AE">
        <w:rPr>
          <w:rFonts w:eastAsia="SimSun"/>
          <w:b/>
          <w:i/>
        </w:rPr>
        <w:t>”)</w:t>
      </w:r>
      <w:r w:rsidR="00883C27" w:rsidRPr="00883C27">
        <w:rPr>
          <w:rFonts w:eastAsiaTheme="minorEastAsia" w:cstheme="minorBidi"/>
        </w:rPr>
        <w:t xml:space="preserve">, </w:t>
      </w:r>
      <w:r w:rsidRPr="003F76A0">
        <w:t>Project Operator must fund benefits to the local community to at least the values and within the timeframe specified in Table 6 below.</w:t>
      </w:r>
    </w:p>
    <w:p w14:paraId="46789D64" w14:textId="77777777" w:rsidR="003F76A0" w:rsidRPr="003F76A0" w:rsidRDefault="003F76A0" w:rsidP="003F76A0">
      <w:pPr>
        <w:pStyle w:val="Indent2"/>
        <w:keepNext/>
        <w:rPr>
          <w:b/>
          <w:bCs/>
        </w:rPr>
      </w:pPr>
      <w:r w:rsidRPr="003F76A0">
        <w:rPr>
          <w:b/>
          <w:bCs/>
        </w:rPr>
        <w:t xml:space="preserve">Table 6 – Shared community benefits commitments </w:t>
      </w:r>
    </w:p>
    <w:tbl>
      <w:tblPr>
        <w:tblStyle w:val="TableGrid"/>
        <w:tblW w:w="13008" w:type="dxa"/>
        <w:tblInd w:w="704" w:type="dxa"/>
        <w:tblLook w:val="04A0" w:firstRow="1" w:lastRow="0" w:firstColumn="1" w:lastColumn="0" w:noHBand="0" w:noVBand="1"/>
      </w:tblPr>
      <w:tblGrid>
        <w:gridCol w:w="4260"/>
        <w:gridCol w:w="2498"/>
        <w:gridCol w:w="2604"/>
        <w:gridCol w:w="1871"/>
        <w:gridCol w:w="1775"/>
      </w:tblGrid>
      <w:tr w:rsidR="003F76A0" w:rsidRPr="003F76A0" w14:paraId="161812C7" w14:textId="77777777" w:rsidTr="003F76A0">
        <w:trPr>
          <w:tblHeader/>
        </w:trPr>
        <w:tc>
          <w:tcPr>
            <w:tcW w:w="4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C3AD68E" w14:textId="77777777" w:rsidR="003F76A0" w:rsidRPr="003F76A0" w:rsidRDefault="003F76A0">
            <w:pPr>
              <w:pStyle w:val="BodyText"/>
              <w:keepNext/>
              <w:keepLines/>
              <w:spacing w:before="120" w:after="120"/>
              <w:jc w:val="center"/>
              <w:rPr>
                <w:b/>
                <w:bCs/>
                <w:sz w:val="16"/>
                <w:szCs w:val="16"/>
              </w:rPr>
            </w:pPr>
            <w:r w:rsidRPr="003F76A0">
              <w:rPr>
                <w:b/>
                <w:bCs/>
                <w:sz w:val="16"/>
                <w:szCs w:val="16"/>
              </w:rPr>
              <w:t>Specific commitment</w:t>
            </w:r>
          </w:p>
        </w:tc>
        <w:tc>
          <w:tcPr>
            <w:tcW w:w="249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845B52B" w14:textId="77777777" w:rsidR="003F76A0" w:rsidRPr="003F76A0" w:rsidRDefault="003F76A0">
            <w:pPr>
              <w:pStyle w:val="BodyText"/>
              <w:spacing w:before="120" w:after="120"/>
              <w:jc w:val="center"/>
              <w:rPr>
                <w:b/>
                <w:bCs/>
                <w:sz w:val="16"/>
                <w:szCs w:val="16"/>
              </w:rPr>
            </w:pPr>
            <w:r w:rsidRPr="003F76A0">
              <w:rPr>
                <w:b/>
                <w:bCs/>
                <w:sz w:val="16"/>
                <w:szCs w:val="16"/>
              </w:rPr>
              <w:t>Start Date</w:t>
            </w:r>
          </w:p>
          <w:p w14:paraId="4543F336" w14:textId="77777777" w:rsidR="003F76A0" w:rsidRPr="003F76A0" w:rsidRDefault="003F76A0">
            <w:pPr>
              <w:pStyle w:val="BodyText"/>
              <w:keepNext/>
              <w:keepLines/>
              <w:spacing w:before="120" w:after="120"/>
              <w:jc w:val="center"/>
              <w:rPr>
                <w:b/>
                <w:bCs/>
                <w:sz w:val="16"/>
                <w:szCs w:val="16"/>
              </w:rPr>
            </w:pPr>
            <w:r w:rsidRPr="003F76A0">
              <w:rPr>
                <w:b/>
                <w:bCs/>
                <w:sz w:val="16"/>
                <w:szCs w:val="16"/>
              </w:rPr>
              <w:t>(only binding if Commitment timeframe is Annual or One time payment)</w:t>
            </w:r>
          </w:p>
        </w:tc>
        <w:tc>
          <w:tcPr>
            <w:tcW w:w="260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AD6281F" w14:textId="77777777" w:rsidR="003F76A0" w:rsidRPr="003F76A0" w:rsidRDefault="003F76A0">
            <w:pPr>
              <w:pStyle w:val="BodyText"/>
              <w:spacing w:before="120" w:after="120"/>
              <w:jc w:val="center"/>
              <w:rPr>
                <w:b/>
                <w:bCs/>
                <w:sz w:val="16"/>
                <w:szCs w:val="16"/>
              </w:rPr>
            </w:pPr>
            <w:r w:rsidRPr="003F76A0">
              <w:rPr>
                <w:b/>
                <w:bCs/>
                <w:sz w:val="16"/>
                <w:szCs w:val="16"/>
              </w:rPr>
              <w:t>End Date / Deliverable Date</w:t>
            </w:r>
          </w:p>
          <w:p w14:paraId="64CE0E5E" w14:textId="77777777" w:rsidR="003F76A0" w:rsidRPr="003F76A0" w:rsidRDefault="003F76A0">
            <w:pPr>
              <w:pStyle w:val="BodyText"/>
              <w:keepNext/>
              <w:keepLines/>
              <w:spacing w:before="120" w:after="120"/>
              <w:jc w:val="center"/>
              <w:rPr>
                <w:b/>
                <w:bCs/>
                <w:sz w:val="16"/>
                <w:szCs w:val="16"/>
              </w:rPr>
            </w:pPr>
            <w:r w:rsidRPr="003F76A0">
              <w:rPr>
                <w:b/>
                <w:bCs/>
                <w:sz w:val="16"/>
                <w:szCs w:val="16"/>
              </w:rPr>
              <w:t>(only binding if Commitment timeframe is Annual or One time payment)</w:t>
            </w:r>
          </w:p>
        </w:tc>
        <w:tc>
          <w:tcPr>
            <w:tcW w:w="187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0A1592" w14:textId="77777777" w:rsidR="003F76A0" w:rsidRPr="003F76A0" w:rsidRDefault="003F76A0">
            <w:pPr>
              <w:pStyle w:val="BodyText"/>
              <w:keepNext/>
              <w:keepLines/>
              <w:spacing w:before="120" w:after="120"/>
              <w:jc w:val="center"/>
              <w:rPr>
                <w:b/>
                <w:bCs/>
                <w:sz w:val="16"/>
                <w:szCs w:val="16"/>
              </w:rPr>
            </w:pPr>
            <w:r w:rsidRPr="003F76A0">
              <w:rPr>
                <w:b/>
                <w:bCs/>
                <w:sz w:val="16"/>
                <w:szCs w:val="16"/>
              </w:rPr>
              <w:t>Frequency (i.e. annually, Pre-COD, Post-COD, over term of contract)</w:t>
            </w:r>
          </w:p>
        </w:tc>
        <w:tc>
          <w:tcPr>
            <w:tcW w:w="17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DEA71AF" w14:textId="77777777" w:rsidR="003F76A0" w:rsidRPr="003F76A0" w:rsidRDefault="003F76A0">
            <w:pPr>
              <w:pStyle w:val="BodyText"/>
              <w:keepNext/>
              <w:keepLines/>
              <w:spacing w:before="120" w:after="120"/>
              <w:jc w:val="center"/>
              <w:rPr>
                <w:b/>
                <w:bCs/>
                <w:sz w:val="16"/>
                <w:szCs w:val="16"/>
              </w:rPr>
            </w:pPr>
            <w:r w:rsidRPr="003F76A0">
              <w:rPr>
                <w:b/>
                <w:bCs/>
                <w:sz w:val="16"/>
                <w:szCs w:val="16"/>
              </w:rPr>
              <w:t>Cost in real dollars AU$ as at the Signing Date [</w:t>
            </w:r>
            <w:r w:rsidRPr="008F660B">
              <w:rPr>
                <w:b/>
                <w:bCs/>
                <w:sz w:val="16"/>
                <w:szCs w:val="16"/>
              </w:rPr>
              <w:t>Note: the value provided here is intended to cover the total costs in real dollars AU$ over the term of the CISA.</w:t>
            </w:r>
            <w:r w:rsidRPr="003F76A0">
              <w:rPr>
                <w:b/>
                <w:bCs/>
                <w:sz w:val="16"/>
                <w:szCs w:val="16"/>
              </w:rPr>
              <w:t>]</w:t>
            </w:r>
          </w:p>
        </w:tc>
      </w:tr>
      <w:tr w:rsidR="003F76A0" w:rsidRPr="003F76A0" w14:paraId="3CD8965B" w14:textId="77777777" w:rsidTr="003F76A0">
        <w:tc>
          <w:tcPr>
            <w:tcW w:w="4260" w:type="dxa"/>
            <w:tcBorders>
              <w:top w:val="single" w:sz="4" w:space="0" w:color="auto"/>
              <w:left w:val="single" w:sz="4" w:space="0" w:color="auto"/>
              <w:bottom w:val="single" w:sz="4" w:space="0" w:color="auto"/>
              <w:right w:val="single" w:sz="4" w:space="0" w:color="auto"/>
            </w:tcBorders>
            <w:vAlign w:val="center"/>
          </w:tcPr>
          <w:p w14:paraId="34952BB8" w14:textId="77777777" w:rsidR="003F76A0" w:rsidRPr="003F76A0" w:rsidRDefault="003F76A0">
            <w:pPr>
              <w:pStyle w:val="BodyText"/>
              <w:spacing w:before="120" w:after="120"/>
              <w:jc w:val="center"/>
              <w:rPr>
                <w:sz w:val="16"/>
                <w:szCs w:val="16"/>
              </w:rPr>
            </w:pPr>
          </w:p>
        </w:tc>
        <w:tc>
          <w:tcPr>
            <w:tcW w:w="2498" w:type="dxa"/>
            <w:tcBorders>
              <w:top w:val="single" w:sz="4" w:space="0" w:color="auto"/>
              <w:left w:val="single" w:sz="4" w:space="0" w:color="auto"/>
              <w:bottom w:val="single" w:sz="4" w:space="0" w:color="auto"/>
              <w:right w:val="single" w:sz="4" w:space="0" w:color="auto"/>
            </w:tcBorders>
          </w:tcPr>
          <w:p w14:paraId="59BAFA00" w14:textId="77777777" w:rsidR="003F76A0" w:rsidRPr="003F76A0" w:rsidRDefault="003F76A0">
            <w:pPr>
              <w:pStyle w:val="BodyText"/>
              <w:spacing w:before="120" w:after="120"/>
              <w:jc w:val="center"/>
              <w:rPr>
                <w:sz w:val="16"/>
                <w:szCs w:val="16"/>
              </w:rPr>
            </w:pPr>
          </w:p>
        </w:tc>
        <w:tc>
          <w:tcPr>
            <w:tcW w:w="2604" w:type="dxa"/>
            <w:tcBorders>
              <w:top w:val="single" w:sz="4" w:space="0" w:color="auto"/>
              <w:left w:val="single" w:sz="4" w:space="0" w:color="auto"/>
              <w:bottom w:val="single" w:sz="4" w:space="0" w:color="auto"/>
              <w:right w:val="single" w:sz="4" w:space="0" w:color="auto"/>
            </w:tcBorders>
            <w:vAlign w:val="center"/>
          </w:tcPr>
          <w:p w14:paraId="7515A8C4" w14:textId="77777777" w:rsidR="003F76A0" w:rsidRPr="003F76A0" w:rsidRDefault="003F76A0">
            <w:pPr>
              <w:pStyle w:val="BodyText"/>
              <w:spacing w:before="120" w:after="120"/>
              <w:jc w:val="center"/>
              <w:rPr>
                <w:sz w:val="16"/>
                <w:szCs w:val="16"/>
              </w:rPr>
            </w:pPr>
          </w:p>
        </w:tc>
        <w:tc>
          <w:tcPr>
            <w:tcW w:w="1871" w:type="dxa"/>
            <w:tcBorders>
              <w:top w:val="single" w:sz="4" w:space="0" w:color="auto"/>
              <w:left w:val="single" w:sz="4" w:space="0" w:color="auto"/>
              <w:bottom w:val="single" w:sz="4" w:space="0" w:color="auto"/>
              <w:right w:val="single" w:sz="4" w:space="0" w:color="auto"/>
            </w:tcBorders>
            <w:vAlign w:val="center"/>
          </w:tcPr>
          <w:p w14:paraId="5AF84E14" w14:textId="77777777" w:rsidR="003F76A0" w:rsidRPr="003F76A0" w:rsidRDefault="003F76A0">
            <w:pPr>
              <w:pStyle w:val="BodyText"/>
              <w:spacing w:before="120" w:after="120"/>
              <w:jc w:val="center"/>
              <w:rPr>
                <w:sz w:val="16"/>
                <w:szCs w:val="16"/>
              </w:rPr>
            </w:pPr>
          </w:p>
        </w:tc>
        <w:tc>
          <w:tcPr>
            <w:tcW w:w="1775" w:type="dxa"/>
            <w:tcBorders>
              <w:top w:val="single" w:sz="4" w:space="0" w:color="auto"/>
              <w:left w:val="single" w:sz="4" w:space="0" w:color="auto"/>
              <w:bottom w:val="single" w:sz="4" w:space="0" w:color="auto"/>
              <w:right w:val="single" w:sz="4" w:space="0" w:color="auto"/>
            </w:tcBorders>
            <w:hideMark/>
          </w:tcPr>
          <w:p w14:paraId="02D83E3F" w14:textId="77777777" w:rsidR="003F76A0" w:rsidRPr="003F76A0" w:rsidRDefault="003F76A0">
            <w:pPr>
              <w:pStyle w:val="BodyText"/>
              <w:spacing w:before="120" w:after="120"/>
              <w:rPr>
                <w:sz w:val="16"/>
                <w:szCs w:val="16"/>
              </w:rPr>
            </w:pPr>
            <w:r w:rsidRPr="003F76A0">
              <w:rPr>
                <w:sz w:val="16"/>
                <w:szCs w:val="16"/>
              </w:rPr>
              <w:t>$</w:t>
            </w:r>
          </w:p>
        </w:tc>
      </w:tr>
      <w:tr w:rsidR="003F76A0" w:rsidRPr="003F76A0" w14:paraId="59F6185E" w14:textId="77777777" w:rsidTr="003F76A0">
        <w:tc>
          <w:tcPr>
            <w:tcW w:w="4260" w:type="dxa"/>
            <w:tcBorders>
              <w:top w:val="single" w:sz="4" w:space="0" w:color="auto"/>
              <w:left w:val="single" w:sz="4" w:space="0" w:color="auto"/>
              <w:bottom w:val="single" w:sz="4" w:space="0" w:color="auto"/>
              <w:right w:val="single" w:sz="4" w:space="0" w:color="auto"/>
            </w:tcBorders>
            <w:vAlign w:val="center"/>
          </w:tcPr>
          <w:p w14:paraId="5C0D05FD" w14:textId="77777777" w:rsidR="003F76A0" w:rsidRPr="003F76A0" w:rsidRDefault="003F76A0">
            <w:pPr>
              <w:pStyle w:val="BodyText"/>
              <w:spacing w:before="120" w:after="120"/>
              <w:jc w:val="center"/>
              <w:rPr>
                <w:sz w:val="16"/>
                <w:szCs w:val="16"/>
              </w:rPr>
            </w:pPr>
          </w:p>
        </w:tc>
        <w:tc>
          <w:tcPr>
            <w:tcW w:w="2498" w:type="dxa"/>
            <w:tcBorders>
              <w:top w:val="single" w:sz="4" w:space="0" w:color="auto"/>
              <w:left w:val="single" w:sz="4" w:space="0" w:color="auto"/>
              <w:bottom w:val="single" w:sz="4" w:space="0" w:color="auto"/>
              <w:right w:val="single" w:sz="4" w:space="0" w:color="auto"/>
            </w:tcBorders>
            <w:vAlign w:val="center"/>
          </w:tcPr>
          <w:p w14:paraId="7AAB9F16" w14:textId="77777777" w:rsidR="003F76A0" w:rsidRPr="003F76A0" w:rsidRDefault="003F76A0">
            <w:pPr>
              <w:pStyle w:val="BodyText"/>
              <w:spacing w:before="120" w:after="120"/>
              <w:jc w:val="center"/>
              <w:rPr>
                <w:i/>
                <w:iCs/>
                <w:sz w:val="16"/>
                <w:szCs w:val="16"/>
              </w:rPr>
            </w:pPr>
          </w:p>
        </w:tc>
        <w:tc>
          <w:tcPr>
            <w:tcW w:w="2604" w:type="dxa"/>
            <w:tcBorders>
              <w:top w:val="single" w:sz="4" w:space="0" w:color="auto"/>
              <w:left w:val="single" w:sz="4" w:space="0" w:color="auto"/>
              <w:bottom w:val="single" w:sz="4" w:space="0" w:color="auto"/>
              <w:right w:val="single" w:sz="4" w:space="0" w:color="auto"/>
            </w:tcBorders>
            <w:vAlign w:val="center"/>
          </w:tcPr>
          <w:p w14:paraId="25030994" w14:textId="77777777" w:rsidR="003F76A0" w:rsidRPr="003F76A0" w:rsidRDefault="003F76A0">
            <w:pPr>
              <w:pStyle w:val="BodyText"/>
              <w:spacing w:before="120" w:after="120"/>
              <w:jc w:val="center"/>
              <w:rPr>
                <w:sz w:val="16"/>
                <w:szCs w:val="16"/>
              </w:rPr>
            </w:pPr>
          </w:p>
        </w:tc>
        <w:tc>
          <w:tcPr>
            <w:tcW w:w="1871" w:type="dxa"/>
            <w:tcBorders>
              <w:top w:val="single" w:sz="4" w:space="0" w:color="auto"/>
              <w:left w:val="single" w:sz="4" w:space="0" w:color="auto"/>
              <w:bottom w:val="single" w:sz="4" w:space="0" w:color="auto"/>
              <w:right w:val="single" w:sz="4" w:space="0" w:color="auto"/>
            </w:tcBorders>
            <w:vAlign w:val="center"/>
          </w:tcPr>
          <w:p w14:paraId="00932C8A" w14:textId="77777777" w:rsidR="003F76A0" w:rsidRPr="003F76A0" w:rsidRDefault="003F76A0">
            <w:pPr>
              <w:pStyle w:val="BodyText"/>
              <w:spacing w:before="120" w:after="120"/>
              <w:jc w:val="center"/>
              <w:rPr>
                <w:sz w:val="16"/>
                <w:szCs w:val="16"/>
              </w:rPr>
            </w:pPr>
          </w:p>
        </w:tc>
        <w:tc>
          <w:tcPr>
            <w:tcW w:w="1775" w:type="dxa"/>
            <w:tcBorders>
              <w:top w:val="single" w:sz="4" w:space="0" w:color="auto"/>
              <w:left w:val="single" w:sz="4" w:space="0" w:color="auto"/>
              <w:bottom w:val="single" w:sz="4" w:space="0" w:color="auto"/>
              <w:right w:val="single" w:sz="4" w:space="0" w:color="auto"/>
            </w:tcBorders>
            <w:hideMark/>
          </w:tcPr>
          <w:p w14:paraId="29205F55" w14:textId="77777777" w:rsidR="003F76A0" w:rsidRPr="003F76A0" w:rsidRDefault="003F76A0">
            <w:pPr>
              <w:pStyle w:val="BodyText"/>
              <w:spacing w:before="120" w:after="120"/>
              <w:rPr>
                <w:sz w:val="16"/>
                <w:szCs w:val="16"/>
              </w:rPr>
            </w:pPr>
            <w:r w:rsidRPr="003F76A0">
              <w:rPr>
                <w:sz w:val="16"/>
                <w:szCs w:val="16"/>
              </w:rPr>
              <w:t>$</w:t>
            </w:r>
          </w:p>
        </w:tc>
      </w:tr>
      <w:tr w:rsidR="003F76A0" w:rsidRPr="003F76A0" w14:paraId="24E43AF7" w14:textId="77777777" w:rsidTr="003F76A0">
        <w:tc>
          <w:tcPr>
            <w:tcW w:w="4260" w:type="dxa"/>
            <w:tcBorders>
              <w:top w:val="single" w:sz="4" w:space="0" w:color="auto"/>
              <w:left w:val="single" w:sz="4" w:space="0" w:color="auto"/>
              <w:bottom w:val="single" w:sz="4" w:space="0" w:color="auto"/>
              <w:right w:val="single" w:sz="4" w:space="0" w:color="auto"/>
            </w:tcBorders>
            <w:vAlign w:val="center"/>
          </w:tcPr>
          <w:p w14:paraId="5111C758" w14:textId="77777777" w:rsidR="003F76A0" w:rsidRPr="003F76A0" w:rsidRDefault="003F76A0">
            <w:pPr>
              <w:pStyle w:val="BodyText"/>
              <w:spacing w:before="120" w:after="120"/>
              <w:jc w:val="center"/>
              <w:rPr>
                <w:sz w:val="16"/>
                <w:szCs w:val="16"/>
              </w:rPr>
            </w:pPr>
          </w:p>
        </w:tc>
        <w:tc>
          <w:tcPr>
            <w:tcW w:w="2498" w:type="dxa"/>
            <w:tcBorders>
              <w:top w:val="single" w:sz="4" w:space="0" w:color="auto"/>
              <w:left w:val="single" w:sz="4" w:space="0" w:color="auto"/>
              <w:bottom w:val="single" w:sz="4" w:space="0" w:color="auto"/>
              <w:right w:val="single" w:sz="4" w:space="0" w:color="auto"/>
            </w:tcBorders>
            <w:vAlign w:val="center"/>
          </w:tcPr>
          <w:p w14:paraId="3219606C" w14:textId="77777777" w:rsidR="003F76A0" w:rsidRPr="003F76A0" w:rsidRDefault="003F76A0">
            <w:pPr>
              <w:pStyle w:val="BodyText"/>
              <w:spacing w:before="120" w:after="120"/>
              <w:jc w:val="center"/>
              <w:rPr>
                <w:i/>
                <w:iCs/>
                <w:sz w:val="16"/>
                <w:szCs w:val="16"/>
              </w:rPr>
            </w:pPr>
          </w:p>
        </w:tc>
        <w:tc>
          <w:tcPr>
            <w:tcW w:w="2604" w:type="dxa"/>
            <w:tcBorders>
              <w:top w:val="single" w:sz="4" w:space="0" w:color="auto"/>
              <w:left w:val="single" w:sz="4" w:space="0" w:color="auto"/>
              <w:bottom w:val="single" w:sz="4" w:space="0" w:color="auto"/>
              <w:right w:val="single" w:sz="4" w:space="0" w:color="auto"/>
            </w:tcBorders>
            <w:vAlign w:val="center"/>
          </w:tcPr>
          <w:p w14:paraId="1294E6D4" w14:textId="77777777" w:rsidR="003F76A0" w:rsidRPr="003F76A0" w:rsidRDefault="003F76A0">
            <w:pPr>
              <w:pStyle w:val="BodyText"/>
              <w:spacing w:before="120" w:after="120"/>
              <w:jc w:val="center"/>
              <w:rPr>
                <w:sz w:val="16"/>
                <w:szCs w:val="16"/>
              </w:rPr>
            </w:pPr>
          </w:p>
        </w:tc>
        <w:tc>
          <w:tcPr>
            <w:tcW w:w="1871" w:type="dxa"/>
            <w:tcBorders>
              <w:top w:val="single" w:sz="4" w:space="0" w:color="auto"/>
              <w:left w:val="single" w:sz="4" w:space="0" w:color="auto"/>
              <w:bottom w:val="single" w:sz="4" w:space="0" w:color="auto"/>
              <w:right w:val="single" w:sz="4" w:space="0" w:color="auto"/>
            </w:tcBorders>
            <w:vAlign w:val="center"/>
          </w:tcPr>
          <w:p w14:paraId="75681373" w14:textId="77777777" w:rsidR="003F76A0" w:rsidRPr="003F76A0" w:rsidRDefault="003F76A0">
            <w:pPr>
              <w:pStyle w:val="BodyText"/>
              <w:spacing w:before="120" w:after="120"/>
              <w:jc w:val="center"/>
              <w:rPr>
                <w:sz w:val="16"/>
                <w:szCs w:val="16"/>
              </w:rPr>
            </w:pPr>
          </w:p>
        </w:tc>
        <w:tc>
          <w:tcPr>
            <w:tcW w:w="1775" w:type="dxa"/>
            <w:tcBorders>
              <w:top w:val="single" w:sz="4" w:space="0" w:color="auto"/>
              <w:left w:val="single" w:sz="4" w:space="0" w:color="auto"/>
              <w:bottom w:val="single" w:sz="4" w:space="0" w:color="auto"/>
              <w:right w:val="single" w:sz="4" w:space="0" w:color="auto"/>
            </w:tcBorders>
            <w:hideMark/>
          </w:tcPr>
          <w:p w14:paraId="34BF2B13" w14:textId="77777777" w:rsidR="003F76A0" w:rsidRPr="003F76A0" w:rsidRDefault="003F76A0">
            <w:pPr>
              <w:pStyle w:val="BodyText"/>
              <w:spacing w:before="120" w:after="120"/>
              <w:rPr>
                <w:sz w:val="16"/>
                <w:szCs w:val="16"/>
              </w:rPr>
            </w:pPr>
            <w:r w:rsidRPr="003F76A0">
              <w:rPr>
                <w:sz w:val="16"/>
                <w:szCs w:val="16"/>
              </w:rPr>
              <w:t>$</w:t>
            </w:r>
          </w:p>
        </w:tc>
      </w:tr>
      <w:tr w:rsidR="003F76A0" w:rsidRPr="003F76A0" w14:paraId="7F9B34D7" w14:textId="77777777" w:rsidTr="003F76A0">
        <w:tc>
          <w:tcPr>
            <w:tcW w:w="4260" w:type="dxa"/>
            <w:tcBorders>
              <w:top w:val="single" w:sz="4" w:space="0" w:color="auto"/>
              <w:left w:val="single" w:sz="4" w:space="0" w:color="auto"/>
              <w:bottom w:val="single" w:sz="4" w:space="0" w:color="auto"/>
              <w:right w:val="single" w:sz="4" w:space="0" w:color="auto"/>
            </w:tcBorders>
            <w:vAlign w:val="center"/>
          </w:tcPr>
          <w:p w14:paraId="62B6DF02" w14:textId="77777777" w:rsidR="003F76A0" w:rsidRPr="003F76A0" w:rsidRDefault="003F76A0">
            <w:pPr>
              <w:pStyle w:val="BodyText"/>
              <w:spacing w:before="120" w:after="120"/>
              <w:jc w:val="center"/>
              <w:rPr>
                <w:sz w:val="16"/>
                <w:szCs w:val="16"/>
              </w:rPr>
            </w:pPr>
          </w:p>
        </w:tc>
        <w:tc>
          <w:tcPr>
            <w:tcW w:w="2498" w:type="dxa"/>
            <w:tcBorders>
              <w:top w:val="single" w:sz="4" w:space="0" w:color="auto"/>
              <w:left w:val="single" w:sz="4" w:space="0" w:color="auto"/>
              <w:bottom w:val="single" w:sz="4" w:space="0" w:color="auto"/>
              <w:right w:val="single" w:sz="4" w:space="0" w:color="auto"/>
            </w:tcBorders>
            <w:vAlign w:val="center"/>
          </w:tcPr>
          <w:p w14:paraId="1C96424B" w14:textId="77777777" w:rsidR="003F76A0" w:rsidRPr="003F76A0" w:rsidRDefault="003F76A0">
            <w:pPr>
              <w:pStyle w:val="BodyText"/>
              <w:spacing w:before="120" w:after="120"/>
              <w:jc w:val="center"/>
              <w:rPr>
                <w:i/>
                <w:iCs/>
                <w:sz w:val="16"/>
                <w:szCs w:val="16"/>
              </w:rPr>
            </w:pPr>
          </w:p>
        </w:tc>
        <w:tc>
          <w:tcPr>
            <w:tcW w:w="2604" w:type="dxa"/>
            <w:tcBorders>
              <w:top w:val="single" w:sz="4" w:space="0" w:color="auto"/>
              <w:left w:val="single" w:sz="4" w:space="0" w:color="auto"/>
              <w:bottom w:val="single" w:sz="4" w:space="0" w:color="auto"/>
              <w:right w:val="single" w:sz="4" w:space="0" w:color="auto"/>
            </w:tcBorders>
            <w:vAlign w:val="center"/>
          </w:tcPr>
          <w:p w14:paraId="4B7A06AB" w14:textId="77777777" w:rsidR="003F76A0" w:rsidRPr="003F76A0" w:rsidRDefault="003F76A0">
            <w:pPr>
              <w:pStyle w:val="BodyText"/>
              <w:spacing w:before="120" w:after="120"/>
              <w:jc w:val="center"/>
              <w:rPr>
                <w:sz w:val="16"/>
                <w:szCs w:val="16"/>
              </w:rPr>
            </w:pPr>
          </w:p>
        </w:tc>
        <w:tc>
          <w:tcPr>
            <w:tcW w:w="1871" w:type="dxa"/>
            <w:tcBorders>
              <w:top w:val="single" w:sz="4" w:space="0" w:color="auto"/>
              <w:left w:val="single" w:sz="4" w:space="0" w:color="auto"/>
              <w:bottom w:val="single" w:sz="4" w:space="0" w:color="auto"/>
              <w:right w:val="single" w:sz="4" w:space="0" w:color="auto"/>
            </w:tcBorders>
            <w:vAlign w:val="center"/>
          </w:tcPr>
          <w:p w14:paraId="235EBCA4" w14:textId="77777777" w:rsidR="003F76A0" w:rsidRPr="003F76A0" w:rsidRDefault="003F76A0">
            <w:pPr>
              <w:pStyle w:val="BodyText"/>
              <w:spacing w:before="120" w:after="120"/>
              <w:jc w:val="center"/>
              <w:rPr>
                <w:sz w:val="16"/>
                <w:szCs w:val="16"/>
              </w:rPr>
            </w:pPr>
          </w:p>
        </w:tc>
        <w:tc>
          <w:tcPr>
            <w:tcW w:w="1775" w:type="dxa"/>
            <w:tcBorders>
              <w:top w:val="single" w:sz="4" w:space="0" w:color="auto"/>
              <w:left w:val="single" w:sz="4" w:space="0" w:color="auto"/>
              <w:bottom w:val="single" w:sz="4" w:space="0" w:color="auto"/>
              <w:right w:val="single" w:sz="4" w:space="0" w:color="auto"/>
            </w:tcBorders>
            <w:hideMark/>
          </w:tcPr>
          <w:p w14:paraId="0477B659" w14:textId="77777777" w:rsidR="003F76A0" w:rsidRPr="003F76A0" w:rsidRDefault="003F76A0">
            <w:pPr>
              <w:pStyle w:val="BodyText"/>
              <w:spacing w:before="120" w:after="120"/>
              <w:rPr>
                <w:sz w:val="16"/>
                <w:szCs w:val="16"/>
              </w:rPr>
            </w:pPr>
            <w:r w:rsidRPr="003F76A0">
              <w:rPr>
                <w:sz w:val="16"/>
                <w:szCs w:val="16"/>
              </w:rPr>
              <w:t>$</w:t>
            </w:r>
          </w:p>
        </w:tc>
      </w:tr>
      <w:tr w:rsidR="003F76A0" w:rsidRPr="003F76A0" w14:paraId="31C72158" w14:textId="77777777" w:rsidTr="003F76A0">
        <w:tc>
          <w:tcPr>
            <w:tcW w:w="4260" w:type="dxa"/>
            <w:tcBorders>
              <w:top w:val="single" w:sz="4" w:space="0" w:color="auto"/>
              <w:left w:val="single" w:sz="4" w:space="0" w:color="auto"/>
              <w:bottom w:val="single" w:sz="4" w:space="0" w:color="auto"/>
              <w:right w:val="single" w:sz="4" w:space="0" w:color="auto"/>
            </w:tcBorders>
            <w:vAlign w:val="center"/>
          </w:tcPr>
          <w:p w14:paraId="00472B5F" w14:textId="77777777" w:rsidR="003F76A0" w:rsidRPr="003F76A0" w:rsidRDefault="003F76A0">
            <w:pPr>
              <w:pStyle w:val="BodyText"/>
              <w:spacing w:before="120" w:after="120"/>
              <w:jc w:val="center"/>
              <w:rPr>
                <w:sz w:val="16"/>
                <w:szCs w:val="16"/>
              </w:rPr>
            </w:pPr>
          </w:p>
        </w:tc>
        <w:tc>
          <w:tcPr>
            <w:tcW w:w="2498" w:type="dxa"/>
            <w:tcBorders>
              <w:top w:val="single" w:sz="4" w:space="0" w:color="auto"/>
              <w:left w:val="single" w:sz="4" w:space="0" w:color="auto"/>
              <w:bottom w:val="single" w:sz="4" w:space="0" w:color="auto"/>
              <w:right w:val="single" w:sz="4" w:space="0" w:color="auto"/>
            </w:tcBorders>
            <w:vAlign w:val="center"/>
          </w:tcPr>
          <w:p w14:paraId="45579A60" w14:textId="77777777" w:rsidR="003F76A0" w:rsidRPr="003F76A0" w:rsidRDefault="003F76A0">
            <w:pPr>
              <w:pStyle w:val="BodyText"/>
              <w:spacing w:before="120" w:after="120"/>
              <w:jc w:val="center"/>
              <w:rPr>
                <w:i/>
                <w:iCs/>
                <w:sz w:val="16"/>
                <w:szCs w:val="16"/>
              </w:rPr>
            </w:pPr>
          </w:p>
        </w:tc>
        <w:tc>
          <w:tcPr>
            <w:tcW w:w="2604" w:type="dxa"/>
            <w:tcBorders>
              <w:top w:val="single" w:sz="4" w:space="0" w:color="auto"/>
              <w:left w:val="single" w:sz="4" w:space="0" w:color="auto"/>
              <w:bottom w:val="single" w:sz="4" w:space="0" w:color="auto"/>
              <w:right w:val="single" w:sz="4" w:space="0" w:color="auto"/>
            </w:tcBorders>
            <w:vAlign w:val="center"/>
          </w:tcPr>
          <w:p w14:paraId="4CCA3DED" w14:textId="77777777" w:rsidR="003F76A0" w:rsidRPr="003F76A0" w:rsidRDefault="003F76A0">
            <w:pPr>
              <w:pStyle w:val="BodyText"/>
              <w:spacing w:before="120" w:after="120"/>
              <w:jc w:val="center"/>
              <w:rPr>
                <w:sz w:val="16"/>
                <w:szCs w:val="16"/>
              </w:rPr>
            </w:pPr>
          </w:p>
        </w:tc>
        <w:tc>
          <w:tcPr>
            <w:tcW w:w="1871" w:type="dxa"/>
            <w:tcBorders>
              <w:top w:val="single" w:sz="4" w:space="0" w:color="auto"/>
              <w:left w:val="single" w:sz="4" w:space="0" w:color="auto"/>
              <w:bottom w:val="single" w:sz="4" w:space="0" w:color="auto"/>
              <w:right w:val="single" w:sz="4" w:space="0" w:color="auto"/>
            </w:tcBorders>
            <w:vAlign w:val="center"/>
          </w:tcPr>
          <w:p w14:paraId="05B6884A" w14:textId="77777777" w:rsidR="003F76A0" w:rsidRPr="003F76A0" w:rsidRDefault="003F76A0">
            <w:pPr>
              <w:pStyle w:val="BodyText"/>
              <w:spacing w:before="120" w:after="120"/>
              <w:jc w:val="center"/>
              <w:rPr>
                <w:sz w:val="16"/>
                <w:szCs w:val="16"/>
              </w:rPr>
            </w:pPr>
          </w:p>
        </w:tc>
        <w:tc>
          <w:tcPr>
            <w:tcW w:w="1775" w:type="dxa"/>
            <w:tcBorders>
              <w:top w:val="single" w:sz="4" w:space="0" w:color="auto"/>
              <w:left w:val="single" w:sz="4" w:space="0" w:color="auto"/>
              <w:bottom w:val="single" w:sz="4" w:space="0" w:color="auto"/>
              <w:right w:val="single" w:sz="4" w:space="0" w:color="auto"/>
            </w:tcBorders>
            <w:hideMark/>
          </w:tcPr>
          <w:p w14:paraId="46973488" w14:textId="77777777" w:rsidR="003F76A0" w:rsidRPr="003F76A0" w:rsidRDefault="003F76A0">
            <w:pPr>
              <w:pStyle w:val="BodyText"/>
              <w:spacing w:before="120" w:after="120"/>
              <w:rPr>
                <w:sz w:val="16"/>
                <w:szCs w:val="16"/>
              </w:rPr>
            </w:pPr>
            <w:r w:rsidRPr="003F76A0">
              <w:rPr>
                <w:sz w:val="16"/>
                <w:szCs w:val="16"/>
              </w:rPr>
              <w:t>$</w:t>
            </w:r>
          </w:p>
        </w:tc>
      </w:tr>
      <w:tr w:rsidR="003F76A0" w:rsidRPr="003F76A0" w14:paraId="37AB2998" w14:textId="77777777" w:rsidTr="003F76A0">
        <w:trPr>
          <w:trHeight w:val="56"/>
        </w:trPr>
        <w:tc>
          <w:tcPr>
            <w:tcW w:w="4260" w:type="dxa"/>
            <w:tcBorders>
              <w:top w:val="single" w:sz="4" w:space="0" w:color="auto"/>
              <w:left w:val="single" w:sz="4" w:space="0" w:color="auto"/>
              <w:bottom w:val="single" w:sz="4" w:space="0" w:color="auto"/>
              <w:right w:val="single" w:sz="4" w:space="0" w:color="auto"/>
            </w:tcBorders>
            <w:vAlign w:val="center"/>
          </w:tcPr>
          <w:p w14:paraId="3F5701F0" w14:textId="77777777" w:rsidR="003F76A0" w:rsidRPr="003F76A0" w:rsidRDefault="003F76A0">
            <w:pPr>
              <w:pStyle w:val="BodyText"/>
              <w:spacing w:before="120" w:after="120"/>
              <w:jc w:val="center"/>
              <w:rPr>
                <w:sz w:val="16"/>
                <w:szCs w:val="16"/>
              </w:rPr>
            </w:pPr>
          </w:p>
        </w:tc>
        <w:tc>
          <w:tcPr>
            <w:tcW w:w="2498" w:type="dxa"/>
            <w:tcBorders>
              <w:top w:val="single" w:sz="4" w:space="0" w:color="auto"/>
              <w:left w:val="single" w:sz="4" w:space="0" w:color="auto"/>
              <w:bottom w:val="single" w:sz="4" w:space="0" w:color="auto"/>
              <w:right w:val="single" w:sz="4" w:space="0" w:color="auto"/>
            </w:tcBorders>
            <w:vAlign w:val="center"/>
          </w:tcPr>
          <w:p w14:paraId="07F22D48" w14:textId="77777777" w:rsidR="003F76A0" w:rsidRPr="003F76A0" w:rsidRDefault="003F76A0">
            <w:pPr>
              <w:pStyle w:val="BodyText"/>
              <w:spacing w:before="120" w:after="120"/>
              <w:jc w:val="center"/>
              <w:rPr>
                <w:sz w:val="16"/>
                <w:szCs w:val="16"/>
              </w:rPr>
            </w:pPr>
          </w:p>
        </w:tc>
        <w:tc>
          <w:tcPr>
            <w:tcW w:w="2604" w:type="dxa"/>
            <w:tcBorders>
              <w:top w:val="single" w:sz="4" w:space="0" w:color="auto"/>
              <w:left w:val="single" w:sz="4" w:space="0" w:color="auto"/>
              <w:bottom w:val="single" w:sz="4" w:space="0" w:color="auto"/>
              <w:right w:val="single" w:sz="4" w:space="0" w:color="auto"/>
            </w:tcBorders>
            <w:vAlign w:val="center"/>
          </w:tcPr>
          <w:p w14:paraId="70BFD581" w14:textId="77777777" w:rsidR="003F76A0" w:rsidRPr="003F76A0" w:rsidRDefault="003F76A0">
            <w:pPr>
              <w:pStyle w:val="BodyText"/>
              <w:spacing w:before="120" w:after="120"/>
              <w:jc w:val="center"/>
              <w:rPr>
                <w:sz w:val="16"/>
                <w:szCs w:val="16"/>
              </w:rPr>
            </w:pPr>
          </w:p>
        </w:tc>
        <w:tc>
          <w:tcPr>
            <w:tcW w:w="1871" w:type="dxa"/>
            <w:tcBorders>
              <w:top w:val="single" w:sz="4" w:space="0" w:color="auto"/>
              <w:left w:val="single" w:sz="4" w:space="0" w:color="auto"/>
              <w:bottom w:val="single" w:sz="4" w:space="0" w:color="auto"/>
              <w:right w:val="single" w:sz="4" w:space="0" w:color="auto"/>
            </w:tcBorders>
            <w:vAlign w:val="center"/>
          </w:tcPr>
          <w:p w14:paraId="0A6EB878" w14:textId="77777777" w:rsidR="003F76A0" w:rsidRPr="003F76A0" w:rsidRDefault="003F76A0">
            <w:pPr>
              <w:pStyle w:val="BodyText"/>
              <w:spacing w:before="120" w:after="120"/>
              <w:jc w:val="center"/>
              <w:rPr>
                <w:sz w:val="16"/>
                <w:szCs w:val="16"/>
              </w:rPr>
            </w:pPr>
          </w:p>
        </w:tc>
        <w:tc>
          <w:tcPr>
            <w:tcW w:w="1775" w:type="dxa"/>
            <w:tcBorders>
              <w:top w:val="single" w:sz="4" w:space="0" w:color="auto"/>
              <w:left w:val="single" w:sz="4" w:space="0" w:color="auto"/>
              <w:bottom w:val="single" w:sz="4" w:space="0" w:color="auto"/>
              <w:right w:val="single" w:sz="4" w:space="0" w:color="auto"/>
            </w:tcBorders>
            <w:hideMark/>
          </w:tcPr>
          <w:p w14:paraId="54A777C8" w14:textId="77777777" w:rsidR="003F76A0" w:rsidRPr="003F76A0" w:rsidRDefault="003F76A0">
            <w:pPr>
              <w:pStyle w:val="BodyText"/>
              <w:spacing w:before="120" w:after="120"/>
              <w:rPr>
                <w:sz w:val="16"/>
                <w:szCs w:val="16"/>
              </w:rPr>
            </w:pPr>
            <w:r w:rsidRPr="003F76A0">
              <w:rPr>
                <w:sz w:val="16"/>
                <w:szCs w:val="16"/>
              </w:rPr>
              <w:t>$</w:t>
            </w:r>
          </w:p>
        </w:tc>
      </w:tr>
      <w:tr w:rsidR="003F76A0" w:rsidRPr="003F76A0" w14:paraId="18E4C363" w14:textId="77777777" w:rsidTr="003F76A0">
        <w:trPr>
          <w:trHeight w:val="56"/>
        </w:trPr>
        <w:tc>
          <w:tcPr>
            <w:tcW w:w="4260" w:type="dxa"/>
            <w:tcBorders>
              <w:top w:val="single" w:sz="4" w:space="0" w:color="auto"/>
              <w:left w:val="single" w:sz="4" w:space="0" w:color="auto"/>
              <w:bottom w:val="single" w:sz="4" w:space="0" w:color="auto"/>
              <w:right w:val="single" w:sz="4" w:space="0" w:color="auto"/>
            </w:tcBorders>
            <w:vAlign w:val="center"/>
          </w:tcPr>
          <w:p w14:paraId="3C678250" w14:textId="77777777" w:rsidR="003F76A0" w:rsidRPr="003F76A0" w:rsidRDefault="003F76A0">
            <w:pPr>
              <w:pStyle w:val="BodyText"/>
              <w:spacing w:before="120" w:after="120"/>
              <w:jc w:val="center"/>
              <w:rPr>
                <w:sz w:val="16"/>
                <w:szCs w:val="16"/>
              </w:rPr>
            </w:pPr>
            <w:bookmarkStart w:id="5461" w:name="_Toc193894042"/>
          </w:p>
        </w:tc>
        <w:tc>
          <w:tcPr>
            <w:tcW w:w="2498" w:type="dxa"/>
            <w:tcBorders>
              <w:top w:val="single" w:sz="4" w:space="0" w:color="auto"/>
              <w:left w:val="single" w:sz="4" w:space="0" w:color="auto"/>
              <w:bottom w:val="single" w:sz="4" w:space="0" w:color="auto"/>
              <w:right w:val="single" w:sz="4" w:space="0" w:color="auto"/>
            </w:tcBorders>
            <w:vAlign w:val="center"/>
          </w:tcPr>
          <w:p w14:paraId="69FF0596" w14:textId="77777777" w:rsidR="003F76A0" w:rsidRPr="003F76A0" w:rsidRDefault="003F76A0">
            <w:pPr>
              <w:pStyle w:val="BodyText"/>
              <w:spacing w:before="120" w:after="120"/>
              <w:jc w:val="center"/>
              <w:rPr>
                <w:sz w:val="16"/>
                <w:szCs w:val="16"/>
              </w:rPr>
            </w:pPr>
          </w:p>
        </w:tc>
        <w:tc>
          <w:tcPr>
            <w:tcW w:w="2604" w:type="dxa"/>
            <w:tcBorders>
              <w:top w:val="single" w:sz="4" w:space="0" w:color="auto"/>
              <w:left w:val="single" w:sz="4" w:space="0" w:color="auto"/>
              <w:bottom w:val="single" w:sz="4" w:space="0" w:color="auto"/>
              <w:right w:val="single" w:sz="4" w:space="0" w:color="auto"/>
            </w:tcBorders>
            <w:vAlign w:val="center"/>
          </w:tcPr>
          <w:p w14:paraId="7786331D" w14:textId="77777777" w:rsidR="003F76A0" w:rsidRPr="003F76A0" w:rsidRDefault="003F76A0">
            <w:pPr>
              <w:pStyle w:val="BodyText"/>
              <w:spacing w:before="120" w:after="120"/>
              <w:jc w:val="center"/>
              <w:rPr>
                <w:sz w:val="16"/>
                <w:szCs w:val="16"/>
              </w:rPr>
            </w:pPr>
          </w:p>
        </w:tc>
        <w:tc>
          <w:tcPr>
            <w:tcW w:w="1871" w:type="dxa"/>
            <w:tcBorders>
              <w:top w:val="single" w:sz="4" w:space="0" w:color="auto"/>
              <w:left w:val="single" w:sz="4" w:space="0" w:color="auto"/>
              <w:bottom w:val="single" w:sz="4" w:space="0" w:color="auto"/>
              <w:right w:val="single" w:sz="4" w:space="0" w:color="auto"/>
            </w:tcBorders>
            <w:vAlign w:val="center"/>
          </w:tcPr>
          <w:p w14:paraId="7263E7C1" w14:textId="77777777" w:rsidR="003F76A0" w:rsidRPr="003F76A0" w:rsidRDefault="003F76A0">
            <w:pPr>
              <w:pStyle w:val="BodyText"/>
              <w:spacing w:before="120" w:after="120"/>
              <w:jc w:val="center"/>
              <w:rPr>
                <w:sz w:val="16"/>
                <w:szCs w:val="16"/>
              </w:rPr>
            </w:pPr>
          </w:p>
        </w:tc>
        <w:tc>
          <w:tcPr>
            <w:tcW w:w="1775" w:type="dxa"/>
            <w:tcBorders>
              <w:top w:val="single" w:sz="4" w:space="0" w:color="auto"/>
              <w:left w:val="single" w:sz="4" w:space="0" w:color="auto"/>
              <w:bottom w:val="single" w:sz="4" w:space="0" w:color="auto"/>
              <w:right w:val="single" w:sz="4" w:space="0" w:color="auto"/>
            </w:tcBorders>
            <w:hideMark/>
          </w:tcPr>
          <w:p w14:paraId="7DBEB9A4" w14:textId="77777777" w:rsidR="003F76A0" w:rsidRPr="003F76A0" w:rsidRDefault="003F76A0">
            <w:pPr>
              <w:pStyle w:val="BodyText"/>
              <w:spacing w:before="120" w:after="120"/>
              <w:rPr>
                <w:sz w:val="16"/>
                <w:szCs w:val="16"/>
              </w:rPr>
            </w:pPr>
            <w:r w:rsidRPr="003F76A0">
              <w:rPr>
                <w:sz w:val="16"/>
                <w:szCs w:val="16"/>
              </w:rPr>
              <w:t>$</w:t>
            </w:r>
          </w:p>
        </w:tc>
      </w:tr>
      <w:tr w:rsidR="003F76A0" w:rsidRPr="003F76A0" w14:paraId="460EA553" w14:textId="77777777" w:rsidTr="003F76A0">
        <w:trPr>
          <w:trHeight w:val="56"/>
        </w:trPr>
        <w:tc>
          <w:tcPr>
            <w:tcW w:w="4260" w:type="dxa"/>
            <w:tcBorders>
              <w:top w:val="single" w:sz="4" w:space="0" w:color="auto"/>
              <w:left w:val="single" w:sz="4" w:space="0" w:color="auto"/>
              <w:bottom w:val="single" w:sz="4" w:space="0" w:color="auto"/>
              <w:right w:val="single" w:sz="4" w:space="0" w:color="auto"/>
            </w:tcBorders>
            <w:vAlign w:val="center"/>
          </w:tcPr>
          <w:p w14:paraId="1B287BB8" w14:textId="77777777" w:rsidR="003F76A0" w:rsidRPr="003F76A0" w:rsidRDefault="003F76A0">
            <w:pPr>
              <w:pStyle w:val="BodyText"/>
              <w:spacing w:before="120" w:after="120"/>
              <w:jc w:val="center"/>
              <w:rPr>
                <w:sz w:val="16"/>
                <w:szCs w:val="16"/>
              </w:rPr>
            </w:pPr>
          </w:p>
        </w:tc>
        <w:tc>
          <w:tcPr>
            <w:tcW w:w="2498" w:type="dxa"/>
            <w:tcBorders>
              <w:top w:val="single" w:sz="4" w:space="0" w:color="auto"/>
              <w:left w:val="single" w:sz="4" w:space="0" w:color="auto"/>
              <w:bottom w:val="single" w:sz="4" w:space="0" w:color="auto"/>
              <w:right w:val="single" w:sz="4" w:space="0" w:color="auto"/>
            </w:tcBorders>
            <w:vAlign w:val="center"/>
          </w:tcPr>
          <w:p w14:paraId="7B1EF1A5" w14:textId="77777777" w:rsidR="003F76A0" w:rsidRPr="003F76A0" w:rsidRDefault="003F76A0">
            <w:pPr>
              <w:pStyle w:val="BodyText"/>
              <w:spacing w:before="120" w:after="120"/>
              <w:jc w:val="center"/>
              <w:rPr>
                <w:sz w:val="16"/>
                <w:szCs w:val="16"/>
              </w:rPr>
            </w:pPr>
          </w:p>
        </w:tc>
        <w:tc>
          <w:tcPr>
            <w:tcW w:w="2604" w:type="dxa"/>
            <w:tcBorders>
              <w:top w:val="single" w:sz="4" w:space="0" w:color="auto"/>
              <w:left w:val="single" w:sz="4" w:space="0" w:color="auto"/>
              <w:bottom w:val="single" w:sz="4" w:space="0" w:color="auto"/>
              <w:right w:val="single" w:sz="4" w:space="0" w:color="auto"/>
            </w:tcBorders>
            <w:vAlign w:val="center"/>
          </w:tcPr>
          <w:p w14:paraId="6D2942CC" w14:textId="77777777" w:rsidR="003F76A0" w:rsidRPr="003F76A0" w:rsidRDefault="003F76A0">
            <w:pPr>
              <w:pStyle w:val="BodyText"/>
              <w:spacing w:before="120" w:after="120"/>
              <w:jc w:val="center"/>
              <w:rPr>
                <w:sz w:val="16"/>
                <w:szCs w:val="16"/>
              </w:rPr>
            </w:pPr>
          </w:p>
        </w:tc>
        <w:tc>
          <w:tcPr>
            <w:tcW w:w="1871" w:type="dxa"/>
            <w:tcBorders>
              <w:top w:val="single" w:sz="4" w:space="0" w:color="auto"/>
              <w:left w:val="single" w:sz="4" w:space="0" w:color="auto"/>
              <w:bottom w:val="single" w:sz="4" w:space="0" w:color="auto"/>
              <w:right w:val="single" w:sz="4" w:space="0" w:color="auto"/>
            </w:tcBorders>
            <w:vAlign w:val="center"/>
          </w:tcPr>
          <w:p w14:paraId="62F46FB0" w14:textId="77777777" w:rsidR="003F76A0" w:rsidRPr="003F76A0" w:rsidRDefault="003F76A0">
            <w:pPr>
              <w:pStyle w:val="BodyText"/>
              <w:spacing w:before="120" w:after="120"/>
              <w:jc w:val="center"/>
              <w:rPr>
                <w:sz w:val="16"/>
                <w:szCs w:val="16"/>
              </w:rPr>
            </w:pPr>
          </w:p>
        </w:tc>
        <w:tc>
          <w:tcPr>
            <w:tcW w:w="1775" w:type="dxa"/>
            <w:tcBorders>
              <w:top w:val="single" w:sz="4" w:space="0" w:color="auto"/>
              <w:left w:val="single" w:sz="4" w:space="0" w:color="auto"/>
              <w:bottom w:val="single" w:sz="4" w:space="0" w:color="auto"/>
              <w:right w:val="single" w:sz="4" w:space="0" w:color="auto"/>
            </w:tcBorders>
            <w:hideMark/>
          </w:tcPr>
          <w:p w14:paraId="566D9C36" w14:textId="77777777" w:rsidR="003F76A0" w:rsidRPr="003F76A0" w:rsidRDefault="003F76A0">
            <w:pPr>
              <w:pStyle w:val="BodyText"/>
              <w:spacing w:before="120" w:after="120"/>
              <w:rPr>
                <w:sz w:val="16"/>
                <w:szCs w:val="16"/>
              </w:rPr>
            </w:pPr>
            <w:r w:rsidRPr="003F76A0">
              <w:rPr>
                <w:sz w:val="16"/>
                <w:szCs w:val="16"/>
              </w:rPr>
              <w:t>$</w:t>
            </w:r>
          </w:p>
        </w:tc>
      </w:tr>
      <w:tr w:rsidR="003F76A0" w:rsidRPr="003F76A0" w14:paraId="687B48E3" w14:textId="77777777" w:rsidTr="003F76A0">
        <w:trPr>
          <w:trHeight w:val="56"/>
        </w:trPr>
        <w:tc>
          <w:tcPr>
            <w:tcW w:w="4260" w:type="dxa"/>
            <w:tcBorders>
              <w:top w:val="single" w:sz="4" w:space="0" w:color="auto"/>
              <w:left w:val="single" w:sz="4" w:space="0" w:color="auto"/>
              <w:bottom w:val="single" w:sz="4" w:space="0" w:color="auto"/>
              <w:right w:val="single" w:sz="4" w:space="0" w:color="auto"/>
            </w:tcBorders>
            <w:vAlign w:val="center"/>
          </w:tcPr>
          <w:p w14:paraId="3AE93599" w14:textId="77777777" w:rsidR="003F76A0" w:rsidRPr="003F76A0" w:rsidRDefault="003F76A0">
            <w:pPr>
              <w:pStyle w:val="BodyText"/>
              <w:spacing w:before="120" w:after="120"/>
              <w:jc w:val="center"/>
              <w:rPr>
                <w:sz w:val="16"/>
                <w:szCs w:val="16"/>
              </w:rPr>
            </w:pPr>
          </w:p>
        </w:tc>
        <w:tc>
          <w:tcPr>
            <w:tcW w:w="2498" w:type="dxa"/>
            <w:tcBorders>
              <w:top w:val="single" w:sz="4" w:space="0" w:color="auto"/>
              <w:left w:val="single" w:sz="4" w:space="0" w:color="auto"/>
              <w:bottom w:val="single" w:sz="4" w:space="0" w:color="auto"/>
              <w:right w:val="single" w:sz="4" w:space="0" w:color="auto"/>
            </w:tcBorders>
            <w:vAlign w:val="center"/>
          </w:tcPr>
          <w:p w14:paraId="1FB9FD42" w14:textId="77777777" w:rsidR="003F76A0" w:rsidRPr="003F76A0" w:rsidRDefault="003F76A0">
            <w:pPr>
              <w:pStyle w:val="BodyText"/>
              <w:spacing w:before="120" w:after="120"/>
              <w:jc w:val="center"/>
              <w:rPr>
                <w:sz w:val="16"/>
                <w:szCs w:val="16"/>
              </w:rPr>
            </w:pPr>
          </w:p>
        </w:tc>
        <w:tc>
          <w:tcPr>
            <w:tcW w:w="2604" w:type="dxa"/>
            <w:tcBorders>
              <w:top w:val="single" w:sz="4" w:space="0" w:color="auto"/>
              <w:left w:val="single" w:sz="4" w:space="0" w:color="auto"/>
              <w:bottom w:val="single" w:sz="4" w:space="0" w:color="auto"/>
              <w:right w:val="single" w:sz="4" w:space="0" w:color="auto"/>
            </w:tcBorders>
            <w:vAlign w:val="center"/>
          </w:tcPr>
          <w:p w14:paraId="3D359C2D" w14:textId="77777777" w:rsidR="003F76A0" w:rsidRPr="003F76A0" w:rsidRDefault="003F76A0">
            <w:pPr>
              <w:pStyle w:val="BodyText"/>
              <w:spacing w:before="120" w:after="120"/>
              <w:jc w:val="center"/>
              <w:rPr>
                <w:sz w:val="16"/>
                <w:szCs w:val="16"/>
              </w:rPr>
            </w:pPr>
          </w:p>
        </w:tc>
        <w:tc>
          <w:tcPr>
            <w:tcW w:w="1871" w:type="dxa"/>
            <w:tcBorders>
              <w:top w:val="single" w:sz="4" w:space="0" w:color="auto"/>
              <w:left w:val="single" w:sz="4" w:space="0" w:color="auto"/>
              <w:bottom w:val="single" w:sz="4" w:space="0" w:color="auto"/>
              <w:right w:val="single" w:sz="4" w:space="0" w:color="auto"/>
            </w:tcBorders>
            <w:vAlign w:val="center"/>
          </w:tcPr>
          <w:p w14:paraId="4CB543F6" w14:textId="77777777" w:rsidR="003F76A0" w:rsidRPr="003F76A0" w:rsidRDefault="003F76A0">
            <w:pPr>
              <w:pStyle w:val="BodyText"/>
              <w:spacing w:before="120" w:after="120"/>
              <w:jc w:val="center"/>
              <w:rPr>
                <w:sz w:val="16"/>
                <w:szCs w:val="16"/>
              </w:rPr>
            </w:pPr>
          </w:p>
        </w:tc>
        <w:tc>
          <w:tcPr>
            <w:tcW w:w="1775" w:type="dxa"/>
            <w:tcBorders>
              <w:top w:val="single" w:sz="4" w:space="0" w:color="auto"/>
              <w:left w:val="single" w:sz="4" w:space="0" w:color="auto"/>
              <w:bottom w:val="single" w:sz="4" w:space="0" w:color="auto"/>
              <w:right w:val="single" w:sz="4" w:space="0" w:color="auto"/>
            </w:tcBorders>
            <w:hideMark/>
          </w:tcPr>
          <w:p w14:paraId="60FD177F" w14:textId="77777777" w:rsidR="003F76A0" w:rsidRPr="003F76A0" w:rsidRDefault="003F76A0">
            <w:pPr>
              <w:pStyle w:val="BodyText"/>
              <w:spacing w:before="120" w:after="120"/>
              <w:rPr>
                <w:sz w:val="16"/>
                <w:szCs w:val="16"/>
              </w:rPr>
            </w:pPr>
            <w:r w:rsidRPr="003F76A0">
              <w:rPr>
                <w:sz w:val="16"/>
                <w:szCs w:val="16"/>
              </w:rPr>
              <w:t>$</w:t>
            </w:r>
          </w:p>
        </w:tc>
      </w:tr>
      <w:tr w:rsidR="003F76A0" w:rsidRPr="003F76A0" w14:paraId="592C7538" w14:textId="77777777" w:rsidTr="003F76A0">
        <w:trPr>
          <w:trHeight w:val="56"/>
        </w:trPr>
        <w:tc>
          <w:tcPr>
            <w:tcW w:w="4260" w:type="dxa"/>
            <w:tcBorders>
              <w:top w:val="single" w:sz="4" w:space="0" w:color="auto"/>
              <w:left w:val="single" w:sz="4" w:space="0" w:color="auto"/>
              <w:bottom w:val="single" w:sz="4" w:space="0" w:color="auto"/>
              <w:right w:val="single" w:sz="4" w:space="0" w:color="auto"/>
            </w:tcBorders>
            <w:vAlign w:val="center"/>
          </w:tcPr>
          <w:p w14:paraId="5CA81FEE" w14:textId="77777777" w:rsidR="003F76A0" w:rsidRPr="003F76A0" w:rsidRDefault="003F76A0">
            <w:pPr>
              <w:pStyle w:val="BodyText"/>
              <w:spacing w:before="120" w:after="120"/>
              <w:jc w:val="center"/>
              <w:rPr>
                <w:sz w:val="16"/>
                <w:szCs w:val="16"/>
              </w:rPr>
            </w:pPr>
          </w:p>
        </w:tc>
        <w:tc>
          <w:tcPr>
            <w:tcW w:w="2498" w:type="dxa"/>
            <w:tcBorders>
              <w:top w:val="single" w:sz="4" w:space="0" w:color="auto"/>
              <w:left w:val="single" w:sz="4" w:space="0" w:color="auto"/>
              <w:bottom w:val="single" w:sz="4" w:space="0" w:color="auto"/>
              <w:right w:val="single" w:sz="4" w:space="0" w:color="auto"/>
            </w:tcBorders>
            <w:vAlign w:val="center"/>
          </w:tcPr>
          <w:p w14:paraId="38DDC3C7" w14:textId="77777777" w:rsidR="003F76A0" w:rsidRPr="003F76A0" w:rsidRDefault="003F76A0">
            <w:pPr>
              <w:pStyle w:val="BodyText"/>
              <w:spacing w:before="120" w:after="120"/>
              <w:jc w:val="center"/>
              <w:rPr>
                <w:sz w:val="16"/>
                <w:szCs w:val="16"/>
              </w:rPr>
            </w:pPr>
          </w:p>
        </w:tc>
        <w:tc>
          <w:tcPr>
            <w:tcW w:w="2604" w:type="dxa"/>
            <w:tcBorders>
              <w:top w:val="single" w:sz="4" w:space="0" w:color="auto"/>
              <w:left w:val="single" w:sz="4" w:space="0" w:color="auto"/>
              <w:bottom w:val="single" w:sz="4" w:space="0" w:color="auto"/>
              <w:right w:val="single" w:sz="4" w:space="0" w:color="auto"/>
            </w:tcBorders>
            <w:vAlign w:val="center"/>
          </w:tcPr>
          <w:p w14:paraId="2EAC8CB9" w14:textId="77777777" w:rsidR="003F76A0" w:rsidRPr="003F76A0" w:rsidRDefault="003F76A0">
            <w:pPr>
              <w:pStyle w:val="BodyText"/>
              <w:spacing w:before="120" w:after="120"/>
              <w:jc w:val="center"/>
              <w:rPr>
                <w:sz w:val="16"/>
                <w:szCs w:val="16"/>
              </w:rPr>
            </w:pPr>
          </w:p>
        </w:tc>
        <w:tc>
          <w:tcPr>
            <w:tcW w:w="1871" w:type="dxa"/>
            <w:tcBorders>
              <w:top w:val="single" w:sz="4" w:space="0" w:color="auto"/>
              <w:left w:val="single" w:sz="4" w:space="0" w:color="auto"/>
              <w:bottom w:val="single" w:sz="4" w:space="0" w:color="auto"/>
              <w:right w:val="single" w:sz="4" w:space="0" w:color="auto"/>
            </w:tcBorders>
            <w:vAlign w:val="center"/>
          </w:tcPr>
          <w:p w14:paraId="2C9F7079" w14:textId="77777777" w:rsidR="003F76A0" w:rsidRPr="003F76A0" w:rsidRDefault="003F76A0">
            <w:pPr>
              <w:pStyle w:val="BodyText"/>
              <w:spacing w:before="120" w:after="120"/>
              <w:jc w:val="center"/>
              <w:rPr>
                <w:sz w:val="16"/>
                <w:szCs w:val="16"/>
              </w:rPr>
            </w:pPr>
          </w:p>
        </w:tc>
        <w:tc>
          <w:tcPr>
            <w:tcW w:w="1775" w:type="dxa"/>
            <w:tcBorders>
              <w:top w:val="single" w:sz="4" w:space="0" w:color="auto"/>
              <w:left w:val="single" w:sz="4" w:space="0" w:color="auto"/>
              <w:bottom w:val="single" w:sz="4" w:space="0" w:color="auto"/>
              <w:right w:val="single" w:sz="4" w:space="0" w:color="auto"/>
            </w:tcBorders>
            <w:hideMark/>
          </w:tcPr>
          <w:p w14:paraId="7BAA8E92" w14:textId="77777777" w:rsidR="003F76A0" w:rsidRPr="003F76A0" w:rsidRDefault="003F76A0">
            <w:pPr>
              <w:pStyle w:val="BodyText"/>
              <w:spacing w:before="120" w:after="120"/>
              <w:rPr>
                <w:sz w:val="16"/>
                <w:szCs w:val="16"/>
              </w:rPr>
            </w:pPr>
            <w:r w:rsidRPr="003F76A0">
              <w:rPr>
                <w:sz w:val="16"/>
                <w:szCs w:val="16"/>
              </w:rPr>
              <w:t>$</w:t>
            </w:r>
          </w:p>
        </w:tc>
      </w:tr>
      <w:tr w:rsidR="003F76A0" w:rsidRPr="003F76A0" w14:paraId="6212C934" w14:textId="77777777" w:rsidTr="003F76A0">
        <w:trPr>
          <w:trHeight w:val="56"/>
        </w:trPr>
        <w:tc>
          <w:tcPr>
            <w:tcW w:w="4260" w:type="dxa"/>
            <w:tcBorders>
              <w:top w:val="single" w:sz="4" w:space="0" w:color="auto"/>
              <w:left w:val="single" w:sz="4" w:space="0" w:color="auto"/>
              <w:bottom w:val="single" w:sz="4" w:space="0" w:color="auto"/>
              <w:right w:val="single" w:sz="4" w:space="0" w:color="auto"/>
            </w:tcBorders>
            <w:vAlign w:val="center"/>
          </w:tcPr>
          <w:p w14:paraId="1999BAB1" w14:textId="77777777" w:rsidR="003F76A0" w:rsidRPr="003F76A0" w:rsidRDefault="003F76A0">
            <w:pPr>
              <w:pStyle w:val="BodyText"/>
              <w:spacing w:before="120" w:after="120"/>
              <w:jc w:val="center"/>
              <w:rPr>
                <w:sz w:val="16"/>
                <w:szCs w:val="16"/>
              </w:rPr>
            </w:pPr>
          </w:p>
        </w:tc>
        <w:tc>
          <w:tcPr>
            <w:tcW w:w="2498" w:type="dxa"/>
            <w:tcBorders>
              <w:top w:val="single" w:sz="4" w:space="0" w:color="auto"/>
              <w:left w:val="single" w:sz="4" w:space="0" w:color="auto"/>
              <w:bottom w:val="single" w:sz="4" w:space="0" w:color="auto"/>
              <w:right w:val="single" w:sz="4" w:space="0" w:color="auto"/>
            </w:tcBorders>
            <w:vAlign w:val="center"/>
          </w:tcPr>
          <w:p w14:paraId="399BC782" w14:textId="77777777" w:rsidR="003F76A0" w:rsidRPr="003F76A0" w:rsidRDefault="003F76A0">
            <w:pPr>
              <w:pStyle w:val="BodyText"/>
              <w:spacing w:before="120" w:after="120"/>
              <w:jc w:val="center"/>
              <w:rPr>
                <w:sz w:val="16"/>
                <w:szCs w:val="16"/>
              </w:rPr>
            </w:pPr>
          </w:p>
        </w:tc>
        <w:tc>
          <w:tcPr>
            <w:tcW w:w="2604" w:type="dxa"/>
            <w:tcBorders>
              <w:top w:val="single" w:sz="4" w:space="0" w:color="auto"/>
              <w:left w:val="single" w:sz="4" w:space="0" w:color="auto"/>
              <w:bottom w:val="single" w:sz="4" w:space="0" w:color="auto"/>
              <w:right w:val="single" w:sz="4" w:space="0" w:color="auto"/>
            </w:tcBorders>
            <w:vAlign w:val="center"/>
          </w:tcPr>
          <w:p w14:paraId="28418A57" w14:textId="77777777" w:rsidR="003F76A0" w:rsidRPr="003F76A0" w:rsidRDefault="003F76A0">
            <w:pPr>
              <w:pStyle w:val="BodyText"/>
              <w:spacing w:before="120" w:after="120"/>
              <w:jc w:val="center"/>
              <w:rPr>
                <w:sz w:val="16"/>
                <w:szCs w:val="16"/>
              </w:rPr>
            </w:pPr>
          </w:p>
        </w:tc>
        <w:tc>
          <w:tcPr>
            <w:tcW w:w="1871" w:type="dxa"/>
            <w:tcBorders>
              <w:top w:val="single" w:sz="4" w:space="0" w:color="auto"/>
              <w:left w:val="single" w:sz="4" w:space="0" w:color="auto"/>
              <w:bottom w:val="single" w:sz="4" w:space="0" w:color="auto"/>
              <w:right w:val="single" w:sz="4" w:space="0" w:color="auto"/>
            </w:tcBorders>
            <w:vAlign w:val="center"/>
          </w:tcPr>
          <w:p w14:paraId="7564E359" w14:textId="77777777" w:rsidR="003F76A0" w:rsidRPr="003F76A0" w:rsidRDefault="003F76A0">
            <w:pPr>
              <w:pStyle w:val="BodyText"/>
              <w:spacing w:before="120" w:after="120"/>
              <w:jc w:val="center"/>
              <w:rPr>
                <w:sz w:val="16"/>
                <w:szCs w:val="16"/>
              </w:rPr>
            </w:pPr>
          </w:p>
        </w:tc>
        <w:tc>
          <w:tcPr>
            <w:tcW w:w="1775" w:type="dxa"/>
            <w:tcBorders>
              <w:top w:val="single" w:sz="4" w:space="0" w:color="auto"/>
              <w:left w:val="single" w:sz="4" w:space="0" w:color="auto"/>
              <w:bottom w:val="single" w:sz="4" w:space="0" w:color="auto"/>
              <w:right w:val="single" w:sz="4" w:space="0" w:color="auto"/>
            </w:tcBorders>
            <w:hideMark/>
          </w:tcPr>
          <w:p w14:paraId="3A72D2EE" w14:textId="77777777" w:rsidR="003F76A0" w:rsidRPr="003F76A0" w:rsidRDefault="003F76A0">
            <w:pPr>
              <w:pStyle w:val="BodyText"/>
              <w:spacing w:before="120" w:after="120"/>
              <w:rPr>
                <w:sz w:val="16"/>
                <w:szCs w:val="16"/>
              </w:rPr>
            </w:pPr>
            <w:r w:rsidRPr="003F76A0">
              <w:rPr>
                <w:sz w:val="16"/>
                <w:szCs w:val="16"/>
              </w:rPr>
              <w:t>$</w:t>
            </w:r>
          </w:p>
        </w:tc>
      </w:tr>
    </w:tbl>
    <w:p w14:paraId="7A1C240C" w14:textId="77777777" w:rsidR="0024371D" w:rsidRDefault="0024371D" w:rsidP="003F76A0">
      <w:pPr>
        <w:sectPr w:rsidR="0024371D" w:rsidSect="00E5595F">
          <w:footerReference w:type="default" r:id="rId44"/>
          <w:footerReference w:type="first" r:id="rId45"/>
          <w:pgSz w:w="16840" w:h="11907" w:orient="landscape"/>
          <w:pgMar w:top="1417" w:right="1701" w:bottom="1417" w:left="1417" w:header="425" w:footer="567" w:gutter="0"/>
          <w:cols w:space="720"/>
          <w:docGrid w:linePitch="272"/>
        </w:sectPr>
      </w:pPr>
    </w:p>
    <w:p w14:paraId="5AA63FC4" w14:textId="77777777" w:rsidR="003F76A0" w:rsidRPr="003F76A0" w:rsidRDefault="003F76A0" w:rsidP="003F76A0">
      <w:pPr>
        <w:pStyle w:val="SchedH1"/>
        <w:numPr>
          <w:ilvl w:val="1"/>
          <w:numId w:val="42"/>
        </w:numPr>
      </w:pPr>
      <w:r w:rsidRPr="003F76A0">
        <w:t>Other Social Licence Commitments</w:t>
      </w:r>
      <w:bookmarkEnd w:id="5461"/>
    </w:p>
    <w:p w14:paraId="36E91D51" w14:textId="77777777" w:rsidR="003F76A0" w:rsidRPr="003F76A0" w:rsidRDefault="003F76A0" w:rsidP="003F76A0">
      <w:pPr>
        <w:pStyle w:val="SchedH3"/>
        <w:numPr>
          <w:ilvl w:val="3"/>
          <w:numId w:val="42"/>
        </w:numPr>
        <w:rPr>
          <w:b/>
          <w:bCs/>
        </w:rPr>
      </w:pPr>
      <w:r w:rsidRPr="003F76A0">
        <w:rPr>
          <w:b/>
          <w:bCs/>
        </w:rPr>
        <w:t>Local supply chain commitments, investment and innovation, employment and workforce commitments</w:t>
      </w:r>
    </w:p>
    <w:p w14:paraId="28168179" w14:textId="773F864D" w:rsidR="003F76A0" w:rsidRPr="003F76A0" w:rsidRDefault="003F76A0" w:rsidP="003F76A0">
      <w:pPr>
        <w:pStyle w:val="Indent2"/>
        <w:rPr>
          <w:rFonts w:eastAsiaTheme="minorEastAsia"/>
        </w:rPr>
      </w:pPr>
      <w:r w:rsidRPr="003F76A0">
        <w:rPr>
          <w:rFonts w:eastAsiaTheme="minorEastAsia"/>
        </w:rPr>
        <w:t xml:space="preserve">In accordance with clause </w:t>
      </w:r>
      <w:r w:rsidR="00883C27" w:rsidRPr="002157AE">
        <w:rPr>
          <w:rFonts w:eastAsia="SimSun"/>
          <w:b/>
          <w:i/>
        </w:rPr>
        <w:fldChar w:fldCharType="begin"/>
      </w:r>
      <w:r w:rsidR="00883C27" w:rsidRPr="002157AE">
        <w:rPr>
          <w:rFonts w:eastAsia="SimSun"/>
          <w:b/>
          <w:i/>
        </w:rPr>
        <w:instrText xml:space="preserve"> REF _Ref206706719 \r \h </w:instrText>
      </w:r>
      <w:r w:rsidR="00883C27">
        <w:rPr>
          <w:rFonts w:eastAsia="SimSun"/>
          <w:b/>
          <w:i/>
        </w:rPr>
        <w:instrText xml:space="preserve"> \* MERGEFORMAT </w:instrText>
      </w:r>
      <w:r w:rsidR="00883C27" w:rsidRPr="002157AE">
        <w:rPr>
          <w:rFonts w:eastAsia="SimSun"/>
          <w:b/>
          <w:i/>
        </w:rPr>
      </w:r>
      <w:r w:rsidR="00883C27" w:rsidRPr="002157AE">
        <w:rPr>
          <w:rFonts w:eastAsia="SimSun"/>
          <w:b/>
          <w:i/>
        </w:rPr>
        <w:fldChar w:fldCharType="separate"/>
      </w:r>
      <w:r w:rsidR="002E5C6A">
        <w:rPr>
          <w:rFonts w:eastAsia="SimSun"/>
          <w:b/>
          <w:i/>
        </w:rPr>
        <w:t>11.1</w:t>
      </w:r>
      <w:r w:rsidR="00883C27" w:rsidRPr="002157AE">
        <w:rPr>
          <w:rFonts w:eastAsia="SimSun"/>
          <w:b/>
          <w:i/>
        </w:rPr>
        <w:fldChar w:fldCharType="end"/>
      </w:r>
      <w:r w:rsidR="00883C27" w:rsidRPr="002157AE">
        <w:rPr>
          <w:rFonts w:eastAsia="SimSun"/>
          <w:b/>
          <w:i/>
        </w:rPr>
        <w:t xml:space="preserve"> (“</w:t>
      </w:r>
      <w:r w:rsidR="00883C27" w:rsidRPr="002157AE">
        <w:rPr>
          <w:rFonts w:eastAsia="SimSun"/>
          <w:b/>
          <w:i/>
        </w:rPr>
        <w:fldChar w:fldCharType="begin"/>
      </w:r>
      <w:r w:rsidR="00883C27" w:rsidRPr="002157AE">
        <w:rPr>
          <w:rFonts w:eastAsia="SimSun"/>
          <w:b/>
          <w:i/>
        </w:rPr>
        <w:instrText xml:space="preserve"> REF _Ref206706721 \h  \* MERGEFORMAT </w:instrText>
      </w:r>
      <w:r w:rsidR="00883C27" w:rsidRPr="002157AE">
        <w:rPr>
          <w:rFonts w:eastAsia="SimSun"/>
          <w:b/>
          <w:i/>
        </w:rPr>
      </w:r>
      <w:r w:rsidR="00883C27" w:rsidRPr="002157AE">
        <w:rPr>
          <w:rFonts w:eastAsia="SimSun"/>
          <w:b/>
          <w:i/>
        </w:rPr>
        <w:fldChar w:fldCharType="separate"/>
      </w:r>
      <w:r w:rsidR="002E5C6A" w:rsidRPr="006C780B">
        <w:rPr>
          <w:b/>
          <w:i/>
        </w:rPr>
        <w:t>Performance</w:t>
      </w:r>
      <w:r w:rsidR="00883C27" w:rsidRPr="002157AE">
        <w:rPr>
          <w:rFonts w:eastAsia="SimSun"/>
          <w:b/>
          <w:i/>
        </w:rPr>
        <w:fldChar w:fldCharType="end"/>
      </w:r>
      <w:r w:rsidR="00883C27" w:rsidRPr="002157AE">
        <w:rPr>
          <w:rFonts w:eastAsia="SimSun"/>
          <w:b/>
          <w:i/>
        </w:rPr>
        <w:t>”)</w:t>
      </w:r>
      <w:r w:rsidR="00883C27" w:rsidRPr="00883C27">
        <w:rPr>
          <w:rFonts w:eastAsiaTheme="minorEastAsia" w:cstheme="minorBidi"/>
        </w:rPr>
        <w:t xml:space="preserve">, </w:t>
      </w:r>
      <w:r w:rsidRPr="003F76A0">
        <w:t xml:space="preserve">Project </w:t>
      </w:r>
      <w:r w:rsidRPr="003F76A0">
        <w:rPr>
          <w:rFonts w:eastAsiaTheme="minorEastAsia"/>
        </w:rPr>
        <w:t>Operator will implement the following strategies and approaches to achieve Local procurement, Local supply chain targets, employment and workforce targets.</w:t>
      </w:r>
    </w:p>
    <w:p w14:paraId="0271B8A8" w14:textId="77777777" w:rsidR="003F76A0" w:rsidRPr="003F76A0" w:rsidRDefault="003F76A0" w:rsidP="003F76A0">
      <w:pPr>
        <w:pStyle w:val="Indent2"/>
      </w:pPr>
      <w:r w:rsidRPr="003F76A0">
        <w:t>[</w:t>
      </w:r>
      <w:r w:rsidRPr="008F660B">
        <w:t>insert</w:t>
      </w:r>
      <w:r w:rsidRPr="003F76A0">
        <w:t>]</w:t>
      </w:r>
    </w:p>
    <w:p w14:paraId="5FC5B343" w14:textId="1888CA13" w:rsidR="003F76A0" w:rsidRPr="003F76A0" w:rsidRDefault="003F76A0" w:rsidP="003F76A0">
      <w:pPr>
        <w:pStyle w:val="Indent2"/>
      </w:pPr>
      <w:r w:rsidRPr="003F76A0">
        <w:t>Project Operator will report against the above strategies and approaches</w:t>
      </w:r>
      <w:r w:rsidRPr="003F76A0">
        <w:rPr>
          <w:rFonts w:eastAsiaTheme="minorHAnsi" w:cstheme="minorBidi"/>
          <w:bCs/>
        </w:rPr>
        <w:t xml:space="preserve"> </w:t>
      </w:r>
      <w:r w:rsidRPr="003F76A0">
        <w:t xml:space="preserve">in its report to the Commonwealth under clause </w:t>
      </w:r>
      <w:r w:rsidRPr="003F76A0">
        <w:fldChar w:fldCharType="begin"/>
      </w:r>
      <w:r w:rsidRPr="003F76A0">
        <w:instrText xml:space="preserve"> REF _Ref94878032 \n \h </w:instrText>
      </w:r>
      <w:r>
        <w:instrText xml:space="preserve"> \* MERGEFORMAT </w:instrText>
      </w:r>
      <w:r w:rsidRPr="003F76A0">
        <w:fldChar w:fldCharType="separate"/>
      </w:r>
      <w:r w:rsidR="002E5C6A">
        <w:t>12.4</w:t>
      </w:r>
      <w:r w:rsidRPr="003F76A0">
        <w:fldChar w:fldCharType="end"/>
      </w:r>
      <w:r w:rsidRPr="003F76A0">
        <w:rPr>
          <w:rFonts w:eastAsia="Trebuchet MS"/>
          <w:bCs/>
        </w:rPr>
        <w:t xml:space="preserve"> (“</w:t>
      </w:r>
      <w:r w:rsidRPr="003F76A0">
        <w:rPr>
          <w:rFonts w:eastAsia="Trebuchet MS"/>
          <w:bCs/>
        </w:rPr>
        <w:fldChar w:fldCharType="begin"/>
      </w:r>
      <w:r w:rsidRPr="003F76A0">
        <w:rPr>
          <w:rFonts w:eastAsia="Trebuchet MS"/>
          <w:bCs/>
        </w:rPr>
        <w:instrText xml:space="preserve"> REF _Ref94878032 \h </w:instrText>
      </w:r>
      <w:r>
        <w:rPr>
          <w:rFonts w:eastAsia="Trebuchet MS"/>
          <w:bCs/>
        </w:rPr>
        <w:instrText xml:space="preserve"> \* MERGEFORMAT </w:instrText>
      </w:r>
      <w:r w:rsidRPr="003F76A0">
        <w:rPr>
          <w:rFonts w:eastAsia="Trebuchet MS"/>
          <w:bCs/>
        </w:rPr>
      </w:r>
      <w:r w:rsidRPr="003F76A0">
        <w:rPr>
          <w:rFonts w:eastAsia="Trebuchet MS"/>
          <w:bCs/>
        </w:rPr>
        <w:fldChar w:fldCharType="separate"/>
      </w:r>
      <w:r w:rsidR="002E5C6A" w:rsidRPr="00F06646">
        <w:t>Social Licence Commitments Reporting</w:t>
      </w:r>
      <w:r w:rsidRPr="003F76A0">
        <w:rPr>
          <w:rFonts w:eastAsia="Trebuchet MS"/>
          <w:bCs/>
        </w:rPr>
        <w:fldChar w:fldCharType="end"/>
      </w:r>
      <w:r w:rsidRPr="003F76A0">
        <w:rPr>
          <w:rFonts w:eastAsia="Trebuchet MS"/>
          <w:bCs/>
        </w:rPr>
        <w:t>”)</w:t>
      </w:r>
      <w:r w:rsidRPr="003F76A0">
        <w:t>.</w:t>
      </w:r>
    </w:p>
    <w:p w14:paraId="3E7AEDF4" w14:textId="77777777" w:rsidR="003F76A0" w:rsidRPr="003F76A0" w:rsidRDefault="003F76A0" w:rsidP="003F76A0">
      <w:pPr>
        <w:pStyle w:val="SchedH3"/>
        <w:numPr>
          <w:ilvl w:val="3"/>
          <w:numId w:val="42"/>
        </w:numPr>
        <w:rPr>
          <w:b/>
          <w:bCs/>
        </w:rPr>
      </w:pPr>
      <w:r w:rsidRPr="003F76A0">
        <w:rPr>
          <w:b/>
          <w:bCs/>
        </w:rPr>
        <w:t>First Nations participation</w:t>
      </w:r>
    </w:p>
    <w:p w14:paraId="0D07879B" w14:textId="17736A6C" w:rsidR="003F76A0" w:rsidRPr="003F76A0" w:rsidRDefault="003F76A0" w:rsidP="003F76A0">
      <w:pPr>
        <w:pStyle w:val="Indent2"/>
        <w:rPr>
          <w:rFonts w:eastAsiaTheme="minorEastAsia"/>
        </w:rPr>
      </w:pPr>
      <w:r w:rsidRPr="003F76A0">
        <w:rPr>
          <w:rFonts w:eastAsiaTheme="minorEastAsia"/>
        </w:rPr>
        <w:t xml:space="preserve">In accordance with clause </w:t>
      </w:r>
      <w:r w:rsidR="00883C27" w:rsidRPr="002157AE">
        <w:rPr>
          <w:rFonts w:eastAsia="SimSun"/>
          <w:b/>
          <w:i/>
        </w:rPr>
        <w:fldChar w:fldCharType="begin"/>
      </w:r>
      <w:r w:rsidR="00883C27" w:rsidRPr="002157AE">
        <w:rPr>
          <w:rFonts w:eastAsia="SimSun"/>
          <w:b/>
          <w:i/>
        </w:rPr>
        <w:instrText xml:space="preserve"> REF _Ref206706719 \r \h </w:instrText>
      </w:r>
      <w:r w:rsidR="00883C27">
        <w:rPr>
          <w:rFonts w:eastAsia="SimSun"/>
          <w:b/>
          <w:i/>
        </w:rPr>
        <w:instrText xml:space="preserve"> \* MERGEFORMAT </w:instrText>
      </w:r>
      <w:r w:rsidR="00883C27" w:rsidRPr="002157AE">
        <w:rPr>
          <w:rFonts w:eastAsia="SimSun"/>
          <w:b/>
          <w:i/>
        </w:rPr>
      </w:r>
      <w:r w:rsidR="00883C27" w:rsidRPr="002157AE">
        <w:rPr>
          <w:rFonts w:eastAsia="SimSun"/>
          <w:b/>
          <w:i/>
        </w:rPr>
        <w:fldChar w:fldCharType="separate"/>
      </w:r>
      <w:r w:rsidR="002E5C6A">
        <w:rPr>
          <w:rFonts w:eastAsia="SimSun"/>
          <w:b/>
          <w:i/>
        </w:rPr>
        <w:t>11.1</w:t>
      </w:r>
      <w:r w:rsidR="00883C27" w:rsidRPr="002157AE">
        <w:rPr>
          <w:rFonts w:eastAsia="SimSun"/>
          <w:b/>
          <w:i/>
        </w:rPr>
        <w:fldChar w:fldCharType="end"/>
      </w:r>
      <w:r w:rsidR="00883C27" w:rsidRPr="002157AE">
        <w:rPr>
          <w:rFonts w:eastAsia="SimSun"/>
          <w:b/>
          <w:i/>
        </w:rPr>
        <w:t xml:space="preserve"> (“</w:t>
      </w:r>
      <w:r w:rsidR="00883C27" w:rsidRPr="002157AE">
        <w:rPr>
          <w:rFonts w:eastAsia="SimSun"/>
          <w:b/>
          <w:i/>
        </w:rPr>
        <w:fldChar w:fldCharType="begin"/>
      </w:r>
      <w:r w:rsidR="00883C27" w:rsidRPr="002157AE">
        <w:rPr>
          <w:rFonts w:eastAsia="SimSun"/>
          <w:b/>
          <w:i/>
        </w:rPr>
        <w:instrText xml:space="preserve"> REF _Ref206706721 \h  \* MERGEFORMAT </w:instrText>
      </w:r>
      <w:r w:rsidR="00883C27" w:rsidRPr="002157AE">
        <w:rPr>
          <w:rFonts w:eastAsia="SimSun"/>
          <w:b/>
          <w:i/>
        </w:rPr>
      </w:r>
      <w:r w:rsidR="00883C27" w:rsidRPr="002157AE">
        <w:rPr>
          <w:rFonts w:eastAsia="SimSun"/>
          <w:b/>
          <w:i/>
        </w:rPr>
        <w:fldChar w:fldCharType="separate"/>
      </w:r>
      <w:r w:rsidR="002E5C6A" w:rsidRPr="006C780B">
        <w:rPr>
          <w:b/>
          <w:i/>
        </w:rPr>
        <w:t>Performance</w:t>
      </w:r>
      <w:r w:rsidR="00883C27" w:rsidRPr="002157AE">
        <w:rPr>
          <w:rFonts w:eastAsia="SimSun"/>
          <w:b/>
          <w:i/>
        </w:rPr>
        <w:fldChar w:fldCharType="end"/>
      </w:r>
      <w:r w:rsidR="00883C27" w:rsidRPr="002157AE">
        <w:rPr>
          <w:rFonts w:eastAsia="SimSun"/>
          <w:b/>
          <w:i/>
        </w:rPr>
        <w:t>”)</w:t>
      </w:r>
      <w:r w:rsidR="00883C27" w:rsidRPr="00883C27">
        <w:rPr>
          <w:rFonts w:eastAsiaTheme="minorEastAsia" w:cstheme="minorBidi"/>
        </w:rPr>
        <w:t xml:space="preserve">, </w:t>
      </w:r>
      <w:r w:rsidRPr="003F76A0">
        <w:t xml:space="preserve">Project </w:t>
      </w:r>
      <w:r w:rsidRPr="003F76A0">
        <w:rPr>
          <w:rFonts w:eastAsiaTheme="minorEastAsia"/>
        </w:rPr>
        <w:t>Operator will implement following strategies and approaches to achieve First Nations targets regarding economic participation and engagement, including approach to reporting, monitoring and compliance.</w:t>
      </w:r>
    </w:p>
    <w:p w14:paraId="74E9F03D" w14:textId="77777777" w:rsidR="003F76A0" w:rsidRPr="003F76A0" w:rsidRDefault="003F76A0" w:rsidP="003F76A0">
      <w:pPr>
        <w:pStyle w:val="Indent2"/>
        <w:rPr>
          <w:rFonts w:eastAsiaTheme="minorHAnsi"/>
        </w:rPr>
      </w:pPr>
      <w:r w:rsidRPr="003F76A0">
        <w:rPr>
          <w:rFonts w:eastAsiaTheme="minorHAnsi"/>
        </w:rPr>
        <w:t>[</w:t>
      </w:r>
      <w:r w:rsidRPr="008F660B">
        <w:rPr>
          <w:rFonts w:eastAsiaTheme="minorHAnsi"/>
        </w:rPr>
        <w:t>insert</w:t>
      </w:r>
      <w:r w:rsidRPr="003F76A0">
        <w:rPr>
          <w:rFonts w:eastAsiaTheme="minorHAnsi"/>
        </w:rPr>
        <w:t>]</w:t>
      </w:r>
    </w:p>
    <w:p w14:paraId="4DB2576F" w14:textId="14CD3056" w:rsidR="003F76A0" w:rsidRPr="003F76A0" w:rsidRDefault="003F76A0" w:rsidP="003F76A0">
      <w:pPr>
        <w:pStyle w:val="Indent2"/>
      </w:pPr>
      <w:r w:rsidRPr="003F76A0">
        <w:t>Project Operator will report against the above strategies and approaches</w:t>
      </w:r>
      <w:r w:rsidRPr="003F76A0">
        <w:rPr>
          <w:rFonts w:eastAsiaTheme="minorHAnsi" w:cstheme="minorBidi"/>
          <w:bCs/>
        </w:rPr>
        <w:t xml:space="preserve"> </w:t>
      </w:r>
      <w:r w:rsidRPr="003F76A0">
        <w:t xml:space="preserve">in its report to the Commonwealth under clause </w:t>
      </w:r>
      <w:r w:rsidRPr="003F76A0">
        <w:fldChar w:fldCharType="begin"/>
      </w:r>
      <w:r w:rsidRPr="003F76A0">
        <w:instrText xml:space="preserve"> REF _Ref94878032 \n \h </w:instrText>
      </w:r>
      <w:r>
        <w:instrText xml:space="preserve"> \* MERGEFORMAT </w:instrText>
      </w:r>
      <w:r w:rsidRPr="003F76A0">
        <w:fldChar w:fldCharType="separate"/>
      </w:r>
      <w:r w:rsidR="002E5C6A">
        <w:t>12.4</w:t>
      </w:r>
      <w:r w:rsidRPr="003F76A0">
        <w:fldChar w:fldCharType="end"/>
      </w:r>
      <w:r w:rsidRPr="003F76A0">
        <w:rPr>
          <w:rFonts w:eastAsia="Trebuchet MS"/>
          <w:bCs/>
        </w:rPr>
        <w:t xml:space="preserve"> (“</w:t>
      </w:r>
      <w:r w:rsidRPr="003F76A0">
        <w:rPr>
          <w:rFonts w:eastAsia="Trebuchet MS"/>
          <w:bCs/>
        </w:rPr>
        <w:fldChar w:fldCharType="begin"/>
      </w:r>
      <w:r w:rsidRPr="003F76A0">
        <w:rPr>
          <w:rFonts w:eastAsia="Trebuchet MS"/>
          <w:bCs/>
        </w:rPr>
        <w:instrText xml:space="preserve"> REF _Ref94878032 \h </w:instrText>
      </w:r>
      <w:r>
        <w:rPr>
          <w:rFonts w:eastAsia="Trebuchet MS"/>
          <w:bCs/>
        </w:rPr>
        <w:instrText xml:space="preserve"> \* MERGEFORMAT </w:instrText>
      </w:r>
      <w:r w:rsidRPr="003F76A0">
        <w:rPr>
          <w:rFonts w:eastAsia="Trebuchet MS"/>
          <w:bCs/>
        </w:rPr>
      </w:r>
      <w:r w:rsidRPr="003F76A0">
        <w:rPr>
          <w:rFonts w:eastAsia="Trebuchet MS"/>
          <w:bCs/>
        </w:rPr>
        <w:fldChar w:fldCharType="separate"/>
      </w:r>
      <w:r w:rsidR="002E5C6A" w:rsidRPr="00F06646">
        <w:t>Social Licence Commitments Reporting</w:t>
      </w:r>
      <w:r w:rsidRPr="003F76A0">
        <w:rPr>
          <w:rFonts w:eastAsia="Trebuchet MS"/>
          <w:bCs/>
        </w:rPr>
        <w:fldChar w:fldCharType="end"/>
      </w:r>
      <w:r w:rsidRPr="003F76A0">
        <w:rPr>
          <w:rFonts w:eastAsia="Trebuchet MS"/>
          <w:bCs/>
        </w:rPr>
        <w:t>”)</w:t>
      </w:r>
      <w:r w:rsidRPr="003F76A0">
        <w:t>.</w:t>
      </w:r>
    </w:p>
    <w:p w14:paraId="4DD12027" w14:textId="77777777" w:rsidR="003F76A0" w:rsidRPr="003F76A0" w:rsidRDefault="003F76A0" w:rsidP="003F76A0">
      <w:pPr>
        <w:pStyle w:val="SchedH3"/>
        <w:numPr>
          <w:ilvl w:val="3"/>
          <w:numId w:val="42"/>
        </w:numPr>
        <w:rPr>
          <w:b/>
          <w:bCs/>
        </w:rPr>
      </w:pPr>
      <w:r w:rsidRPr="003F76A0">
        <w:rPr>
          <w:b/>
          <w:bCs/>
        </w:rPr>
        <w:t xml:space="preserve">Environmentally sustainable procurement throughout supply chain </w:t>
      </w:r>
    </w:p>
    <w:p w14:paraId="6ACB6869" w14:textId="1BC8746C" w:rsidR="003F76A0" w:rsidRPr="003F76A0" w:rsidRDefault="003F76A0" w:rsidP="003F76A0">
      <w:pPr>
        <w:pStyle w:val="Indent2"/>
        <w:rPr>
          <w:rFonts w:eastAsiaTheme="minorEastAsia"/>
        </w:rPr>
      </w:pPr>
      <w:r w:rsidRPr="003F76A0">
        <w:rPr>
          <w:rFonts w:eastAsiaTheme="minorEastAsia"/>
        </w:rPr>
        <w:t xml:space="preserve">In accordance with clause </w:t>
      </w:r>
      <w:r w:rsidR="00883C27" w:rsidRPr="002157AE">
        <w:rPr>
          <w:rFonts w:eastAsia="SimSun"/>
          <w:b/>
          <w:i/>
        </w:rPr>
        <w:fldChar w:fldCharType="begin"/>
      </w:r>
      <w:r w:rsidR="00883C27" w:rsidRPr="002157AE">
        <w:rPr>
          <w:rFonts w:eastAsia="SimSun"/>
          <w:b/>
          <w:i/>
        </w:rPr>
        <w:instrText xml:space="preserve"> REF _Ref206706719 \r \h </w:instrText>
      </w:r>
      <w:r w:rsidR="00883C27">
        <w:rPr>
          <w:rFonts w:eastAsia="SimSun"/>
          <w:b/>
          <w:i/>
        </w:rPr>
        <w:instrText xml:space="preserve"> \* MERGEFORMAT </w:instrText>
      </w:r>
      <w:r w:rsidR="00883C27" w:rsidRPr="002157AE">
        <w:rPr>
          <w:rFonts w:eastAsia="SimSun"/>
          <w:b/>
          <w:i/>
        </w:rPr>
      </w:r>
      <w:r w:rsidR="00883C27" w:rsidRPr="002157AE">
        <w:rPr>
          <w:rFonts w:eastAsia="SimSun"/>
          <w:b/>
          <w:i/>
        </w:rPr>
        <w:fldChar w:fldCharType="separate"/>
      </w:r>
      <w:r w:rsidR="002E5C6A">
        <w:rPr>
          <w:rFonts w:eastAsia="SimSun"/>
          <w:b/>
          <w:i/>
        </w:rPr>
        <w:t>11.1</w:t>
      </w:r>
      <w:r w:rsidR="00883C27" w:rsidRPr="002157AE">
        <w:rPr>
          <w:rFonts w:eastAsia="SimSun"/>
          <w:b/>
          <w:i/>
        </w:rPr>
        <w:fldChar w:fldCharType="end"/>
      </w:r>
      <w:r w:rsidR="00883C27" w:rsidRPr="002157AE">
        <w:rPr>
          <w:rFonts w:eastAsia="SimSun"/>
          <w:b/>
          <w:i/>
        </w:rPr>
        <w:t xml:space="preserve"> (“</w:t>
      </w:r>
      <w:r w:rsidR="00883C27" w:rsidRPr="002157AE">
        <w:rPr>
          <w:rFonts w:eastAsia="SimSun"/>
          <w:b/>
          <w:i/>
        </w:rPr>
        <w:fldChar w:fldCharType="begin"/>
      </w:r>
      <w:r w:rsidR="00883C27" w:rsidRPr="002157AE">
        <w:rPr>
          <w:rFonts w:eastAsia="SimSun"/>
          <w:b/>
          <w:i/>
        </w:rPr>
        <w:instrText xml:space="preserve"> REF _Ref206706721 \h  \* MERGEFORMAT </w:instrText>
      </w:r>
      <w:r w:rsidR="00883C27" w:rsidRPr="002157AE">
        <w:rPr>
          <w:rFonts w:eastAsia="SimSun"/>
          <w:b/>
          <w:i/>
        </w:rPr>
      </w:r>
      <w:r w:rsidR="00883C27" w:rsidRPr="002157AE">
        <w:rPr>
          <w:rFonts w:eastAsia="SimSun"/>
          <w:b/>
          <w:i/>
        </w:rPr>
        <w:fldChar w:fldCharType="separate"/>
      </w:r>
      <w:r w:rsidR="002E5C6A" w:rsidRPr="006C780B">
        <w:rPr>
          <w:b/>
          <w:i/>
        </w:rPr>
        <w:t>Performance</w:t>
      </w:r>
      <w:r w:rsidR="00883C27" w:rsidRPr="002157AE">
        <w:rPr>
          <w:rFonts w:eastAsia="SimSun"/>
          <w:b/>
          <w:i/>
        </w:rPr>
        <w:fldChar w:fldCharType="end"/>
      </w:r>
      <w:r w:rsidR="00883C27" w:rsidRPr="002157AE">
        <w:rPr>
          <w:rFonts w:eastAsia="SimSun"/>
          <w:b/>
          <w:i/>
        </w:rPr>
        <w:t>”)</w:t>
      </w:r>
      <w:r w:rsidRPr="003F76A0">
        <w:rPr>
          <w:rFonts w:eastAsiaTheme="minorEastAsia"/>
        </w:rPr>
        <w:t xml:space="preserve">, </w:t>
      </w:r>
      <w:r w:rsidRPr="003F76A0">
        <w:t xml:space="preserve">Project </w:t>
      </w:r>
      <w:r w:rsidRPr="003F76A0">
        <w:rPr>
          <w:rFonts w:eastAsiaTheme="minorEastAsia"/>
        </w:rPr>
        <w:t>Operator will undertake to implement the following strategies and approaches to promote environmentally sustainable procurement throughout the supply chain.</w:t>
      </w:r>
    </w:p>
    <w:p w14:paraId="187161BC" w14:textId="77777777" w:rsidR="003F76A0" w:rsidRPr="003F76A0" w:rsidRDefault="003F76A0" w:rsidP="003F76A0">
      <w:pPr>
        <w:pStyle w:val="Indent2"/>
        <w:rPr>
          <w:rFonts w:eastAsiaTheme="minorHAnsi"/>
          <w:bCs/>
        </w:rPr>
      </w:pPr>
      <w:r w:rsidRPr="003F76A0">
        <w:rPr>
          <w:rFonts w:eastAsiaTheme="minorHAnsi"/>
          <w:bCs/>
        </w:rPr>
        <w:t>[</w:t>
      </w:r>
      <w:r w:rsidRPr="003F76A0">
        <w:rPr>
          <w:rFonts w:eastAsiaTheme="minorHAnsi"/>
          <w:bCs/>
          <w:highlight w:val="yellow"/>
        </w:rPr>
        <w:t>insert</w:t>
      </w:r>
      <w:r w:rsidRPr="003F76A0">
        <w:rPr>
          <w:rFonts w:eastAsiaTheme="minorHAnsi"/>
          <w:bCs/>
        </w:rPr>
        <w:t>]</w:t>
      </w:r>
    </w:p>
    <w:p w14:paraId="50BF17D4" w14:textId="7DB1D750" w:rsidR="003F76A0" w:rsidRPr="003F76A0" w:rsidRDefault="003F76A0" w:rsidP="003F76A0">
      <w:pPr>
        <w:pStyle w:val="Indent2"/>
        <w:rPr>
          <w:rFonts w:eastAsiaTheme="minorHAnsi"/>
          <w:bCs/>
        </w:rPr>
      </w:pPr>
      <w:r w:rsidRPr="003F76A0">
        <w:rPr>
          <w:rFonts w:eastAsiaTheme="minorHAnsi"/>
          <w:bCs/>
        </w:rPr>
        <w:t xml:space="preserve">Project Operator will report against the above strategies and approaches in its report to the Commonwealth under clause </w:t>
      </w:r>
      <w:r w:rsidRPr="003F76A0">
        <w:rPr>
          <w:rFonts w:eastAsiaTheme="minorHAnsi"/>
          <w:bCs/>
        </w:rPr>
        <w:fldChar w:fldCharType="begin"/>
      </w:r>
      <w:r w:rsidRPr="003F76A0">
        <w:rPr>
          <w:rFonts w:eastAsiaTheme="minorHAnsi"/>
          <w:bCs/>
        </w:rPr>
        <w:instrText xml:space="preserve"> REF _Ref94878032 \n \h </w:instrText>
      </w:r>
      <w:r>
        <w:rPr>
          <w:rFonts w:eastAsiaTheme="minorHAnsi"/>
          <w:bCs/>
        </w:rPr>
        <w:instrText xml:space="preserve"> \* MERGEFORMAT </w:instrText>
      </w:r>
      <w:r w:rsidRPr="003F76A0">
        <w:rPr>
          <w:rFonts w:eastAsiaTheme="minorHAnsi"/>
          <w:bCs/>
        </w:rPr>
      </w:r>
      <w:r w:rsidRPr="003F76A0">
        <w:rPr>
          <w:rFonts w:eastAsiaTheme="minorHAnsi"/>
          <w:bCs/>
        </w:rPr>
        <w:fldChar w:fldCharType="separate"/>
      </w:r>
      <w:r w:rsidR="002E5C6A">
        <w:rPr>
          <w:rFonts w:eastAsiaTheme="minorHAnsi"/>
          <w:bCs/>
        </w:rPr>
        <w:t>12.4</w:t>
      </w:r>
      <w:r w:rsidRPr="003F76A0">
        <w:rPr>
          <w:rFonts w:eastAsiaTheme="minorHAnsi"/>
          <w:bCs/>
        </w:rPr>
        <w:fldChar w:fldCharType="end"/>
      </w:r>
      <w:r w:rsidRPr="003F76A0">
        <w:rPr>
          <w:rFonts w:eastAsiaTheme="minorHAnsi"/>
          <w:bCs/>
        </w:rPr>
        <w:t xml:space="preserve"> (“</w:t>
      </w:r>
      <w:r w:rsidRPr="003F76A0">
        <w:rPr>
          <w:rFonts w:eastAsiaTheme="minorHAnsi"/>
          <w:bCs/>
        </w:rPr>
        <w:fldChar w:fldCharType="begin"/>
      </w:r>
      <w:r w:rsidRPr="003F76A0">
        <w:rPr>
          <w:rFonts w:eastAsiaTheme="minorHAnsi"/>
          <w:bCs/>
        </w:rPr>
        <w:instrText xml:space="preserve"> REF _Ref94878032 \h </w:instrText>
      </w:r>
      <w:r>
        <w:rPr>
          <w:rFonts w:eastAsiaTheme="minorHAnsi"/>
          <w:bCs/>
        </w:rPr>
        <w:instrText xml:space="preserve"> \* MERGEFORMAT </w:instrText>
      </w:r>
      <w:r w:rsidRPr="003F76A0">
        <w:rPr>
          <w:rFonts w:eastAsiaTheme="minorHAnsi"/>
          <w:bCs/>
        </w:rPr>
      </w:r>
      <w:r w:rsidRPr="003F76A0">
        <w:rPr>
          <w:rFonts w:eastAsiaTheme="minorHAnsi"/>
          <w:bCs/>
        </w:rPr>
        <w:fldChar w:fldCharType="separate"/>
      </w:r>
      <w:r w:rsidR="002E5C6A" w:rsidRPr="00F06646">
        <w:t>Social Licence Commitments Reporting</w:t>
      </w:r>
      <w:r w:rsidRPr="003F76A0">
        <w:rPr>
          <w:rFonts w:eastAsiaTheme="minorHAnsi"/>
          <w:bCs/>
        </w:rPr>
        <w:fldChar w:fldCharType="end"/>
      </w:r>
      <w:r w:rsidRPr="003F76A0">
        <w:rPr>
          <w:rFonts w:eastAsiaTheme="minorHAnsi"/>
          <w:bCs/>
        </w:rPr>
        <w:t>”).</w:t>
      </w:r>
    </w:p>
    <w:p w14:paraId="4E01F223" w14:textId="77777777" w:rsidR="003F76A0" w:rsidRPr="003F76A0" w:rsidRDefault="003F76A0" w:rsidP="003F76A0">
      <w:pPr>
        <w:rPr>
          <w:rFonts w:eastAsiaTheme="minorHAnsi"/>
          <w:bCs/>
        </w:rPr>
        <w:sectPr w:rsidR="003F76A0" w:rsidRPr="003F76A0" w:rsidSect="00E5595F">
          <w:pgSz w:w="11907" w:h="16840"/>
          <w:pgMar w:top="1134" w:right="1134" w:bottom="1418" w:left="2835" w:header="425" w:footer="567" w:gutter="0"/>
          <w:cols w:space="720"/>
          <w:docGrid w:linePitch="272"/>
        </w:sectPr>
      </w:pPr>
    </w:p>
    <w:p w14:paraId="7102EE6F" w14:textId="07713FC0" w:rsidR="0024371D" w:rsidRDefault="003F76A0" w:rsidP="008F660B">
      <w:pPr>
        <w:pStyle w:val="SchedH1"/>
        <w:numPr>
          <w:ilvl w:val="1"/>
          <w:numId w:val="91"/>
        </w:numPr>
        <w:ind w:left="737" w:hanging="737"/>
      </w:pPr>
      <w:r w:rsidRPr="008F660B" w:rsidDel="0024371D">
        <w:rPr>
          <w:rFonts w:eastAsiaTheme="minorEastAsia"/>
          <w:b w:val="0"/>
          <w:i/>
        </w:rPr>
        <w:t xml:space="preserve"> </w:t>
      </w:r>
      <w:r w:rsidR="0024371D">
        <w:t>Other Social Licence Commitments</w:t>
      </w:r>
    </w:p>
    <w:p w14:paraId="18820C3E" w14:textId="77777777" w:rsidR="0024371D" w:rsidRPr="00912836" w:rsidRDefault="0024371D" w:rsidP="008F660B">
      <w:pPr>
        <w:pStyle w:val="SchedH3"/>
        <w:numPr>
          <w:ilvl w:val="3"/>
          <w:numId w:val="91"/>
        </w:numPr>
      </w:pPr>
      <w:r w:rsidRPr="00507B20">
        <w:rPr>
          <w:b/>
        </w:rPr>
        <w:t>Local supply chain commitments, investment and innovation, employment and workforce commitments</w:t>
      </w:r>
    </w:p>
    <w:p w14:paraId="501C5A00" w14:textId="5888A296" w:rsidR="0024371D" w:rsidRDefault="0024371D" w:rsidP="0024371D">
      <w:pPr>
        <w:pStyle w:val="Indent2"/>
        <w:rPr>
          <w:rFonts w:eastAsiaTheme="minorEastAsia"/>
        </w:rPr>
      </w:pPr>
      <w:r>
        <w:rPr>
          <w:rFonts w:eastAsiaTheme="minorEastAsia"/>
        </w:rPr>
        <w:t xml:space="preserve">In accordance with </w:t>
      </w:r>
      <w:r w:rsidRPr="007C4604">
        <w:rPr>
          <w:rFonts w:eastAsiaTheme="minorEastAsia"/>
        </w:rPr>
        <w:t xml:space="preserve">clause </w:t>
      </w:r>
      <w:r w:rsidR="00897042" w:rsidRPr="008F660B">
        <w:rPr>
          <w:rFonts w:eastAsiaTheme="minorEastAsia"/>
        </w:rPr>
        <w:fldChar w:fldCharType="begin"/>
      </w:r>
      <w:r w:rsidR="00897042" w:rsidRPr="007C4604">
        <w:rPr>
          <w:rFonts w:eastAsiaTheme="minorEastAsia"/>
        </w:rPr>
        <w:instrText xml:space="preserve"> REF _Ref205815279 \w \h </w:instrText>
      </w:r>
      <w:r w:rsidR="00897042" w:rsidRPr="008F660B">
        <w:rPr>
          <w:rFonts w:eastAsiaTheme="minorEastAsia"/>
        </w:rPr>
        <w:instrText xml:space="preserve"> \* MERGEFORMAT </w:instrText>
      </w:r>
      <w:r w:rsidR="00897042" w:rsidRPr="008F660B">
        <w:rPr>
          <w:rFonts w:eastAsiaTheme="minorEastAsia"/>
        </w:rPr>
      </w:r>
      <w:r w:rsidR="00897042" w:rsidRPr="008F660B">
        <w:rPr>
          <w:rFonts w:eastAsiaTheme="minorEastAsia"/>
        </w:rPr>
        <w:fldChar w:fldCharType="separate"/>
      </w:r>
      <w:r w:rsidR="002E5C6A">
        <w:rPr>
          <w:rFonts w:eastAsiaTheme="minorEastAsia"/>
        </w:rPr>
        <w:t>11.1</w:t>
      </w:r>
      <w:r w:rsidR="00897042" w:rsidRPr="008F660B">
        <w:rPr>
          <w:rFonts w:eastAsiaTheme="minorEastAsia"/>
        </w:rPr>
        <w:fldChar w:fldCharType="end"/>
      </w:r>
      <w:r w:rsidRPr="007C4604">
        <w:rPr>
          <w:rFonts w:eastAsiaTheme="minorEastAsia"/>
        </w:rPr>
        <w:t xml:space="preserve"> (“</w:t>
      </w:r>
      <w:r w:rsidR="00897042" w:rsidRPr="008F660B">
        <w:rPr>
          <w:rFonts w:eastAsiaTheme="minorEastAsia"/>
        </w:rPr>
        <w:fldChar w:fldCharType="begin"/>
      </w:r>
      <w:r w:rsidR="00897042" w:rsidRPr="007C4604">
        <w:rPr>
          <w:rFonts w:eastAsiaTheme="minorEastAsia"/>
        </w:rPr>
        <w:instrText xml:space="preserve"> REF _Ref205815286 \h </w:instrText>
      </w:r>
      <w:r w:rsidR="00897042" w:rsidRPr="008F660B">
        <w:rPr>
          <w:rFonts w:eastAsiaTheme="minorEastAsia"/>
        </w:rPr>
        <w:instrText xml:space="preserve"> \* MERGEFORMAT </w:instrText>
      </w:r>
      <w:r w:rsidR="00897042" w:rsidRPr="008F660B">
        <w:rPr>
          <w:rFonts w:eastAsiaTheme="minorEastAsia"/>
        </w:rPr>
      </w:r>
      <w:r w:rsidR="00897042" w:rsidRPr="008F660B">
        <w:rPr>
          <w:rFonts w:eastAsiaTheme="minorEastAsia"/>
        </w:rPr>
        <w:fldChar w:fldCharType="separate"/>
      </w:r>
      <w:r w:rsidR="002E5C6A">
        <w:t>Performance</w:t>
      </w:r>
      <w:r w:rsidR="00897042" w:rsidRPr="008F660B">
        <w:rPr>
          <w:rFonts w:eastAsiaTheme="minorEastAsia"/>
        </w:rPr>
        <w:fldChar w:fldCharType="end"/>
      </w:r>
      <w:r w:rsidRPr="007C4604">
        <w:rPr>
          <w:rFonts w:eastAsiaTheme="minorEastAsia"/>
        </w:rPr>
        <w:t>”),</w:t>
      </w:r>
      <w:r>
        <w:rPr>
          <w:rFonts w:eastAsiaTheme="minorEastAsia"/>
        </w:rPr>
        <w:t xml:space="preserve"> </w:t>
      </w:r>
      <w:r>
        <w:t xml:space="preserve">Project </w:t>
      </w:r>
      <w:r>
        <w:rPr>
          <w:rFonts w:eastAsiaTheme="minorEastAsia"/>
        </w:rPr>
        <w:t>Operator will implement the following strategies and approaches to achieve Local procurement, Local supply chain targets, employment and workforce targets.</w:t>
      </w:r>
    </w:p>
    <w:p w14:paraId="6AB583AB" w14:textId="77777777" w:rsidR="0024371D" w:rsidRDefault="0024371D" w:rsidP="0024371D">
      <w:pPr>
        <w:pStyle w:val="Indent2"/>
      </w:pPr>
      <w:r w:rsidRPr="00982398">
        <w:t>[</w:t>
      </w:r>
      <w:r w:rsidRPr="00982398">
        <w:rPr>
          <w:highlight w:val="yellow"/>
        </w:rPr>
        <w:t>insert</w:t>
      </w:r>
      <w:r w:rsidRPr="00982398">
        <w:t>]</w:t>
      </w:r>
    </w:p>
    <w:p w14:paraId="508936E0" w14:textId="0BF60A4F" w:rsidR="0024371D" w:rsidRDefault="0024371D" w:rsidP="0024371D">
      <w:pPr>
        <w:pStyle w:val="Indent2"/>
      </w:pPr>
      <w:r>
        <w:t>Project Operator will report against the above strategies and approaches</w:t>
      </w:r>
      <w:r>
        <w:rPr>
          <w:rFonts w:eastAsiaTheme="minorHAnsi" w:cstheme="minorBidi"/>
          <w:bCs/>
        </w:rPr>
        <w:t xml:space="preserve"> </w:t>
      </w:r>
      <w:r>
        <w:t xml:space="preserve">in its report to the Commonwealth under clause </w:t>
      </w:r>
      <w:r>
        <w:fldChar w:fldCharType="begin"/>
      </w:r>
      <w:r>
        <w:instrText xml:space="preserve"> REF _Ref94878032 \n \h </w:instrText>
      </w:r>
      <w:r>
        <w:fldChar w:fldCharType="separate"/>
      </w:r>
      <w:r w:rsidR="002E5C6A">
        <w:t>12.4</w:t>
      </w:r>
      <w:r>
        <w:fldChar w:fldCharType="end"/>
      </w:r>
      <w:r>
        <w:rPr>
          <w:rFonts w:eastAsia="Trebuchet MS"/>
          <w:bCs/>
        </w:rPr>
        <w:t xml:space="preserve"> (“</w:t>
      </w:r>
      <w:r>
        <w:rPr>
          <w:rFonts w:eastAsia="Trebuchet MS"/>
          <w:bCs/>
        </w:rPr>
        <w:fldChar w:fldCharType="begin"/>
      </w:r>
      <w:r>
        <w:rPr>
          <w:rFonts w:eastAsia="Trebuchet MS"/>
          <w:bCs/>
        </w:rPr>
        <w:instrText xml:space="preserve"> REF _Ref94878032 \h </w:instrText>
      </w:r>
      <w:r>
        <w:rPr>
          <w:rFonts w:eastAsia="Trebuchet MS"/>
          <w:bCs/>
        </w:rPr>
      </w:r>
      <w:r>
        <w:rPr>
          <w:rFonts w:eastAsia="Trebuchet MS"/>
          <w:bCs/>
        </w:rPr>
        <w:fldChar w:fldCharType="separate"/>
      </w:r>
      <w:r w:rsidR="002E5C6A" w:rsidRPr="00F06646">
        <w:t>Social Licence Commitments Reporting</w:t>
      </w:r>
      <w:r>
        <w:rPr>
          <w:rFonts w:eastAsia="Trebuchet MS"/>
          <w:bCs/>
        </w:rPr>
        <w:fldChar w:fldCharType="end"/>
      </w:r>
      <w:r>
        <w:rPr>
          <w:rFonts w:eastAsia="Trebuchet MS"/>
          <w:bCs/>
        </w:rPr>
        <w:t>”)</w:t>
      </w:r>
      <w:r>
        <w:t>.</w:t>
      </w:r>
    </w:p>
    <w:p w14:paraId="3B0AFD9A" w14:textId="77777777" w:rsidR="0024371D" w:rsidRPr="00912836" w:rsidRDefault="0024371D" w:rsidP="008F660B">
      <w:pPr>
        <w:pStyle w:val="SchedH3"/>
        <w:numPr>
          <w:ilvl w:val="3"/>
          <w:numId w:val="91"/>
        </w:numPr>
      </w:pPr>
      <w:r w:rsidRPr="00507B20">
        <w:rPr>
          <w:b/>
        </w:rPr>
        <w:t>First Nations participation</w:t>
      </w:r>
    </w:p>
    <w:p w14:paraId="2FAFC8B3" w14:textId="12A628A1" w:rsidR="0024371D" w:rsidRDefault="0024371D" w:rsidP="0024371D">
      <w:pPr>
        <w:pStyle w:val="Indent2"/>
        <w:rPr>
          <w:rFonts w:eastAsiaTheme="minorEastAsia"/>
        </w:rPr>
      </w:pPr>
      <w:r>
        <w:rPr>
          <w:rFonts w:eastAsiaTheme="minorEastAsia"/>
        </w:rPr>
        <w:t xml:space="preserve">In accordance with clause </w:t>
      </w:r>
      <w:r w:rsidR="00897042">
        <w:rPr>
          <w:rFonts w:eastAsiaTheme="minorEastAsia"/>
          <w:highlight w:val="lightGray"/>
        </w:rPr>
        <w:fldChar w:fldCharType="begin"/>
      </w:r>
      <w:r w:rsidR="00897042">
        <w:rPr>
          <w:rFonts w:eastAsiaTheme="minorEastAsia"/>
        </w:rPr>
        <w:instrText xml:space="preserve"> REF _Ref205815306 \w \h </w:instrText>
      </w:r>
      <w:r w:rsidR="00897042">
        <w:rPr>
          <w:rFonts w:eastAsiaTheme="minorEastAsia"/>
          <w:highlight w:val="lightGray"/>
        </w:rPr>
      </w:r>
      <w:r w:rsidR="00897042">
        <w:rPr>
          <w:rFonts w:eastAsiaTheme="minorEastAsia"/>
          <w:highlight w:val="lightGray"/>
        </w:rPr>
        <w:fldChar w:fldCharType="separate"/>
      </w:r>
      <w:r w:rsidR="002E5C6A">
        <w:rPr>
          <w:rFonts w:eastAsiaTheme="minorEastAsia"/>
        </w:rPr>
        <w:t>11.1</w:t>
      </w:r>
      <w:r w:rsidR="00897042">
        <w:rPr>
          <w:rFonts w:eastAsiaTheme="minorEastAsia"/>
          <w:highlight w:val="lightGray"/>
        </w:rPr>
        <w:fldChar w:fldCharType="end"/>
      </w:r>
      <w:r>
        <w:rPr>
          <w:rFonts w:eastAsiaTheme="minorEastAsia"/>
        </w:rPr>
        <w:t>(“</w:t>
      </w:r>
      <w:r w:rsidR="00897042">
        <w:rPr>
          <w:rFonts w:eastAsiaTheme="minorEastAsia"/>
          <w:highlight w:val="lightGray"/>
        </w:rPr>
        <w:fldChar w:fldCharType="begin"/>
      </w:r>
      <w:r w:rsidR="00897042">
        <w:rPr>
          <w:rFonts w:eastAsiaTheme="minorEastAsia"/>
        </w:rPr>
        <w:instrText xml:space="preserve"> REF _Ref205815314 \h </w:instrText>
      </w:r>
      <w:r w:rsidR="00897042">
        <w:rPr>
          <w:rFonts w:eastAsiaTheme="minorEastAsia"/>
          <w:highlight w:val="lightGray"/>
        </w:rPr>
      </w:r>
      <w:r w:rsidR="00897042">
        <w:rPr>
          <w:rFonts w:eastAsiaTheme="minorEastAsia"/>
          <w:highlight w:val="lightGray"/>
        </w:rPr>
        <w:fldChar w:fldCharType="separate"/>
      </w:r>
      <w:r w:rsidR="002E5C6A">
        <w:t>Performance</w:t>
      </w:r>
      <w:r w:rsidR="00897042">
        <w:rPr>
          <w:rFonts w:eastAsiaTheme="minorEastAsia"/>
          <w:highlight w:val="lightGray"/>
        </w:rPr>
        <w:fldChar w:fldCharType="end"/>
      </w:r>
      <w:r>
        <w:rPr>
          <w:rFonts w:eastAsiaTheme="minorEastAsia"/>
        </w:rPr>
        <w:t xml:space="preserve">”), </w:t>
      </w:r>
      <w:r>
        <w:t xml:space="preserve">Project </w:t>
      </w:r>
      <w:r>
        <w:rPr>
          <w:rFonts w:eastAsiaTheme="minorEastAsia"/>
        </w:rPr>
        <w:t>Operator will implement following strategies and approaches to achieve First Nations targets regarding economic participation and engagement, including approach to reporting, monitoring and compliance.</w:t>
      </w:r>
    </w:p>
    <w:p w14:paraId="05B34702" w14:textId="77777777" w:rsidR="0024371D" w:rsidRDefault="0024371D" w:rsidP="0024371D">
      <w:pPr>
        <w:pStyle w:val="Indent2"/>
        <w:rPr>
          <w:rFonts w:eastAsiaTheme="minorHAnsi"/>
        </w:rPr>
      </w:pPr>
      <w:r w:rsidRPr="00982398">
        <w:rPr>
          <w:rFonts w:eastAsiaTheme="minorHAnsi"/>
        </w:rPr>
        <w:t>[</w:t>
      </w:r>
      <w:r w:rsidRPr="00982398">
        <w:rPr>
          <w:rFonts w:eastAsiaTheme="minorHAnsi"/>
          <w:highlight w:val="yellow"/>
        </w:rPr>
        <w:t>insert</w:t>
      </w:r>
      <w:r w:rsidRPr="00982398">
        <w:rPr>
          <w:rFonts w:eastAsiaTheme="minorHAnsi"/>
        </w:rPr>
        <w:t>]</w:t>
      </w:r>
    </w:p>
    <w:p w14:paraId="49B7D23F" w14:textId="6F3141D7" w:rsidR="0024371D" w:rsidRDefault="0024371D" w:rsidP="0024371D">
      <w:pPr>
        <w:pStyle w:val="Indent2"/>
      </w:pPr>
      <w:r>
        <w:t>Project Operator will report against the above strategies and approaches</w:t>
      </w:r>
      <w:r>
        <w:rPr>
          <w:rFonts w:eastAsiaTheme="minorHAnsi" w:cstheme="minorBidi"/>
          <w:bCs/>
        </w:rPr>
        <w:t xml:space="preserve"> </w:t>
      </w:r>
      <w:r>
        <w:t xml:space="preserve">in its report to the Commonwealth under clause </w:t>
      </w:r>
      <w:r>
        <w:fldChar w:fldCharType="begin"/>
      </w:r>
      <w:r>
        <w:instrText xml:space="preserve"> REF _Ref94878032 \n \h </w:instrText>
      </w:r>
      <w:r>
        <w:fldChar w:fldCharType="separate"/>
      </w:r>
      <w:r w:rsidR="002E5C6A">
        <w:t>12.4</w:t>
      </w:r>
      <w:r>
        <w:fldChar w:fldCharType="end"/>
      </w:r>
      <w:r>
        <w:rPr>
          <w:rFonts w:eastAsia="Trebuchet MS"/>
          <w:bCs/>
        </w:rPr>
        <w:t xml:space="preserve"> (“</w:t>
      </w:r>
      <w:r>
        <w:rPr>
          <w:rFonts w:eastAsia="Trebuchet MS"/>
          <w:bCs/>
        </w:rPr>
        <w:fldChar w:fldCharType="begin"/>
      </w:r>
      <w:r>
        <w:rPr>
          <w:rFonts w:eastAsia="Trebuchet MS"/>
          <w:bCs/>
        </w:rPr>
        <w:instrText xml:space="preserve"> REF _Ref94878032 \h </w:instrText>
      </w:r>
      <w:r>
        <w:rPr>
          <w:rFonts w:eastAsia="Trebuchet MS"/>
          <w:bCs/>
        </w:rPr>
      </w:r>
      <w:r>
        <w:rPr>
          <w:rFonts w:eastAsia="Trebuchet MS"/>
          <w:bCs/>
        </w:rPr>
        <w:fldChar w:fldCharType="separate"/>
      </w:r>
      <w:r w:rsidR="002E5C6A" w:rsidRPr="00F06646">
        <w:t>Social Licence Commitments Reporting</w:t>
      </w:r>
      <w:r>
        <w:rPr>
          <w:rFonts w:eastAsia="Trebuchet MS"/>
          <w:bCs/>
        </w:rPr>
        <w:fldChar w:fldCharType="end"/>
      </w:r>
      <w:r>
        <w:rPr>
          <w:rFonts w:eastAsia="Trebuchet MS"/>
          <w:bCs/>
        </w:rPr>
        <w:t>”)</w:t>
      </w:r>
      <w:r>
        <w:t>.</w:t>
      </w:r>
    </w:p>
    <w:p w14:paraId="2C098F68" w14:textId="77777777" w:rsidR="0024371D" w:rsidRPr="00912836" w:rsidRDefault="0024371D" w:rsidP="008F660B">
      <w:pPr>
        <w:pStyle w:val="SchedH3"/>
        <w:numPr>
          <w:ilvl w:val="3"/>
          <w:numId w:val="91"/>
        </w:numPr>
      </w:pPr>
      <w:r w:rsidRPr="00507B20">
        <w:rPr>
          <w:b/>
        </w:rPr>
        <w:t xml:space="preserve">Environmentally sustainable procurement throughout supply chain </w:t>
      </w:r>
    </w:p>
    <w:p w14:paraId="05CF5E6E" w14:textId="607E5BD5" w:rsidR="0024371D" w:rsidRDefault="0024371D" w:rsidP="0024371D">
      <w:pPr>
        <w:pStyle w:val="Indent2"/>
        <w:rPr>
          <w:rFonts w:eastAsiaTheme="minorEastAsia"/>
        </w:rPr>
      </w:pPr>
      <w:r>
        <w:rPr>
          <w:rFonts w:eastAsiaTheme="minorEastAsia"/>
        </w:rPr>
        <w:t xml:space="preserve">In accordance with clause </w:t>
      </w:r>
      <w:r w:rsidR="00203F3C">
        <w:rPr>
          <w:rFonts w:eastAsiaTheme="minorEastAsia"/>
          <w:highlight w:val="lightGray"/>
        </w:rPr>
        <w:fldChar w:fldCharType="begin"/>
      </w:r>
      <w:r w:rsidR="00203F3C">
        <w:rPr>
          <w:rFonts w:eastAsiaTheme="minorEastAsia"/>
        </w:rPr>
        <w:instrText xml:space="preserve"> REF _Ref205815337 \w \h </w:instrText>
      </w:r>
      <w:r w:rsidR="00203F3C">
        <w:rPr>
          <w:rFonts w:eastAsiaTheme="minorEastAsia"/>
          <w:highlight w:val="lightGray"/>
        </w:rPr>
      </w:r>
      <w:r w:rsidR="00203F3C">
        <w:rPr>
          <w:rFonts w:eastAsiaTheme="minorEastAsia"/>
          <w:highlight w:val="lightGray"/>
        </w:rPr>
        <w:fldChar w:fldCharType="separate"/>
      </w:r>
      <w:r w:rsidR="002E5C6A">
        <w:rPr>
          <w:rFonts w:eastAsiaTheme="minorEastAsia"/>
        </w:rPr>
        <w:t>11.1</w:t>
      </w:r>
      <w:r w:rsidR="00203F3C">
        <w:rPr>
          <w:rFonts w:eastAsiaTheme="minorEastAsia"/>
          <w:highlight w:val="lightGray"/>
        </w:rPr>
        <w:fldChar w:fldCharType="end"/>
      </w:r>
      <w:r>
        <w:rPr>
          <w:rFonts w:eastAsiaTheme="minorEastAsia"/>
        </w:rPr>
        <w:t xml:space="preserve"> (“</w:t>
      </w:r>
      <w:r w:rsidR="00203F3C">
        <w:rPr>
          <w:rFonts w:eastAsiaTheme="minorEastAsia"/>
          <w:highlight w:val="lightGray"/>
        </w:rPr>
        <w:fldChar w:fldCharType="begin"/>
      </w:r>
      <w:r w:rsidR="00203F3C">
        <w:rPr>
          <w:rFonts w:eastAsiaTheme="minorEastAsia"/>
        </w:rPr>
        <w:instrText xml:space="preserve"> REF _Ref205815346 \h </w:instrText>
      </w:r>
      <w:r w:rsidR="00203F3C">
        <w:rPr>
          <w:rFonts w:eastAsiaTheme="minorEastAsia"/>
          <w:highlight w:val="lightGray"/>
        </w:rPr>
      </w:r>
      <w:r w:rsidR="00203F3C">
        <w:rPr>
          <w:rFonts w:eastAsiaTheme="minorEastAsia"/>
          <w:highlight w:val="lightGray"/>
        </w:rPr>
        <w:fldChar w:fldCharType="separate"/>
      </w:r>
      <w:r w:rsidR="002E5C6A">
        <w:t>Performance</w:t>
      </w:r>
      <w:r w:rsidR="00203F3C">
        <w:rPr>
          <w:rFonts w:eastAsiaTheme="minorEastAsia"/>
          <w:highlight w:val="lightGray"/>
        </w:rPr>
        <w:fldChar w:fldCharType="end"/>
      </w:r>
      <w:r>
        <w:rPr>
          <w:rFonts w:eastAsiaTheme="minorEastAsia"/>
        </w:rPr>
        <w:t xml:space="preserve">”), </w:t>
      </w:r>
      <w:r>
        <w:t xml:space="preserve">Project </w:t>
      </w:r>
      <w:r>
        <w:rPr>
          <w:rFonts w:eastAsiaTheme="minorEastAsia"/>
        </w:rPr>
        <w:t>Operator will undertake to implement the following strategies and approaches to promote environmentally sustainable procurement throughout the supply chain.</w:t>
      </w:r>
    </w:p>
    <w:p w14:paraId="7F6646AC" w14:textId="77777777" w:rsidR="0024371D" w:rsidRDefault="0024371D" w:rsidP="0024371D">
      <w:pPr>
        <w:pStyle w:val="Indent2"/>
        <w:rPr>
          <w:rFonts w:eastAsiaTheme="minorHAnsi"/>
          <w:bCs/>
        </w:rPr>
      </w:pPr>
      <w:r w:rsidRPr="00982398">
        <w:rPr>
          <w:rFonts w:eastAsiaTheme="minorHAnsi"/>
        </w:rPr>
        <w:t>[</w:t>
      </w:r>
      <w:r w:rsidRPr="00982398">
        <w:rPr>
          <w:rFonts w:eastAsiaTheme="minorHAnsi"/>
          <w:highlight w:val="yellow"/>
        </w:rPr>
        <w:t>insert</w:t>
      </w:r>
      <w:r w:rsidRPr="00982398">
        <w:rPr>
          <w:rFonts w:eastAsiaTheme="minorHAnsi"/>
        </w:rPr>
        <w:t>]</w:t>
      </w:r>
    </w:p>
    <w:p w14:paraId="0EDD2450" w14:textId="41F72F82" w:rsidR="00BE1BD6" w:rsidRDefault="0024371D" w:rsidP="003E5DAD">
      <w:pPr>
        <w:pStyle w:val="SchedH3"/>
        <w:numPr>
          <w:ilvl w:val="3"/>
          <w:numId w:val="0"/>
        </w:numPr>
        <w:shd w:val="clear" w:color="auto" w:fill="FFFFFF" w:themeFill="background1"/>
        <w:ind w:left="737"/>
        <w:sectPr w:rsidR="00BE1BD6" w:rsidSect="00E5595F">
          <w:footerReference w:type="default" r:id="rId46"/>
          <w:footerReference w:type="first" r:id="rId47"/>
          <w:pgSz w:w="16840" w:h="11907" w:orient="landscape" w:code="9"/>
          <w:pgMar w:top="2835" w:right="1134" w:bottom="1134" w:left="1418" w:header="425" w:footer="567" w:gutter="0"/>
          <w:cols w:space="720"/>
          <w:titlePg/>
          <w:docGrid w:linePitch="313"/>
        </w:sectPr>
      </w:pPr>
      <w:r>
        <w:t xml:space="preserve">Project </w:t>
      </w:r>
      <w:r>
        <w:rPr>
          <w:rFonts w:eastAsiaTheme="minorEastAsia"/>
        </w:rPr>
        <w:t>Operator</w:t>
      </w:r>
      <w:r>
        <w:t xml:space="preserve"> will report against the above strategies and approaches</w:t>
      </w:r>
      <w:r>
        <w:rPr>
          <w:rFonts w:eastAsiaTheme="minorHAnsi"/>
          <w:bCs/>
        </w:rPr>
        <w:t xml:space="preserve"> </w:t>
      </w:r>
      <w:r>
        <w:t xml:space="preserve">in its report to the Commonwealth under </w:t>
      </w:r>
      <w:r>
        <w:rPr>
          <w:rFonts w:eastAsiaTheme="minorEastAsia"/>
        </w:rPr>
        <w:t>clause</w:t>
      </w:r>
      <w:r>
        <w:t xml:space="preserve"> </w:t>
      </w:r>
      <w:r>
        <w:fldChar w:fldCharType="begin"/>
      </w:r>
      <w:r>
        <w:instrText xml:space="preserve"> REF _Ref94878032 \n \h </w:instrText>
      </w:r>
      <w:r>
        <w:fldChar w:fldCharType="separate"/>
      </w:r>
      <w:r w:rsidR="002E5C6A">
        <w:t>12.4</w:t>
      </w:r>
      <w:r>
        <w:fldChar w:fldCharType="end"/>
      </w:r>
      <w:r>
        <w:rPr>
          <w:rFonts w:eastAsia="Trebuchet MS"/>
          <w:bCs/>
        </w:rPr>
        <w:t xml:space="preserve"> (“</w:t>
      </w:r>
      <w:r>
        <w:rPr>
          <w:rFonts w:eastAsia="Trebuchet MS"/>
          <w:bCs/>
        </w:rPr>
        <w:fldChar w:fldCharType="begin"/>
      </w:r>
      <w:r>
        <w:rPr>
          <w:rFonts w:eastAsia="Trebuchet MS"/>
          <w:bCs/>
        </w:rPr>
        <w:instrText xml:space="preserve"> REF _Ref94878032 \h </w:instrText>
      </w:r>
      <w:r>
        <w:rPr>
          <w:rFonts w:eastAsia="Trebuchet MS"/>
          <w:bCs/>
        </w:rPr>
      </w:r>
      <w:r>
        <w:rPr>
          <w:rFonts w:eastAsia="Trebuchet MS"/>
          <w:bCs/>
        </w:rPr>
        <w:fldChar w:fldCharType="separate"/>
      </w:r>
      <w:r w:rsidR="002E5C6A" w:rsidRPr="00F06646">
        <w:t>Social Licence Commitments Reporting</w:t>
      </w:r>
      <w:r>
        <w:rPr>
          <w:rFonts w:eastAsia="Trebuchet MS"/>
          <w:bCs/>
        </w:rPr>
        <w:fldChar w:fldCharType="end"/>
      </w:r>
      <w:r>
        <w:rPr>
          <w:rFonts w:eastAsia="Trebuchet MS"/>
          <w:bCs/>
        </w:rPr>
        <w:t>”)</w:t>
      </w:r>
      <w:r>
        <w:t>.</w:t>
      </w:r>
    </w:p>
    <w:p w14:paraId="54C6B82D" w14:textId="6492616F" w:rsidR="00A32D4C" w:rsidRDefault="00A32D4C" w:rsidP="00467340">
      <w:pPr>
        <w:pStyle w:val="SchedulePageHeading"/>
        <w:numPr>
          <w:ilvl w:val="0"/>
          <w:numId w:val="42"/>
        </w:numPr>
      </w:pPr>
      <w:bookmarkStart w:id="5462" w:name="_Toc167471301"/>
      <w:bookmarkStart w:id="5463" w:name="_Toc167473710"/>
      <w:bookmarkStart w:id="5464" w:name="_Toc167474363"/>
      <w:bookmarkStart w:id="5465" w:name="_Toc167911425"/>
      <w:bookmarkStart w:id="5466" w:name="_Toc167471302"/>
      <w:bookmarkStart w:id="5467" w:name="_Toc167473711"/>
      <w:bookmarkStart w:id="5468" w:name="_Toc167474364"/>
      <w:bookmarkStart w:id="5469" w:name="_Toc167911426"/>
      <w:bookmarkStart w:id="5470" w:name="_Toc205806755"/>
      <w:bookmarkStart w:id="5471" w:name="_Toc206076091"/>
      <w:bookmarkStart w:id="5472" w:name="_Toc206154588"/>
      <w:bookmarkStart w:id="5473" w:name="_Ref159507278"/>
      <w:bookmarkStart w:id="5474" w:name="_Ref177060145"/>
      <w:bookmarkStart w:id="5475" w:name="_Ref177060223"/>
      <w:bookmarkStart w:id="5476" w:name="_Toc207309765"/>
      <w:bookmarkEnd w:id="5462"/>
      <w:bookmarkEnd w:id="5463"/>
      <w:bookmarkEnd w:id="5464"/>
      <w:bookmarkEnd w:id="5465"/>
      <w:bookmarkEnd w:id="5466"/>
      <w:bookmarkEnd w:id="5467"/>
      <w:bookmarkEnd w:id="5468"/>
      <w:bookmarkEnd w:id="5469"/>
      <w:bookmarkEnd w:id="5470"/>
      <w:bookmarkEnd w:id="5471"/>
      <w:bookmarkEnd w:id="5472"/>
      <w:r>
        <w:t>Metering Diagram</w:t>
      </w:r>
      <w:bookmarkEnd w:id="5473"/>
      <w:bookmarkEnd w:id="5474"/>
      <w:bookmarkEnd w:id="5475"/>
      <w:bookmarkEnd w:id="5476"/>
    </w:p>
    <w:p w14:paraId="5D246A66" w14:textId="7C02E08E" w:rsidR="00FE3A5F" w:rsidRDefault="00A32D4C" w:rsidP="00A32D4C">
      <w:pPr>
        <w:pStyle w:val="BodyText"/>
        <w:rPr>
          <w:b/>
          <w:bCs/>
          <w:i/>
          <w:iCs/>
          <w:highlight w:val="lightGray"/>
        </w:rPr>
      </w:pPr>
      <w:r w:rsidRPr="00292088">
        <w:t>[</w:t>
      </w:r>
      <w:r w:rsidRPr="004D3942">
        <w:rPr>
          <w:b/>
          <w:bCs/>
          <w:i/>
          <w:iCs/>
          <w:highlight w:val="lightGray"/>
        </w:rPr>
        <w:t>Note</w:t>
      </w:r>
      <w:r w:rsidR="001A6E34">
        <w:rPr>
          <w:b/>
          <w:bCs/>
          <w:i/>
          <w:iCs/>
          <w:highlight w:val="lightGray"/>
        </w:rPr>
        <w:t>s</w:t>
      </w:r>
      <w:r w:rsidRPr="004D3942">
        <w:rPr>
          <w:b/>
          <w:bCs/>
          <w:i/>
          <w:iCs/>
          <w:highlight w:val="lightGray"/>
        </w:rPr>
        <w:t xml:space="preserve">: </w:t>
      </w:r>
    </w:p>
    <w:p w14:paraId="66946924" w14:textId="1DC593BF" w:rsidR="00A32D4C" w:rsidRPr="004D3942" w:rsidRDefault="00FE3A5F" w:rsidP="00F717D7">
      <w:pPr>
        <w:pStyle w:val="BodyText"/>
        <w:ind w:left="737" w:hanging="737"/>
        <w:rPr>
          <w:b/>
          <w:bCs/>
          <w:i/>
          <w:iCs/>
          <w:highlight w:val="lightGray"/>
        </w:rPr>
      </w:pPr>
      <w:r>
        <w:rPr>
          <w:b/>
          <w:bCs/>
          <w:i/>
          <w:iCs/>
          <w:highlight w:val="lightGray"/>
        </w:rPr>
        <w:t xml:space="preserve">1. </w:t>
      </w:r>
      <w:r>
        <w:rPr>
          <w:b/>
          <w:bCs/>
          <w:i/>
          <w:iCs/>
          <w:highlight w:val="lightGray"/>
        </w:rPr>
        <w:tab/>
      </w:r>
      <w:r w:rsidR="00A32D4C" w:rsidRPr="004D3942">
        <w:rPr>
          <w:b/>
          <w:bCs/>
          <w:i/>
          <w:iCs/>
          <w:highlight w:val="lightGray"/>
        </w:rPr>
        <w:t>for all Hybrid Projects</w:t>
      </w:r>
      <w:r>
        <w:rPr>
          <w:b/>
          <w:bCs/>
          <w:i/>
          <w:iCs/>
          <w:highlight w:val="lightGray"/>
        </w:rPr>
        <w:t xml:space="preserve"> and Staged Projects</w:t>
      </w:r>
      <w:r w:rsidR="00A32D4C" w:rsidRPr="004D3942">
        <w:rPr>
          <w:b/>
          <w:bCs/>
          <w:i/>
          <w:iCs/>
          <w:highlight w:val="lightGray"/>
        </w:rPr>
        <w:t>, the Proponent must include a metering diagram and an accompanying table which outlines how the metering of the</w:t>
      </w:r>
      <w:r>
        <w:rPr>
          <w:b/>
          <w:bCs/>
          <w:i/>
          <w:iCs/>
          <w:highlight w:val="lightGray"/>
        </w:rPr>
        <w:t xml:space="preserve"> Hybrid Project or Staged Project (as applicable</w:t>
      </w:r>
      <w:r w:rsidR="0024371D">
        <w:rPr>
          <w:b/>
          <w:bCs/>
          <w:i/>
          <w:iCs/>
          <w:highlight w:val="lightGray"/>
        </w:rPr>
        <w:t>)</w:t>
      </w:r>
      <w:r w:rsidR="00A32D4C" w:rsidRPr="004D3942">
        <w:rPr>
          <w:b/>
          <w:bCs/>
          <w:i/>
          <w:iCs/>
          <w:highlight w:val="lightGray"/>
        </w:rPr>
        <w:t xml:space="preserve"> will work. The metering solution must comply with the requirements in clause </w:t>
      </w:r>
      <w:r w:rsidR="00A32D4C" w:rsidRPr="004D3942">
        <w:rPr>
          <w:b/>
          <w:bCs/>
          <w:i/>
          <w:iCs/>
          <w:highlight w:val="lightGray"/>
        </w:rPr>
        <w:fldChar w:fldCharType="begin"/>
      </w:r>
      <w:r w:rsidR="00A32D4C" w:rsidRPr="004D3942">
        <w:rPr>
          <w:b/>
          <w:bCs/>
          <w:i/>
          <w:iCs/>
          <w:highlight w:val="lightGray"/>
        </w:rPr>
        <w:instrText xml:space="preserve"> REF _Ref155787474 \r \h  \* MERGEFORMAT </w:instrText>
      </w:r>
      <w:r w:rsidR="00A32D4C" w:rsidRPr="004D3942">
        <w:rPr>
          <w:b/>
          <w:bCs/>
          <w:i/>
          <w:iCs/>
          <w:highlight w:val="lightGray"/>
        </w:rPr>
      </w:r>
      <w:r w:rsidR="00A32D4C" w:rsidRPr="004D3942">
        <w:rPr>
          <w:b/>
          <w:bCs/>
          <w:i/>
          <w:iCs/>
          <w:highlight w:val="lightGray"/>
        </w:rPr>
        <w:fldChar w:fldCharType="separate"/>
      </w:r>
      <w:r w:rsidR="002E5C6A">
        <w:rPr>
          <w:b/>
          <w:bCs/>
          <w:i/>
          <w:iCs/>
          <w:highlight w:val="lightGray"/>
        </w:rPr>
        <w:t>4.2</w:t>
      </w:r>
      <w:r w:rsidR="00A32D4C" w:rsidRPr="004D3942">
        <w:rPr>
          <w:b/>
          <w:bCs/>
          <w:i/>
          <w:iCs/>
          <w:highlight w:val="lightGray"/>
        </w:rPr>
        <w:fldChar w:fldCharType="end"/>
      </w:r>
      <w:r w:rsidR="00A32D4C" w:rsidRPr="004D3942">
        <w:rPr>
          <w:b/>
          <w:bCs/>
          <w:i/>
          <w:iCs/>
          <w:highlight w:val="lightGray"/>
        </w:rPr>
        <w:t>. The metering diagram provided by the Proponent must include all relevant generation assets</w:t>
      </w:r>
      <w:r>
        <w:rPr>
          <w:b/>
          <w:bCs/>
          <w:i/>
          <w:iCs/>
          <w:highlight w:val="lightGray"/>
        </w:rPr>
        <w:t xml:space="preserve"> (if applicable)</w:t>
      </w:r>
      <w:r w:rsidR="00A32D4C" w:rsidRPr="004D3942">
        <w:rPr>
          <w:b/>
          <w:bCs/>
          <w:i/>
          <w:iCs/>
          <w:highlight w:val="lightGray"/>
        </w:rPr>
        <w:t>, energy storage assets, shared auxiliary loads, separate auxiliary loads, inverters, converters, coupling transformers and main transformers.</w:t>
      </w:r>
    </w:p>
    <w:p w14:paraId="66927F44" w14:textId="13E641A0" w:rsidR="00A32D4C" w:rsidRPr="004D3942" w:rsidRDefault="00FE3A5F" w:rsidP="00D315FD">
      <w:pPr>
        <w:pStyle w:val="BodyText"/>
        <w:ind w:left="737" w:hanging="737"/>
        <w:rPr>
          <w:b/>
          <w:bCs/>
          <w:i/>
          <w:iCs/>
          <w:highlight w:val="lightGray"/>
        </w:rPr>
      </w:pPr>
      <w:r>
        <w:rPr>
          <w:b/>
          <w:bCs/>
          <w:i/>
          <w:iCs/>
          <w:highlight w:val="lightGray"/>
        </w:rPr>
        <w:t>2.</w:t>
      </w:r>
      <w:r>
        <w:rPr>
          <w:b/>
          <w:bCs/>
          <w:i/>
          <w:iCs/>
          <w:highlight w:val="lightGray"/>
        </w:rPr>
        <w:tab/>
        <w:t xml:space="preserve"> </w:t>
      </w:r>
      <w:r w:rsidR="00A32D4C" w:rsidRPr="004D3942">
        <w:rPr>
          <w:b/>
          <w:bCs/>
          <w:i/>
          <w:iCs/>
          <w:highlight w:val="lightGray"/>
        </w:rPr>
        <w:t xml:space="preserve">It is expected that the metering solution will be sufficient to distinguish generated energy that is directly exported to the Network from generated energy that is imported by the Project prior to export to the Network. </w:t>
      </w:r>
    </w:p>
    <w:p w14:paraId="1D2930D7" w14:textId="77777777" w:rsidR="00A32D4C" w:rsidRDefault="00A32D4C" w:rsidP="00A32D4C">
      <w:pPr>
        <w:pStyle w:val="BodyText"/>
      </w:pPr>
      <w:r w:rsidRPr="004D3942">
        <w:rPr>
          <w:b/>
          <w:bCs/>
          <w:i/>
          <w:iCs/>
          <w:highlight w:val="lightGray"/>
        </w:rPr>
        <w:t>Indicative examples of metering diagrams are provided on the following pages together with a legend explaining each metering icon.</w:t>
      </w:r>
      <w:r>
        <w:t>]</w:t>
      </w:r>
    </w:p>
    <w:p w14:paraId="5043797A" w14:textId="77777777" w:rsidR="00A32D4C" w:rsidRDefault="00A32D4C" w:rsidP="00A32D4C">
      <w:pPr>
        <w:pStyle w:val="BodyText"/>
      </w:pPr>
      <w:r w:rsidRPr="004A182E">
        <w:rPr>
          <w:noProof/>
        </w:rPr>
        <w:drawing>
          <wp:inline distT="0" distB="0" distL="0" distR="0" wp14:anchorId="726441B9" wp14:editId="0B3A4BFF">
            <wp:extent cx="5040630" cy="691705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5040630" cy="6917055"/>
                    </a:xfrm>
                    <a:prstGeom prst="rect">
                      <a:avLst/>
                    </a:prstGeom>
                  </pic:spPr>
                </pic:pic>
              </a:graphicData>
            </a:graphic>
          </wp:inline>
        </w:drawing>
      </w:r>
    </w:p>
    <w:p w14:paraId="47982133" w14:textId="77777777" w:rsidR="00A32D4C" w:rsidRDefault="00A32D4C" w:rsidP="00A32D4C">
      <w:pPr>
        <w:pStyle w:val="BodyText"/>
      </w:pPr>
      <w:r w:rsidRPr="004A182E">
        <w:rPr>
          <w:noProof/>
        </w:rPr>
        <w:drawing>
          <wp:inline distT="0" distB="0" distL="0" distR="0" wp14:anchorId="56823DCB" wp14:editId="5D896B83">
            <wp:extent cx="5040630" cy="68199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5040630" cy="6819900"/>
                    </a:xfrm>
                    <a:prstGeom prst="rect">
                      <a:avLst/>
                    </a:prstGeom>
                  </pic:spPr>
                </pic:pic>
              </a:graphicData>
            </a:graphic>
          </wp:inline>
        </w:drawing>
      </w:r>
    </w:p>
    <w:tbl>
      <w:tblPr>
        <w:tblW w:w="9498" w:type="dxa"/>
        <w:tblInd w:w="-1428" w:type="dxa"/>
        <w:tblCellMar>
          <w:left w:w="0" w:type="dxa"/>
          <w:right w:w="0" w:type="dxa"/>
        </w:tblCellMar>
        <w:tblLook w:val="04A0" w:firstRow="1" w:lastRow="0" w:firstColumn="1" w:lastColumn="0" w:noHBand="0" w:noVBand="1"/>
      </w:tblPr>
      <w:tblGrid>
        <w:gridCol w:w="1240"/>
        <w:gridCol w:w="4383"/>
        <w:gridCol w:w="3875"/>
      </w:tblGrid>
      <w:tr w:rsidR="00A32D4C" w:rsidRPr="004155F8" w14:paraId="4AFAB292" w14:textId="77777777" w:rsidTr="004155F8">
        <w:trPr>
          <w:trHeight w:val="270"/>
          <w:tblHeader/>
        </w:trPr>
        <w:tc>
          <w:tcPr>
            <w:tcW w:w="851" w:type="dxa"/>
            <w:vMerge w:val="restart"/>
            <w:tcBorders>
              <w:top w:val="single" w:sz="8" w:space="0" w:color="auto"/>
              <w:left w:val="single" w:sz="8" w:space="0" w:color="auto"/>
              <w:bottom w:val="single" w:sz="8" w:space="0" w:color="000000"/>
              <w:right w:val="single" w:sz="8" w:space="0" w:color="auto"/>
            </w:tcBorders>
            <w:shd w:val="clear" w:color="auto" w:fill="FFFFFF"/>
            <w:noWrap/>
            <w:tcMar>
              <w:top w:w="0" w:type="dxa"/>
              <w:left w:w="108" w:type="dxa"/>
              <w:bottom w:w="0" w:type="dxa"/>
              <w:right w:w="108" w:type="dxa"/>
            </w:tcMar>
            <w:vAlign w:val="center"/>
            <w:hideMark/>
          </w:tcPr>
          <w:p w14:paraId="323E803D" w14:textId="77777777" w:rsidR="00A32D4C" w:rsidRPr="004155F8" w:rsidRDefault="00A32D4C" w:rsidP="00EB44AD">
            <w:pPr>
              <w:rPr>
                <w:b/>
                <w:bCs/>
                <w:sz w:val="18"/>
                <w:szCs w:val="18"/>
              </w:rPr>
            </w:pPr>
            <w:r w:rsidRPr="004155F8">
              <w:rPr>
                <w:b/>
                <w:bCs/>
                <w:color w:val="000000"/>
                <w:sz w:val="18"/>
                <w:szCs w:val="18"/>
              </w:rPr>
              <w:t>Point</w:t>
            </w:r>
          </w:p>
        </w:tc>
        <w:tc>
          <w:tcPr>
            <w:tcW w:w="5671" w:type="dxa"/>
            <w:gridSpan w:val="2"/>
            <w:tcBorders>
              <w:top w:val="single" w:sz="8" w:space="0" w:color="auto"/>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22CA6E6B" w14:textId="77777777" w:rsidR="00A32D4C" w:rsidRPr="004155F8" w:rsidRDefault="00A32D4C" w:rsidP="00EB44AD">
            <w:pPr>
              <w:jc w:val="center"/>
              <w:rPr>
                <w:b/>
                <w:bCs/>
                <w:sz w:val="18"/>
                <w:szCs w:val="18"/>
              </w:rPr>
            </w:pPr>
            <w:r w:rsidRPr="004155F8">
              <w:rPr>
                <w:b/>
                <w:bCs/>
                <w:color w:val="000000"/>
                <w:sz w:val="18"/>
                <w:szCs w:val="18"/>
              </w:rPr>
              <w:t>Type of Measurement</w:t>
            </w:r>
          </w:p>
        </w:tc>
      </w:tr>
      <w:tr w:rsidR="00A32D4C" w:rsidRPr="004155F8" w14:paraId="18443E78" w14:textId="77777777" w:rsidTr="004155F8">
        <w:trPr>
          <w:trHeight w:val="270"/>
          <w:tblHeader/>
        </w:trPr>
        <w:tc>
          <w:tcPr>
            <w:tcW w:w="851" w:type="dxa"/>
            <w:vMerge/>
            <w:tcBorders>
              <w:top w:val="single" w:sz="8" w:space="0" w:color="auto"/>
              <w:left w:val="single" w:sz="8" w:space="0" w:color="auto"/>
              <w:bottom w:val="single" w:sz="8" w:space="0" w:color="000000"/>
              <w:right w:val="single" w:sz="8" w:space="0" w:color="auto"/>
            </w:tcBorders>
            <w:vAlign w:val="center"/>
            <w:hideMark/>
          </w:tcPr>
          <w:p w14:paraId="0EA1719F" w14:textId="77777777" w:rsidR="00A32D4C" w:rsidRPr="004155F8" w:rsidRDefault="00A32D4C" w:rsidP="00EB44AD">
            <w:pPr>
              <w:rPr>
                <w:rFonts w:eastAsiaTheme="minorEastAsia"/>
                <w:b/>
                <w:bCs/>
                <w:sz w:val="18"/>
                <w:szCs w:val="18"/>
              </w:rPr>
            </w:pPr>
          </w:p>
        </w:tc>
        <w:tc>
          <w:tcPr>
            <w:tcW w:w="30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290876C" w14:textId="77777777" w:rsidR="00A32D4C" w:rsidRPr="004155F8" w:rsidRDefault="00A32D4C" w:rsidP="00EB44AD">
            <w:pPr>
              <w:jc w:val="center"/>
              <w:rPr>
                <w:b/>
                <w:bCs/>
                <w:sz w:val="18"/>
                <w:szCs w:val="18"/>
              </w:rPr>
            </w:pPr>
            <w:r w:rsidRPr="004155F8">
              <w:rPr>
                <w:b/>
                <w:bCs/>
                <w:color w:val="000000"/>
                <w:sz w:val="18"/>
                <w:szCs w:val="18"/>
              </w:rPr>
              <w:t>DC Coupled</w:t>
            </w:r>
          </w:p>
        </w:tc>
        <w:tc>
          <w:tcPr>
            <w:tcW w:w="266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DA82FF2" w14:textId="77777777" w:rsidR="00A32D4C" w:rsidRPr="004155F8" w:rsidRDefault="00A32D4C" w:rsidP="00EB44AD">
            <w:pPr>
              <w:jc w:val="center"/>
              <w:rPr>
                <w:b/>
                <w:bCs/>
                <w:sz w:val="18"/>
                <w:szCs w:val="18"/>
              </w:rPr>
            </w:pPr>
            <w:r w:rsidRPr="004155F8">
              <w:rPr>
                <w:b/>
                <w:bCs/>
                <w:color w:val="000000"/>
                <w:sz w:val="18"/>
                <w:szCs w:val="18"/>
              </w:rPr>
              <w:t>AC Coupled</w:t>
            </w:r>
          </w:p>
        </w:tc>
      </w:tr>
      <w:tr w:rsidR="00A32D4C" w:rsidRPr="004155F8" w14:paraId="2D37B7CB" w14:textId="77777777" w:rsidTr="004A2340">
        <w:trPr>
          <w:trHeight w:val="753"/>
        </w:trPr>
        <w:tc>
          <w:tcPr>
            <w:tcW w:w="85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D1D361F" w14:textId="77777777" w:rsidR="00A32D4C" w:rsidRPr="004155F8" w:rsidRDefault="00A32D4C" w:rsidP="00EB44AD">
            <w:pPr>
              <w:rPr>
                <w:sz w:val="18"/>
                <w:szCs w:val="18"/>
              </w:rPr>
            </w:pPr>
            <w:r w:rsidRPr="004155F8">
              <w:rPr>
                <w:color w:val="000000"/>
                <w:sz w:val="18"/>
                <w:szCs w:val="18"/>
              </w:rPr>
              <w:t>A1</w:t>
            </w:r>
          </w:p>
        </w:tc>
        <w:tc>
          <w:tcPr>
            <w:tcW w:w="3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B20367" w14:textId="77777777" w:rsidR="00A32D4C" w:rsidRPr="004155F8" w:rsidRDefault="00A32D4C" w:rsidP="00EB44AD">
            <w:pPr>
              <w:rPr>
                <w:sz w:val="18"/>
                <w:szCs w:val="18"/>
              </w:rPr>
            </w:pPr>
            <w:r w:rsidRPr="004155F8">
              <w:rPr>
                <w:color w:val="000000"/>
                <w:sz w:val="18"/>
                <w:szCs w:val="18"/>
              </w:rPr>
              <w:t>Export Energy from the Solar Farm. Energy flows may be from DC metering</w:t>
            </w:r>
          </w:p>
        </w:tc>
        <w:tc>
          <w:tcPr>
            <w:tcW w:w="26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394C7A" w14:textId="77777777" w:rsidR="00A32D4C" w:rsidRPr="004155F8" w:rsidRDefault="00A32D4C" w:rsidP="00EB44AD">
            <w:pPr>
              <w:rPr>
                <w:sz w:val="18"/>
                <w:szCs w:val="18"/>
              </w:rPr>
            </w:pPr>
            <w:r w:rsidRPr="004155F8">
              <w:rPr>
                <w:color w:val="000000"/>
                <w:sz w:val="18"/>
                <w:szCs w:val="18"/>
              </w:rPr>
              <w:t>Export Energy from the Solar Farm. Internal AC metering of the Solar Inverter.</w:t>
            </w:r>
          </w:p>
        </w:tc>
      </w:tr>
      <w:tr w:rsidR="00A32D4C" w:rsidRPr="004155F8" w14:paraId="76918ACE" w14:textId="77777777" w:rsidTr="004A2340">
        <w:trPr>
          <w:trHeight w:val="29"/>
        </w:trPr>
        <w:tc>
          <w:tcPr>
            <w:tcW w:w="85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D92A78F" w14:textId="77777777" w:rsidR="00A32D4C" w:rsidRPr="004155F8" w:rsidRDefault="00A32D4C" w:rsidP="00EB44AD">
            <w:pPr>
              <w:rPr>
                <w:sz w:val="18"/>
                <w:szCs w:val="18"/>
              </w:rPr>
            </w:pPr>
            <w:r w:rsidRPr="004155F8">
              <w:rPr>
                <w:color w:val="000000"/>
                <w:sz w:val="18"/>
                <w:szCs w:val="18"/>
              </w:rPr>
              <w:t>A2</w:t>
            </w:r>
          </w:p>
        </w:tc>
        <w:tc>
          <w:tcPr>
            <w:tcW w:w="3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32F75D" w14:textId="77777777" w:rsidR="00A32D4C" w:rsidRPr="004155F8" w:rsidRDefault="00A32D4C" w:rsidP="00EB44AD">
            <w:pPr>
              <w:rPr>
                <w:sz w:val="18"/>
                <w:szCs w:val="18"/>
              </w:rPr>
            </w:pPr>
            <w:r w:rsidRPr="004155F8">
              <w:rPr>
                <w:color w:val="000000"/>
                <w:sz w:val="18"/>
                <w:szCs w:val="18"/>
              </w:rPr>
              <w:t>Bi-directional Energy flows of the BESS. Energy flows from DC metering</w:t>
            </w:r>
          </w:p>
        </w:tc>
        <w:tc>
          <w:tcPr>
            <w:tcW w:w="26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48592A" w14:textId="77777777" w:rsidR="00A32D4C" w:rsidRPr="004155F8" w:rsidRDefault="00A32D4C" w:rsidP="00EB44AD">
            <w:pPr>
              <w:rPr>
                <w:sz w:val="18"/>
                <w:szCs w:val="18"/>
              </w:rPr>
            </w:pPr>
            <w:r w:rsidRPr="004155F8">
              <w:rPr>
                <w:color w:val="000000"/>
                <w:sz w:val="18"/>
                <w:szCs w:val="18"/>
              </w:rPr>
              <w:t>Bi-directional Energy flows of the BESS. Internal AC metering of the PCS</w:t>
            </w:r>
          </w:p>
        </w:tc>
      </w:tr>
      <w:tr w:rsidR="00A32D4C" w:rsidRPr="004155F8" w14:paraId="513B1149" w14:textId="77777777" w:rsidTr="00EB44AD">
        <w:trPr>
          <w:trHeight w:val="1395"/>
        </w:trPr>
        <w:tc>
          <w:tcPr>
            <w:tcW w:w="85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886E5EA" w14:textId="77777777" w:rsidR="00A32D4C" w:rsidRPr="004155F8" w:rsidRDefault="00A32D4C" w:rsidP="00EB44AD">
            <w:pPr>
              <w:rPr>
                <w:sz w:val="18"/>
                <w:szCs w:val="18"/>
              </w:rPr>
            </w:pPr>
            <w:r w:rsidRPr="004155F8">
              <w:rPr>
                <w:color w:val="000000"/>
                <w:sz w:val="18"/>
                <w:szCs w:val="18"/>
              </w:rPr>
              <w:t>B</w:t>
            </w:r>
          </w:p>
        </w:tc>
        <w:tc>
          <w:tcPr>
            <w:tcW w:w="30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A2F1D31" w14:textId="230C5AFA" w:rsidR="00A32D4C" w:rsidRPr="00891454" w:rsidRDefault="00A32D4C" w:rsidP="00EB44AD">
            <w:pPr>
              <w:rPr>
                <w:sz w:val="18"/>
                <w:szCs w:val="18"/>
              </w:rPr>
            </w:pPr>
            <w:r w:rsidRPr="004155F8">
              <w:rPr>
                <w:color w:val="000000"/>
                <w:sz w:val="18"/>
                <w:szCs w:val="18"/>
              </w:rPr>
              <w:t xml:space="preserve">Bi-directional Energy flows of the DC Coupled BESS/Solar. Internal AC metering of the shared Inverter. </w:t>
            </w:r>
            <w:r w:rsidR="00891454">
              <w:rPr>
                <w:color w:val="000000"/>
                <w:sz w:val="18"/>
                <w:szCs w:val="18"/>
              </w:rPr>
              <w:t>[</w:t>
            </w:r>
            <w:r w:rsidRPr="004155F8">
              <w:rPr>
                <w:b/>
                <w:bCs/>
                <w:i/>
                <w:iCs/>
                <w:color w:val="000000"/>
                <w:sz w:val="18"/>
                <w:szCs w:val="18"/>
                <w:shd w:val="clear" w:color="auto" w:fill="D9D9D9" w:themeFill="background1" w:themeFillShade="D9"/>
              </w:rPr>
              <w:t>Note that export levels from the inverter can be used to determine the net flows from the DC Coupled BESS/solar, with contributions from each source determined</w:t>
            </w:r>
            <w:r w:rsidRPr="004155F8">
              <w:rPr>
                <w:color w:val="000000"/>
                <w:sz w:val="18"/>
                <w:szCs w:val="18"/>
                <w:shd w:val="clear" w:color="auto" w:fill="D9D9D9" w:themeFill="background1" w:themeFillShade="D9"/>
              </w:rPr>
              <w:t xml:space="preserve"> </w:t>
            </w:r>
            <w:r w:rsidRPr="004155F8">
              <w:rPr>
                <w:b/>
                <w:bCs/>
                <w:i/>
                <w:iCs/>
                <w:color w:val="000000"/>
                <w:sz w:val="18"/>
                <w:szCs w:val="18"/>
                <w:shd w:val="clear" w:color="auto" w:fill="D9D9D9" w:themeFill="background1" w:themeFillShade="D9"/>
              </w:rPr>
              <w:t>base</w:t>
            </w:r>
            <w:r w:rsidR="00EA1E06" w:rsidRPr="004155F8">
              <w:rPr>
                <w:b/>
                <w:bCs/>
                <w:i/>
                <w:iCs/>
                <w:color w:val="000000"/>
                <w:sz w:val="18"/>
                <w:szCs w:val="18"/>
                <w:shd w:val="clear" w:color="auto" w:fill="D9D9D9" w:themeFill="background1" w:themeFillShade="D9"/>
              </w:rPr>
              <w:t>d</w:t>
            </w:r>
            <w:r w:rsidRPr="004155F8">
              <w:rPr>
                <w:b/>
                <w:bCs/>
                <w:i/>
                <w:iCs/>
                <w:color w:val="000000"/>
                <w:sz w:val="18"/>
                <w:szCs w:val="18"/>
                <w:shd w:val="clear" w:color="auto" w:fill="D9D9D9" w:themeFill="background1" w:themeFillShade="D9"/>
              </w:rPr>
              <w:t xml:space="preserve"> on ratios of A1 and A2 measurements</w:t>
            </w:r>
            <w:r w:rsidR="00891454">
              <w:rPr>
                <w:b/>
                <w:bCs/>
                <w:i/>
                <w:iCs/>
                <w:color w:val="000000"/>
                <w:sz w:val="18"/>
                <w:szCs w:val="18"/>
                <w:shd w:val="clear" w:color="auto" w:fill="D9D9D9" w:themeFill="background1" w:themeFillShade="D9"/>
              </w:rPr>
              <w:t>.</w:t>
            </w:r>
            <w:r w:rsidR="00891454" w:rsidRPr="00891454">
              <w:rPr>
                <w:color w:val="000000"/>
                <w:sz w:val="18"/>
                <w:szCs w:val="18"/>
                <w:shd w:val="clear" w:color="auto" w:fill="D9D9D9" w:themeFill="background1" w:themeFillShade="D9"/>
              </w:rPr>
              <w:t>]</w:t>
            </w:r>
          </w:p>
        </w:tc>
        <w:tc>
          <w:tcPr>
            <w:tcW w:w="2661"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C7FE32C" w14:textId="77777777" w:rsidR="00A32D4C" w:rsidRPr="004155F8" w:rsidRDefault="00A32D4C" w:rsidP="00EB44AD">
            <w:pPr>
              <w:rPr>
                <w:sz w:val="18"/>
                <w:szCs w:val="18"/>
              </w:rPr>
            </w:pPr>
            <w:r w:rsidRPr="004155F8">
              <w:rPr>
                <w:color w:val="000000"/>
                <w:sz w:val="18"/>
                <w:szCs w:val="18"/>
              </w:rPr>
              <w:t>N/A</w:t>
            </w:r>
          </w:p>
        </w:tc>
      </w:tr>
      <w:tr w:rsidR="00A32D4C" w:rsidRPr="004155F8" w14:paraId="1F61371C" w14:textId="77777777" w:rsidTr="00EB44AD">
        <w:trPr>
          <w:trHeight w:val="570"/>
        </w:trPr>
        <w:tc>
          <w:tcPr>
            <w:tcW w:w="85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212F290" w14:textId="77777777" w:rsidR="00A32D4C" w:rsidRPr="004155F8" w:rsidRDefault="00A32D4C" w:rsidP="00EB44AD">
            <w:pPr>
              <w:rPr>
                <w:sz w:val="18"/>
                <w:szCs w:val="18"/>
              </w:rPr>
            </w:pPr>
            <w:r w:rsidRPr="004155F8">
              <w:rPr>
                <w:color w:val="000000"/>
                <w:sz w:val="18"/>
                <w:szCs w:val="18"/>
              </w:rPr>
              <w:t>C</w:t>
            </w:r>
          </w:p>
        </w:tc>
        <w:tc>
          <w:tcPr>
            <w:tcW w:w="5671" w:type="dxa"/>
            <w:gridSpan w:val="2"/>
            <w:tcBorders>
              <w:top w:val="single" w:sz="8" w:space="0" w:color="auto"/>
              <w:left w:val="nil"/>
              <w:bottom w:val="single" w:sz="8" w:space="0" w:color="auto"/>
              <w:right w:val="single" w:sz="8" w:space="0" w:color="000000"/>
            </w:tcBorders>
            <w:shd w:val="clear" w:color="auto" w:fill="FFFFFF"/>
            <w:noWrap/>
            <w:tcMar>
              <w:top w:w="0" w:type="dxa"/>
              <w:left w:w="108" w:type="dxa"/>
              <w:bottom w:w="0" w:type="dxa"/>
              <w:right w:w="108" w:type="dxa"/>
            </w:tcMar>
            <w:hideMark/>
          </w:tcPr>
          <w:p w14:paraId="0BF05E60" w14:textId="77777777" w:rsidR="00A32D4C" w:rsidRPr="004155F8" w:rsidRDefault="00A32D4C" w:rsidP="004A2340">
            <w:pPr>
              <w:rPr>
                <w:sz w:val="18"/>
                <w:szCs w:val="18"/>
              </w:rPr>
            </w:pPr>
            <w:r w:rsidRPr="004155F8">
              <w:rPr>
                <w:color w:val="000000"/>
                <w:sz w:val="18"/>
                <w:szCs w:val="18"/>
              </w:rPr>
              <w:t>Solar farm Auxiliary Loads. AC Metering on supply points to the Solar Farm Auxiliaries.</w:t>
            </w:r>
          </w:p>
        </w:tc>
      </w:tr>
      <w:tr w:rsidR="00A32D4C" w:rsidRPr="004155F8" w14:paraId="7989CB3C" w14:textId="77777777" w:rsidTr="00EB44AD">
        <w:trPr>
          <w:trHeight w:val="570"/>
        </w:trPr>
        <w:tc>
          <w:tcPr>
            <w:tcW w:w="85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F8BE36B" w14:textId="77777777" w:rsidR="00A32D4C" w:rsidRPr="004155F8" w:rsidRDefault="00A32D4C" w:rsidP="00EB44AD">
            <w:pPr>
              <w:rPr>
                <w:sz w:val="18"/>
                <w:szCs w:val="18"/>
              </w:rPr>
            </w:pPr>
            <w:r w:rsidRPr="004155F8">
              <w:rPr>
                <w:color w:val="000000"/>
                <w:sz w:val="18"/>
                <w:szCs w:val="18"/>
              </w:rPr>
              <w:t>D</w:t>
            </w:r>
          </w:p>
        </w:tc>
        <w:tc>
          <w:tcPr>
            <w:tcW w:w="5671" w:type="dxa"/>
            <w:gridSpan w:val="2"/>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hideMark/>
          </w:tcPr>
          <w:p w14:paraId="64A06D31" w14:textId="77777777" w:rsidR="00A32D4C" w:rsidRPr="004155F8" w:rsidRDefault="00A32D4C" w:rsidP="004A2340">
            <w:pPr>
              <w:rPr>
                <w:sz w:val="18"/>
                <w:szCs w:val="18"/>
              </w:rPr>
            </w:pPr>
            <w:r w:rsidRPr="004155F8">
              <w:rPr>
                <w:color w:val="000000"/>
                <w:sz w:val="18"/>
                <w:szCs w:val="18"/>
              </w:rPr>
              <w:t>BESS Auxiliary Loads. AC Metering on supply points to the BESS Auxiliaries.</w:t>
            </w:r>
          </w:p>
        </w:tc>
      </w:tr>
      <w:tr w:rsidR="00A32D4C" w:rsidRPr="004155F8" w14:paraId="2BC2922B" w14:textId="77777777" w:rsidTr="00EB44AD">
        <w:trPr>
          <w:trHeight w:val="555"/>
        </w:trPr>
        <w:tc>
          <w:tcPr>
            <w:tcW w:w="85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646C637" w14:textId="77777777" w:rsidR="00A32D4C" w:rsidRPr="004155F8" w:rsidRDefault="00A32D4C" w:rsidP="00EB44AD">
            <w:pPr>
              <w:rPr>
                <w:sz w:val="18"/>
                <w:szCs w:val="18"/>
              </w:rPr>
            </w:pPr>
            <w:r w:rsidRPr="004155F8">
              <w:rPr>
                <w:color w:val="000000"/>
                <w:sz w:val="18"/>
                <w:szCs w:val="18"/>
              </w:rPr>
              <w:t>E</w:t>
            </w:r>
          </w:p>
        </w:tc>
        <w:tc>
          <w:tcPr>
            <w:tcW w:w="5671" w:type="dxa"/>
            <w:gridSpan w:val="2"/>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hideMark/>
          </w:tcPr>
          <w:p w14:paraId="542F0AEA" w14:textId="77777777" w:rsidR="00A32D4C" w:rsidRPr="004155F8" w:rsidRDefault="00A32D4C" w:rsidP="004A2340">
            <w:pPr>
              <w:rPr>
                <w:sz w:val="18"/>
                <w:szCs w:val="18"/>
              </w:rPr>
            </w:pPr>
            <w:r w:rsidRPr="004155F8">
              <w:rPr>
                <w:color w:val="000000"/>
                <w:sz w:val="18"/>
                <w:szCs w:val="18"/>
              </w:rPr>
              <w:t>Shared Auxiliary Loads (example, substation/house loads). AC Metering on supply points to the shared Auxiliaries.</w:t>
            </w:r>
          </w:p>
        </w:tc>
      </w:tr>
    </w:tbl>
    <w:p w14:paraId="626E4952" w14:textId="77777777" w:rsidR="00A32D4C" w:rsidRDefault="00A32D4C" w:rsidP="00A32D4C">
      <w:pPr>
        <w:pStyle w:val="SchedH3"/>
        <w:numPr>
          <w:ilvl w:val="0"/>
          <w:numId w:val="0"/>
        </w:numPr>
        <w:ind w:left="737" w:hanging="737"/>
      </w:pPr>
    </w:p>
    <w:p w14:paraId="3BFFB67E" w14:textId="77777777" w:rsidR="00A32D4C" w:rsidRPr="00A32D4C" w:rsidRDefault="00A32D4C" w:rsidP="00A32D4C">
      <w:pPr>
        <w:pStyle w:val="SchedH3"/>
        <w:numPr>
          <w:ilvl w:val="0"/>
          <w:numId w:val="0"/>
        </w:numPr>
        <w:ind w:left="737" w:hanging="737"/>
        <w:sectPr w:rsidR="00A32D4C" w:rsidRPr="00A32D4C" w:rsidSect="00E5595F">
          <w:pgSz w:w="11907" w:h="16840" w:code="9"/>
          <w:pgMar w:top="1134" w:right="1134" w:bottom="1418" w:left="2835" w:header="425" w:footer="567" w:gutter="0"/>
          <w:cols w:space="720"/>
          <w:titlePg/>
          <w:docGrid w:linePitch="313"/>
        </w:sectPr>
      </w:pPr>
    </w:p>
    <w:p w14:paraId="5C08C23C" w14:textId="09C79B22" w:rsidR="00D573DB" w:rsidRDefault="00D573DB" w:rsidP="00467340">
      <w:pPr>
        <w:pStyle w:val="SchedulePageHeading"/>
        <w:numPr>
          <w:ilvl w:val="0"/>
          <w:numId w:val="42"/>
        </w:numPr>
      </w:pPr>
      <w:bookmarkStart w:id="5477" w:name="_Ref108020757"/>
      <w:bookmarkStart w:id="5478" w:name="_Toc207309766"/>
      <w:r>
        <w:t xml:space="preserve">Knowledge </w:t>
      </w:r>
      <w:r w:rsidR="00E85859">
        <w:t>S</w:t>
      </w:r>
      <w:r>
        <w:t xml:space="preserve">haring </w:t>
      </w:r>
      <w:r w:rsidR="00E85859">
        <w:t>P</w:t>
      </w:r>
      <w:r>
        <w:t>lan</w:t>
      </w:r>
      <w:bookmarkEnd w:id="5477"/>
      <w:bookmarkEnd w:id="5478"/>
    </w:p>
    <w:p w14:paraId="5710560E" w14:textId="77777777" w:rsidR="003C5D8E" w:rsidRDefault="003C5D8E" w:rsidP="00EE39BA">
      <w:pPr>
        <w:pStyle w:val="SchedH1"/>
      </w:pPr>
      <w:r>
        <w:t>Knowledge sharing context</w:t>
      </w:r>
    </w:p>
    <w:p w14:paraId="28C24442" w14:textId="77777777" w:rsidR="003C5D8E" w:rsidRPr="00991FDD" w:rsidRDefault="003C5D8E" w:rsidP="00991FDD">
      <w:pPr>
        <w:pStyle w:val="SchedH3"/>
        <w:numPr>
          <w:ilvl w:val="0"/>
          <w:numId w:val="0"/>
        </w:numPr>
        <w:ind w:firstLine="737"/>
      </w:pPr>
      <w:r w:rsidRPr="00991FDD">
        <w:t>The Commonwealth may use the Knowledge Sharing Deliverables for the following purposes:</w:t>
      </w:r>
    </w:p>
    <w:p w14:paraId="3FC16467" w14:textId="77777777" w:rsidR="003C5D8E" w:rsidRDefault="003C5D8E" w:rsidP="00991FDD">
      <w:pPr>
        <w:pStyle w:val="SchedH3"/>
      </w:pPr>
      <w:r>
        <w:t>to perform the Commonwealth</w:t>
      </w:r>
      <w:r w:rsidR="005A2827">
        <w:t>’</w:t>
      </w:r>
      <w:r>
        <w:t xml:space="preserve">s obligations under this agreement; </w:t>
      </w:r>
    </w:p>
    <w:p w14:paraId="7935A7BE" w14:textId="77777777" w:rsidR="003C5D8E" w:rsidRDefault="003C5D8E" w:rsidP="00991FDD">
      <w:pPr>
        <w:pStyle w:val="SchedH3"/>
      </w:pPr>
      <w:r>
        <w:t>to monitor and evaluate the performance of the Commonwealth</w:t>
      </w:r>
      <w:r w:rsidR="005A2827">
        <w:t>’</w:t>
      </w:r>
      <w:r>
        <w:t xml:space="preserve">s Capacity Investment Scheme; </w:t>
      </w:r>
    </w:p>
    <w:p w14:paraId="1A712C8C" w14:textId="77777777" w:rsidR="003C5D8E" w:rsidRDefault="003C5D8E" w:rsidP="00991FDD">
      <w:pPr>
        <w:pStyle w:val="SchedH3"/>
      </w:pPr>
      <w:r>
        <w:t>to accurately inform and engage key stakeholders on the following aspects of electricity storage projects in Australia:</w:t>
      </w:r>
    </w:p>
    <w:p w14:paraId="02C6A88A" w14:textId="77777777" w:rsidR="003C5D8E" w:rsidRDefault="003C5D8E" w:rsidP="00991FDD">
      <w:pPr>
        <w:pStyle w:val="SchedH4"/>
      </w:pPr>
      <w:r>
        <w:t>actual CAPEX and OPEX costs for such projects, including pathways for cost reductions particularly around risk premiums applied by suppliers as they build experience and confidence in these types of projects;</w:t>
      </w:r>
    </w:p>
    <w:p w14:paraId="1A3C7A05" w14:textId="77777777" w:rsidR="003C5D8E" w:rsidRDefault="003C5D8E" w:rsidP="00991FDD">
      <w:pPr>
        <w:pStyle w:val="SchedH4"/>
      </w:pPr>
      <w:r>
        <w:t>challenges and lessons learned about the integration of the various systems and technologies at commercial scale;</w:t>
      </w:r>
    </w:p>
    <w:p w14:paraId="1D21DB07" w14:textId="77777777" w:rsidR="003C5D8E" w:rsidRDefault="003C5D8E" w:rsidP="00991FDD">
      <w:pPr>
        <w:pStyle w:val="SchedH4"/>
      </w:pPr>
      <w:r>
        <w:t>what commercial, regulatory and social barriers the Project encounters, and how they are effectively addressed;</w:t>
      </w:r>
    </w:p>
    <w:p w14:paraId="36DC516B" w14:textId="36062A90" w:rsidR="003C5D8E" w:rsidRDefault="003C5D8E" w:rsidP="00991FDD">
      <w:pPr>
        <w:pStyle w:val="SchedH4"/>
      </w:pPr>
      <w:r>
        <w:t>the capabilities, depth and maturity of the various supply chains required to deliver th</w:t>
      </w:r>
      <w:r w:rsidR="003E619F">
        <w:t>e</w:t>
      </w:r>
      <w:r>
        <w:t xml:space="preserve"> Project;</w:t>
      </w:r>
    </w:p>
    <w:p w14:paraId="3D2C405A" w14:textId="77777777" w:rsidR="003C5D8E" w:rsidRDefault="003C5D8E" w:rsidP="00991FDD">
      <w:pPr>
        <w:pStyle w:val="SchedH4"/>
      </w:pPr>
      <w:r>
        <w:t>how social licence and genuine support for the Project is established and maintained with relevant communities; and</w:t>
      </w:r>
    </w:p>
    <w:p w14:paraId="65AD854D" w14:textId="77777777" w:rsidR="003C5D8E" w:rsidRDefault="003C5D8E" w:rsidP="00991FDD">
      <w:pPr>
        <w:pStyle w:val="SchedH4"/>
      </w:pPr>
      <w:r>
        <w:t>how the actual operation of the completed Project compares to the design forecasts, and how this could be optimised for future projects.</w:t>
      </w:r>
    </w:p>
    <w:p w14:paraId="4CDFB530" w14:textId="77777777" w:rsidR="003C5D8E" w:rsidRDefault="003C5D8E" w:rsidP="003C5D8E">
      <w:pPr>
        <w:rPr>
          <w:spacing w:val="-6"/>
          <w:sz w:val="28"/>
        </w:rPr>
      </w:pPr>
      <w:r>
        <w:br w:type="page"/>
      </w:r>
    </w:p>
    <w:p w14:paraId="3D36C097" w14:textId="77777777" w:rsidR="003C5D8E" w:rsidRDefault="003C5D8E" w:rsidP="00EE39BA">
      <w:pPr>
        <w:pStyle w:val="SchedH1"/>
      </w:pPr>
      <w:r>
        <w:t xml:space="preserve">Knowledge Sharing Deliverables </w:t>
      </w:r>
    </w:p>
    <w:p w14:paraId="73BBD4AC" w14:textId="6DFD347D" w:rsidR="003C5D8E" w:rsidRPr="00DE6A8F" w:rsidRDefault="003C5D8E" w:rsidP="0024371D">
      <w:pPr>
        <w:pStyle w:val="SchedH3"/>
        <w:numPr>
          <w:ilvl w:val="0"/>
          <w:numId w:val="0"/>
        </w:numPr>
        <w:ind w:left="737"/>
      </w:pPr>
      <w:r w:rsidRPr="00DE6A8F">
        <w:t>All deliverables are to be prepared to a standard acceptable to the Commonwealth and, whe</w:t>
      </w:r>
      <w:r w:rsidR="003E619F">
        <w:t>n</w:t>
      </w:r>
      <w:r w:rsidRPr="00DE6A8F">
        <w:t xml:space="preserve"> relevant, </w:t>
      </w:r>
      <w:r w:rsidR="003E619F">
        <w:t xml:space="preserve">to </w:t>
      </w:r>
      <w:r w:rsidRPr="00DE6A8F">
        <w:t>reflect any guidelines provided by the Commonwealth relating to the preparation and delivery of Knowledge Sharing Deliverables.</w:t>
      </w:r>
    </w:p>
    <w:tbl>
      <w:tblPr>
        <w:tblStyle w:val="METable-GreyHeader"/>
        <w:tblW w:w="5000" w:type="pct"/>
        <w:tblLayout w:type="fixed"/>
        <w:tblLook w:val="04A0" w:firstRow="1" w:lastRow="0" w:firstColumn="1" w:lastColumn="0" w:noHBand="0" w:noVBand="1"/>
      </w:tblPr>
      <w:tblGrid>
        <w:gridCol w:w="601"/>
        <w:gridCol w:w="1561"/>
        <w:gridCol w:w="2426"/>
        <w:gridCol w:w="2426"/>
        <w:gridCol w:w="2426"/>
        <w:gridCol w:w="2426"/>
        <w:gridCol w:w="2423"/>
      </w:tblGrid>
      <w:tr w:rsidR="00860C64" w:rsidRPr="00022745" w14:paraId="6D52F947" w14:textId="77777777" w:rsidTr="00EB44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 w:type="pct"/>
            <w:tcBorders>
              <w:bottom w:val="single" w:sz="4" w:space="0" w:color="auto"/>
            </w:tcBorders>
          </w:tcPr>
          <w:p w14:paraId="07DAD16F" w14:textId="77777777" w:rsidR="003C5D8E" w:rsidRPr="00022745" w:rsidRDefault="003C5D8E" w:rsidP="00EB44AD">
            <w:pPr>
              <w:rPr>
                <w:bCs/>
                <w:sz w:val="20"/>
              </w:rPr>
            </w:pPr>
            <w:r w:rsidRPr="00022745">
              <w:rPr>
                <w:bCs/>
                <w:sz w:val="20"/>
              </w:rPr>
              <w:t>No.</w:t>
            </w:r>
          </w:p>
        </w:tc>
        <w:tc>
          <w:tcPr>
            <w:tcW w:w="546" w:type="pct"/>
            <w:tcBorders>
              <w:bottom w:val="single" w:sz="4" w:space="0" w:color="auto"/>
            </w:tcBorders>
          </w:tcPr>
          <w:p w14:paraId="70A1480B" w14:textId="0FAD37F6" w:rsidR="003C5D8E" w:rsidRPr="00022745" w:rsidRDefault="003C5D8E" w:rsidP="00EB44AD">
            <w:pPr>
              <w:pStyle w:val="TableColumnHeading"/>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022745">
              <w:rPr>
                <w:rFonts w:ascii="Arial" w:hAnsi="Arial" w:cs="Arial"/>
                <w:bCs/>
                <w:sz w:val="20"/>
                <w:szCs w:val="20"/>
              </w:rPr>
              <w:t>Knowledge Sharing</w:t>
            </w:r>
            <w:r w:rsidR="0022514D" w:rsidRPr="00022745">
              <w:rPr>
                <w:rFonts w:ascii="Arial" w:hAnsi="Arial" w:cs="Arial"/>
                <w:bCs/>
                <w:sz w:val="20"/>
                <w:szCs w:val="20"/>
              </w:rPr>
              <w:t xml:space="preserve"> </w:t>
            </w:r>
            <w:r w:rsidRPr="00022745">
              <w:rPr>
                <w:rFonts w:ascii="Arial" w:hAnsi="Arial" w:cs="Arial"/>
                <w:bCs/>
                <w:sz w:val="20"/>
                <w:szCs w:val="20"/>
              </w:rPr>
              <w:t>Deliverable</w:t>
            </w:r>
          </w:p>
        </w:tc>
        <w:tc>
          <w:tcPr>
            <w:tcW w:w="849" w:type="pct"/>
            <w:tcBorders>
              <w:bottom w:val="single" w:sz="4" w:space="0" w:color="auto"/>
            </w:tcBorders>
          </w:tcPr>
          <w:p w14:paraId="7655BB17" w14:textId="77777777" w:rsidR="003C5D8E" w:rsidRPr="00022745" w:rsidRDefault="003C5D8E" w:rsidP="00EB44AD">
            <w:pPr>
              <w:pStyle w:val="TableColumnHeading"/>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022745">
              <w:rPr>
                <w:rFonts w:ascii="Arial" w:hAnsi="Arial" w:cs="Arial"/>
                <w:bCs/>
                <w:sz w:val="20"/>
                <w:szCs w:val="20"/>
              </w:rPr>
              <w:t>Purpose</w:t>
            </w:r>
          </w:p>
        </w:tc>
        <w:tc>
          <w:tcPr>
            <w:tcW w:w="849" w:type="pct"/>
            <w:tcBorders>
              <w:bottom w:val="single" w:sz="4" w:space="0" w:color="auto"/>
            </w:tcBorders>
          </w:tcPr>
          <w:p w14:paraId="51F74D2D" w14:textId="77777777" w:rsidR="003C5D8E" w:rsidRPr="00022745" w:rsidRDefault="003C5D8E" w:rsidP="00EB44AD">
            <w:pPr>
              <w:pStyle w:val="TableColumnHeading"/>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022745">
              <w:rPr>
                <w:rFonts w:ascii="Arial" w:hAnsi="Arial" w:cs="Arial"/>
                <w:bCs/>
                <w:sz w:val="20"/>
                <w:szCs w:val="20"/>
              </w:rPr>
              <w:t>Frequency</w:t>
            </w:r>
          </w:p>
        </w:tc>
        <w:tc>
          <w:tcPr>
            <w:tcW w:w="849" w:type="pct"/>
            <w:tcBorders>
              <w:bottom w:val="single" w:sz="4" w:space="0" w:color="auto"/>
            </w:tcBorders>
          </w:tcPr>
          <w:p w14:paraId="17589FE0" w14:textId="77777777" w:rsidR="003C5D8E" w:rsidRPr="00022745" w:rsidRDefault="003C5D8E" w:rsidP="00EB44AD">
            <w:pPr>
              <w:pStyle w:val="TableColumnHeading"/>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022745">
              <w:rPr>
                <w:rFonts w:ascii="Arial" w:hAnsi="Arial" w:cs="Arial"/>
                <w:bCs/>
                <w:sz w:val="20"/>
                <w:szCs w:val="20"/>
              </w:rPr>
              <w:t>When?</w:t>
            </w:r>
          </w:p>
        </w:tc>
        <w:tc>
          <w:tcPr>
            <w:tcW w:w="849" w:type="pct"/>
            <w:tcBorders>
              <w:bottom w:val="single" w:sz="4" w:space="0" w:color="auto"/>
            </w:tcBorders>
          </w:tcPr>
          <w:p w14:paraId="3DFA16C3" w14:textId="77777777" w:rsidR="003C5D8E" w:rsidRPr="00022745" w:rsidRDefault="003C5D8E" w:rsidP="00EB44AD">
            <w:pPr>
              <w:pStyle w:val="TableColumnHeading"/>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022745">
              <w:rPr>
                <w:rFonts w:ascii="Arial" w:hAnsi="Arial" w:cs="Arial"/>
                <w:bCs/>
                <w:sz w:val="20"/>
                <w:szCs w:val="20"/>
              </w:rPr>
              <w:t>Public information or confidential information</w:t>
            </w:r>
          </w:p>
        </w:tc>
        <w:tc>
          <w:tcPr>
            <w:tcW w:w="848" w:type="pct"/>
            <w:tcBorders>
              <w:bottom w:val="single" w:sz="4" w:space="0" w:color="auto"/>
            </w:tcBorders>
          </w:tcPr>
          <w:p w14:paraId="3E480E22" w14:textId="77777777" w:rsidR="003C5D8E" w:rsidRPr="00022745" w:rsidRDefault="003C5D8E" w:rsidP="00EB44AD">
            <w:pPr>
              <w:pStyle w:val="TableColumnHeading"/>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022745">
              <w:rPr>
                <w:rFonts w:ascii="Arial" w:hAnsi="Arial" w:cs="Arial"/>
                <w:bCs/>
                <w:sz w:val="20"/>
                <w:szCs w:val="20"/>
              </w:rPr>
              <w:t xml:space="preserve">Content and delivery </w:t>
            </w:r>
          </w:p>
        </w:tc>
      </w:tr>
      <w:tr w:rsidR="00B87B5E" w:rsidRPr="00022745" w14:paraId="39217934" w14:textId="77777777" w:rsidTr="00ED6B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tcBorders>
          </w:tcPr>
          <w:p w14:paraId="522B1A36" w14:textId="7BD6F337" w:rsidR="0047498B" w:rsidRPr="00022745" w:rsidRDefault="0047498B" w:rsidP="0047498B">
            <w:pPr>
              <w:rPr>
                <w:bCs/>
              </w:rPr>
            </w:pPr>
            <w:r w:rsidRPr="00022745">
              <w:rPr>
                <w:bCs/>
              </w:rPr>
              <w:t>1</w:t>
            </w:r>
          </w:p>
        </w:tc>
        <w:tc>
          <w:tcPr>
            <w:tcW w:w="0" w:type="pct"/>
            <w:tcBorders>
              <w:top w:val="single" w:sz="4" w:space="0" w:color="auto"/>
            </w:tcBorders>
          </w:tcPr>
          <w:p w14:paraId="5A99590A" w14:textId="003D76E0" w:rsidR="0047498B" w:rsidRPr="00022745"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22745">
              <w:rPr>
                <w:rFonts w:cs="Arial"/>
                <w:szCs w:val="18"/>
              </w:rPr>
              <w:t>Annual Survey</w:t>
            </w:r>
          </w:p>
        </w:tc>
        <w:tc>
          <w:tcPr>
            <w:tcW w:w="0" w:type="pct"/>
            <w:tcBorders>
              <w:top w:val="single" w:sz="4" w:space="0" w:color="auto"/>
            </w:tcBorders>
          </w:tcPr>
          <w:p w14:paraId="51062672" w14:textId="7EB01459" w:rsidR="0047498B" w:rsidRPr="00022745"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22745">
              <w:rPr>
                <w:rFonts w:cs="Arial"/>
                <w:szCs w:val="18"/>
              </w:rPr>
              <w:t>Efficient qualitative and quantitative data gathering.</w:t>
            </w:r>
            <w:r w:rsidR="006C77F3" w:rsidRPr="00022745">
              <w:rPr>
                <w:rFonts w:cs="Arial"/>
                <w:szCs w:val="18"/>
              </w:rPr>
              <w:t xml:space="preserve"> </w:t>
            </w:r>
            <w:r w:rsidRPr="00022745">
              <w:rPr>
                <w:rFonts w:cs="Arial"/>
                <w:szCs w:val="18"/>
              </w:rPr>
              <w:t>The Commonwealth may use this information in anonymised portfolio analysis and reporting.</w:t>
            </w:r>
          </w:p>
          <w:p w14:paraId="73FDD0A8" w14:textId="77777777" w:rsidR="0047498B" w:rsidRPr="00022745"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22745">
              <w:rPr>
                <w:rFonts w:cs="Arial"/>
                <w:szCs w:val="18"/>
              </w:rPr>
              <w:t>Share key lessons from the Project, and implications for industry. This should focus in particular on the Project’s experiences during the planning, construction, commissioning and operations phases.</w:t>
            </w:r>
          </w:p>
          <w:p w14:paraId="47F9C327" w14:textId="28C49E25" w:rsidR="0047498B" w:rsidRPr="00022745"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22745">
              <w:rPr>
                <w:rFonts w:cs="Arial"/>
                <w:szCs w:val="18"/>
              </w:rPr>
              <w:t>Project Operator to provide a set of clearly defined and consistent data metrics, over time, to allow the performance of the Project to be analysed against forecasts and compared to other relevant projects.</w:t>
            </w:r>
          </w:p>
        </w:tc>
        <w:tc>
          <w:tcPr>
            <w:tcW w:w="0" w:type="pct"/>
            <w:tcBorders>
              <w:top w:val="single" w:sz="4" w:space="0" w:color="auto"/>
            </w:tcBorders>
          </w:tcPr>
          <w:p w14:paraId="53C085EF" w14:textId="7F9BA2C3" w:rsidR="0047498B" w:rsidRPr="00022745"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b/>
                <w:bCs/>
                <w:i/>
                <w:iCs/>
                <w:szCs w:val="18"/>
              </w:rPr>
            </w:pPr>
            <w:r w:rsidRPr="00022745">
              <w:rPr>
                <w:rFonts w:cs="Arial"/>
                <w:szCs w:val="18"/>
              </w:rPr>
              <w:t>Annually</w:t>
            </w:r>
            <w:r w:rsidR="00FE3A5F">
              <w:rPr>
                <w:rFonts w:cs="Arial"/>
                <w:szCs w:val="18"/>
              </w:rPr>
              <w:t>.</w:t>
            </w:r>
          </w:p>
        </w:tc>
        <w:tc>
          <w:tcPr>
            <w:tcW w:w="0" w:type="pct"/>
            <w:tcBorders>
              <w:top w:val="single" w:sz="4" w:space="0" w:color="auto"/>
            </w:tcBorders>
          </w:tcPr>
          <w:p w14:paraId="1BDF08B4" w14:textId="25D37FEB" w:rsidR="0047498B" w:rsidRPr="00022745"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22745">
              <w:rPr>
                <w:rFonts w:cs="Arial"/>
                <w:szCs w:val="18"/>
              </w:rPr>
              <w:t xml:space="preserve">Undertaken during the first </w:t>
            </w:r>
            <w:r w:rsidR="00B32DA3">
              <w:rPr>
                <w:rFonts w:cs="Arial"/>
                <w:szCs w:val="18"/>
              </w:rPr>
              <w:t>q</w:t>
            </w:r>
            <w:r w:rsidRPr="00022745">
              <w:rPr>
                <w:rFonts w:cs="Arial"/>
                <w:szCs w:val="18"/>
              </w:rPr>
              <w:t>uarter commencing on 1 July in each year of the Term</w:t>
            </w:r>
            <w:r w:rsidR="00FE3A5F">
              <w:rPr>
                <w:rFonts w:cs="Arial"/>
                <w:szCs w:val="18"/>
              </w:rPr>
              <w:t>.</w:t>
            </w:r>
          </w:p>
        </w:tc>
        <w:tc>
          <w:tcPr>
            <w:tcW w:w="0" w:type="pct"/>
            <w:tcBorders>
              <w:top w:val="single" w:sz="4" w:space="0" w:color="auto"/>
            </w:tcBorders>
          </w:tcPr>
          <w:p w14:paraId="565DA3ED" w14:textId="7C5AC2F7" w:rsidR="0047498B" w:rsidRPr="00022745"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22745">
              <w:rPr>
                <w:rFonts w:cs="Arial"/>
                <w:szCs w:val="18"/>
              </w:rPr>
              <w:t>Confidential</w:t>
            </w:r>
            <w:r w:rsidR="00FE3A5F">
              <w:rPr>
                <w:rFonts w:cs="Arial"/>
                <w:szCs w:val="18"/>
              </w:rPr>
              <w:t xml:space="preserve"> (other than as aggregated and anonymised).</w:t>
            </w:r>
          </w:p>
        </w:tc>
        <w:tc>
          <w:tcPr>
            <w:tcW w:w="0" w:type="pct"/>
            <w:tcBorders>
              <w:top w:val="single" w:sz="4" w:space="0" w:color="auto"/>
            </w:tcBorders>
          </w:tcPr>
          <w:p w14:paraId="6166A053" w14:textId="16B0726A" w:rsidR="0047498B" w:rsidRPr="00022745"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22745">
              <w:rPr>
                <w:rFonts w:cs="Arial"/>
                <w:szCs w:val="18"/>
              </w:rPr>
              <w:t>Commonwealth to provide</w:t>
            </w:r>
            <w:r w:rsidR="003E3F57">
              <w:rPr>
                <w:rFonts w:cs="Arial"/>
                <w:szCs w:val="18"/>
              </w:rPr>
              <w:t xml:space="preserve"> a</w:t>
            </w:r>
            <w:r w:rsidRPr="00022745">
              <w:rPr>
                <w:rFonts w:cs="Arial"/>
                <w:szCs w:val="18"/>
              </w:rPr>
              <w:t xml:space="preserve"> survey template which Project Operator must complete</w:t>
            </w:r>
            <w:r w:rsidR="00FE3A5F">
              <w:rPr>
                <w:rFonts w:cs="Arial"/>
                <w:szCs w:val="18"/>
              </w:rPr>
              <w:t>.</w:t>
            </w:r>
          </w:p>
        </w:tc>
      </w:tr>
      <w:tr w:rsidR="0047498B" w:rsidRPr="00022745" w14:paraId="111361C8" w14:textId="77777777" w:rsidTr="00ED6B6A">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tcBorders>
          </w:tcPr>
          <w:p w14:paraId="23320B36" w14:textId="36E5ED36" w:rsidR="0047498B" w:rsidRPr="00022745" w:rsidRDefault="0047498B" w:rsidP="0047498B">
            <w:pPr>
              <w:rPr>
                <w:b w:val="0"/>
                <w:bCs/>
                <w:sz w:val="20"/>
              </w:rPr>
            </w:pPr>
            <w:r w:rsidRPr="00022745">
              <w:rPr>
                <w:bCs/>
              </w:rPr>
              <w:t>2</w:t>
            </w:r>
          </w:p>
        </w:tc>
        <w:tc>
          <w:tcPr>
            <w:tcW w:w="0" w:type="pct"/>
            <w:tcBorders>
              <w:top w:val="single" w:sz="4" w:space="0" w:color="auto"/>
            </w:tcBorders>
          </w:tcPr>
          <w:p w14:paraId="51E4D82E" w14:textId="3930A0B8" w:rsidR="0047498B" w:rsidRPr="00022745"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022745">
              <w:rPr>
                <w:rFonts w:cs="Arial"/>
                <w:szCs w:val="18"/>
              </w:rPr>
              <w:t>Site Visit</w:t>
            </w:r>
          </w:p>
        </w:tc>
        <w:tc>
          <w:tcPr>
            <w:tcW w:w="0" w:type="pct"/>
            <w:tcBorders>
              <w:top w:val="single" w:sz="4" w:space="0" w:color="auto"/>
            </w:tcBorders>
          </w:tcPr>
          <w:p w14:paraId="53463414" w14:textId="7BF01BFA" w:rsidR="0047498B" w:rsidRPr="00022745"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022745">
              <w:rPr>
                <w:rFonts w:cs="Arial"/>
                <w:szCs w:val="18"/>
              </w:rPr>
              <w:t>On ground experience and demonstration of facility.</w:t>
            </w:r>
          </w:p>
        </w:tc>
        <w:tc>
          <w:tcPr>
            <w:tcW w:w="0" w:type="pct"/>
            <w:tcBorders>
              <w:top w:val="single" w:sz="4" w:space="0" w:color="auto"/>
            </w:tcBorders>
          </w:tcPr>
          <w:p w14:paraId="4748B52A" w14:textId="780812F1" w:rsidR="0047498B" w:rsidRPr="00022745"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b/>
                <w:bCs/>
                <w:i/>
                <w:iCs/>
                <w:szCs w:val="18"/>
              </w:rPr>
            </w:pPr>
            <w:r w:rsidRPr="00022745">
              <w:rPr>
                <w:rFonts w:cs="Arial"/>
                <w:szCs w:val="18"/>
              </w:rPr>
              <w:t xml:space="preserve">Every </w:t>
            </w:r>
            <w:r w:rsidR="003E3F57">
              <w:rPr>
                <w:rFonts w:cs="Arial"/>
                <w:szCs w:val="18"/>
              </w:rPr>
              <w:t>three (</w:t>
            </w:r>
            <w:r w:rsidRPr="00022745">
              <w:rPr>
                <w:rFonts w:cs="Arial"/>
                <w:szCs w:val="18"/>
              </w:rPr>
              <w:t>3</w:t>
            </w:r>
            <w:r w:rsidR="003E3F57">
              <w:rPr>
                <w:rFonts w:cs="Arial"/>
                <w:szCs w:val="18"/>
              </w:rPr>
              <w:t>)</w:t>
            </w:r>
            <w:r w:rsidRPr="00022745">
              <w:rPr>
                <w:rFonts w:cs="Arial"/>
                <w:szCs w:val="18"/>
              </w:rPr>
              <w:t xml:space="preserve"> years</w:t>
            </w:r>
            <w:r w:rsidR="00FE3A5F">
              <w:rPr>
                <w:rFonts w:cs="Arial"/>
                <w:szCs w:val="18"/>
              </w:rPr>
              <w:t>.</w:t>
            </w:r>
          </w:p>
        </w:tc>
        <w:tc>
          <w:tcPr>
            <w:tcW w:w="0" w:type="pct"/>
            <w:tcBorders>
              <w:top w:val="single" w:sz="4" w:space="0" w:color="auto"/>
            </w:tcBorders>
          </w:tcPr>
          <w:p w14:paraId="4B5AD430" w14:textId="3DDF326A" w:rsidR="0047498B" w:rsidRPr="00022745"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022745">
              <w:rPr>
                <w:rFonts w:cs="Arial"/>
                <w:szCs w:val="18"/>
              </w:rPr>
              <w:t xml:space="preserve">Once in each </w:t>
            </w:r>
            <w:r w:rsidR="003E3F57">
              <w:rPr>
                <w:rFonts w:cs="Arial"/>
                <w:szCs w:val="18"/>
              </w:rPr>
              <w:t>three (</w:t>
            </w:r>
            <w:r w:rsidRPr="00022745">
              <w:rPr>
                <w:rFonts w:cs="Arial"/>
                <w:szCs w:val="18"/>
              </w:rPr>
              <w:t>3</w:t>
            </w:r>
            <w:r w:rsidR="003E3F57">
              <w:rPr>
                <w:rFonts w:cs="Arial"/>
                <w:szCs w:val="18"/>
              </w:rPr>
              <w:t>)</w:t>
            </w:r>
            <w:r w:rsidRPr="00022745">
              <w:rPr>
                <w:rFonts w:cs="Arial"/>
                <w:szCs w:val="18"/>
              </w:rPr>
              <w:t xml:space="preserve"> year period commencing at COD until </w:t>
            </w:r>
            <w:r w:rsidR="00FE3A5F">
              <w:rPr>
                <w:rFonts w:cs="Arial"/>
                <w:szCs w:val="18"/>
              </w:rPr>
              <w:t xml:space="preserve">either </w:t>
            </w:r>
            <w:r w:rsidRPr="00022745">
              <w:rPr>
                <w:rFonts w:cs="Arial"/>
                <w:szCs w:val="18"/>
              </w:rPr>
              <w:t xml:space="preserve">the end of the Operations Period </w:t>
            </w:r>
            <w:r w:rsidR="0024371D">
              <w:rPr>
                <w:rFonts w:cs="Arial"/>
                <w:szCs w:val="18"/>
              </w:rPr>
              <w:t>or</w:t>
            </w:r>
            <w:r w:rsidR="0024371D" w:rsidRPr="00022745">
              <w:rPr>
                <w:rFonts w:cs="Arial"/>
                <w:szCs w:val="18"/>
              </w:rPr>
              <w:t xml:space="preserve"> </w:t>
            </w:r>
            <w:r w:rsidRPr="00022745">
              <w:rPr>
                <w:rFonts w:cs="Arial"/>
                <w:szCs w:val="18"/>
              </w:rPr>
              <w:t>on the Final Support End Date.</w:t>
            </w:r>
          </w:p>
        </w:tc>
        <w:tc>
          <w:tcPr>
            <w:tcW w:w="0" w:type="pct"/>
            <w:tcBorders>
              <w:top w:val="single" w:sz="4" w:space="0" w:color="auto"/>
            </w:tcBorders>
          </w:tcPr>
          <w:p w14:paraId="768B1DA9" w14:textId="369DD065" w:rsidR="0047498B" w:rsidRPr="00022745"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022745">
              <w:rPr>
                <w:rFonts w:cs="Arial"/>
                <w:szCs w:val="18"/>
              </w:rPr>
              <w:t>Public</w:t>
            </w:r>
            <w:r w:rsidR="00FE3A5F">
              <w:rPr>
                <w:rFonts w:cs="Arial"/>
                <w:szCs w:val="18"/>
              </w:rPr>
              <w:t>.</w:t>
            </w:r>
          </w:p>
        </w:tc>
        <w:tc>
          <w:tcPr>
            <w:tcW w:w="0" w:type="pct"/>
            <w:tcBorders>
              <w:top w:val="single" w:sz="4" w:space="0" w:color="auto"/>
            </w:tcBorders>
          </w:tcPr>
          <w:p w14:paraId="51FDCFA2" w14:textId="352AA31D" w:rsidR="0047498B" w:rsidRPr="00022745"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022745">
              <w:rPr>
                <w:rFonts w:cs="Arial"/>
                <w:szCs w:val="18"/>
              </w:rPr>
              <w:t>In person tour of the facility.</w:t>
            </w:r>
          </w:p>
        </w:tc>
      </w:tr>
      <w:tr w:rsidR="00293D49" w:rsidRPr="00022745" w14:paraId="68DDD102" w14:textId="77777777" w:rsidTr="00ED6B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2F9AE6A9" w14:textId="2DC9FB2C" w:rsidR="0047498B" w:rsidRPr="00022745" w:rsidRDefault="0047498B" w:rsidP="0047498B">
            <w:pPr>
              <w:rPr>
                <w:b w:val="0"/>
                <w:bCs/>
                <w:sz w:val="20"/>
              </w:rPr>
            </w:pPr>
            <w:r w:rsidRPr="00022745">
              <w:rPr>
                <w:bCs/>
              </w:rPr>
              <w:t>3</w:t>
            </w:r>
          </w:p>
        </w:tc>
        <w:tc>
          <w:tcPr>
            <w:tcW w:w="0" w:type="pct"/>
          </w:tcPr>
          <w:p w14:paraId="648FB34A" w14:textId="5B9B3C85" w:rsidR="0047498B" w:rsidRPr="00022745"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22745">
              <w:rPr>
                <w:rFonts w:cs="Arial"/>
                <w:szCs w:val="18"/>
              </w:rPr>
              <w:t>Technology and Market Report</w:t>
            </w:r>
          </w:p>
        </w:tc>
        <w:tc>
          <w:tcPr>
            <w:tcW w:w="0" w:type="pct"/>
          </w:tcPr>
          <w:p w14:paraId="6D6DA35D" w14:textId="77777777" w:rsidR="0047498B" w:rsidRPr="00022745"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22745">
              <w:rPr>
                <w:rFonts w:cs="Arial"/>
                <w:szCs w:val="18"/>
              </w:rPr>
              <w:t xml:space="preserve">To document and disseminate the plans for the Project and the market context within which it has been developed. This should provide a valuable and credible confirmation of the current state of play for key stakeholders. </w:t>
            </w:r>
          </w:p>
          <w:p w14:paraId="77DE0C2D" w14:textId="07A298EA" w:rsidR="0047498B" w:rsidRPr="00022745"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22745">
              <w:rPr>
                <w:rFonts w:cs="Arial"/>
                <w:szCs w:val="18"/>
              </w:rPr>
              <w:t>The Commonwealth will notify Project Operator of the key questions to be answered in each report at least six months prior to the due date of the report.</w:t>
            </w:r>
          </w:p>
        </w:tc>
        <w:tc>
          <w:tcPr>
            <w:tcW w:w="0" w:type="pct"/>
          </w:tcPr>
          <w:p w14:paraId="1C860293" w14:textId="6AED6028" w:rsidR="0047498B" w:rsidRPr="00022745"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22745">
              <w:rPr>
                <w:rFonts w:cs="Arial"/>
                <w:szCs w:val="18"/>
              </w:rPr>
              <w:t>At the time requested by the Commonwealth provided however the Commonwealth may only issue two such requests and those requests may only be made during the Operations Period.</w:t>
            </w:r>
          </w:p>
        </w:tc>
        <w:tc>
          <w:tcPr>
            <w:tcW w:w="0" w:type="pct"/>
          </w:tcPr>
          <w:p w14:paraId="5C1D8E5A" w14:textId="5F507BE5" w:rsidR="0047498B" w:rsidRPr="00022745"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22745">
              <w:rPr>
                <w:rFonts w:cs="Arial"/>
                <w:szCs w:val="18"/>
              </w:rPr>
              <w:t xml:space="preserve">Commonwealth to give minimum </w:t>
            </w:r>
            <w:r w:rsidR="003E3F57">
              <w:rPr>
                <w:rFonts w:cs="Arial"/>
                <w:szCs w:val="18"/>
              </w:rPr>
              <w:t>six</w:t>
            </w:r>
            <w:r w:rsidRPr="00022745">
              <w:rPr>
                <w:rFonts w:cs="Arial"/>
                <w:szCs w:val="18"/>
              </w:rPr>
              <w:t>-months’ notice to provide report</w:t>
            </w:r>
            <w:r w:rsidR="00FE3A5F">
              <w:rPr>
                <w:rFonts w:cs="Arial"/>
                <w:szCs w:val="18"/>
              </w:rPr>
              <w:t>.</w:t>
            </w:r>
          </w:p>
        </w:tc>
        <w:tc>
          <w:tcPr>
            <w:tcW w:w="0" w:type="pct"/>
          </w:tcPr>
          <w:p w14:paraId="74EB0170" w14:textId="16378D27" w:rsidR="0047498B" w:rsidRPr="00022745" w:rsidRDefault="0047498B" w:rsidP="0047498B">
            <w:pPr>
              <w:spacing w:after="0" w:line="256" w:lineRule="auto"/>
              <w:ind w:left="2"/>
              <w:cnfStyle w:val="000000100000" w:firstRow="0" w:lastRow="0" w:firstColumn="0" w:lastColumn="0" w:oddVBand="0" w:evenVBand="0" w:oddHBand="1" w:evenHBand="0" w:firstRowFirstColumn="0" w:firstRowLastColumn="0" w:lastRowFirstColumn="0" w:lastRowLastColumn="0"/>
              <w:rPr>
                <w:szCs w:val="18"/>
              </w:rPr>
            </w:pPr>
            <w:r w:rsidRPr="00022745">
              <w:rPr>
                <w:szCs w:val="18"/>
              </w:rPr>
              <w:t xml:space="preserve">Public </w:t>
            </w:r>
          </w:p>
        </w:tc>
        <w:tc>
          <w:tcPr>
            <w:tcW w:w="0" w:type="pct"/>
          </w:tcPr>
          <w:p w14:paraId="6C2EDC3E" w14:textId="77777777" w:rsidR="0047498B" w:rsidRPr="00022745"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22745">
              <w:rPr>
                <w:rFonts w:cs="Arial"/>
                <w:szCs w:val="18"/>
              </w:rPr>
              <w:t>Written report which comprehensively responds to each of the key questions provided by the Commonwealth and such report must be prepared in accordance with Good Industry Practice.</w:t>
            </w:r>
          </w:p>
          <w:p w14:paraId="76A3115B" w14:textId="653AEABC" w:rsidR="0047498B" w:rsidRPr="00022745"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022745">
              <w:rPr>
                <w:rFonts w:cs="Arial"/>
                <w:szCs w:val="18"/>
              </w:rPr>
              <w:t>Confidential information to be included in an addendum to the report</w:t>
            </w:r>
            <w:r w:rsidR="00FE3A5F">
              <w:rPr>
                <w:rFonts w:cs="Arial"/>
                <w:szCs w:val="18"/>
              </w:rPr>
              <w:t>.</w:t>
            </w:r>
          </w:p>
        </w:tc>
      </w:tr>
      <w:tr w:rsidR="0047498B" w:rsidRPr="00022745" w14:paraId="52DFC4D5" w14:textId="77777777" w:rsidTr="00EB44AD">
        <w:tc>
          <w:tcPr>
            <w:cnfStyle w:val="001000000000" w:firstRow="0" w:lastRow="0" w:firstColumn="1" w:lastColumn="0" w:oddVBand="0" w:evenVBand="0" w:oddHBand="0" w:evenHBand="0" w:firstRowFirstColumn="0" w:firstRowLastColumn="0" w:lastRowFirstColumn="0" w:lastRowLastColumn="0"/>
            <w:tcW w:w="210" w:type="pct"/>
          </w:tcPr>
          <w:p w14:paraId="20A82ACC" w14:textId="38B5968F" w:rsidR="0047498B" w:rsidRPr="00022745" w:rsidRDefault="0047498B" w:rsidP="0047498B">
            <w:pPr>
              <w:rPr>
                <w:b w:val="0"/>
                <w:bCs/>
                <w:sz w:val="20"/>
              </w:rPr>
            </w:pPr>
            <w:r w:rsidRPr="00022745">
              <w:rPr>
                <w:bCs/>
              </w:rPr>
              <w:t>4</w:t>
            </w:r>
          </w:p>
        </w:tc>
        <w:tc>
          <w:tcPr>
            <w:tcW w:w="546" w:type="pct"/>
          </w:tcPr>
          <w:p w14:paraId="6E7E8B41" w14:textId="38F0A788" w:rsidR="0047498B" w:rsidRPr="00022745"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022745">
              <w:rPr>
                <w:rFonts w:cs="Arial"/>
                <w:szCs w:val="18"/>
              </w:rPr>
              <w:t>Support Mechanism Reflection</w:t>
            </w:r>
          </w:p>
        </w:tc>
        <w:tc>
          <w:tcPr>
            <w:tcW w:w="849" w:type="pct"/>
          </w:tcPr>
          <w:p w14:paraId="07B130D5" w14:textId="2DADEBCA" w:rsidR="0047498B" w:rsidRPr="00022745"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022745">
              <w:rPr>
                <w:rFonts w:cs="Arial"/>
                <w:szCs w:val="18"/>
              </w:rPr>
              <w:t xml:space="preserve">Report outlining how the support mechanism has or has not helped the Project to </w:t>
            </w:r>
            <w:r w:rsidR="00FE3A5F">
              <w:rPr>
                <w:rFonts w:cs="Arial"/>
                <w:szCs w:val="18"/>
              </w:rPr>
              <w:t>inform</w:t>
            </w:r>
            <w:r w:rsidR="00FE3A5F" w:rsidRPr="00022745">
              <w:rPr>
                <w:rFonts w:cs="Arial"/>
                <w:szCs w:val="18"/>
              </w:rPr>
              <w:t xml:space="preserve"> </w:t>
            </w:r>
            <w:r w:rsidRPr="00022745">
              <w:rPr>
                <w:rFonts w:cs="Arial"/>
                <w:szCs w:val="18"/>
              </w:rPr>
              <w:t>future market design</w:t>
            </w:r>
            <w:r w:rsidR="00FE3A5F">
              <w:rPr>
                <w:rFonts w:cs="Arial"/>
                <w:szCs w:val="18"/>
              </w:rPr>
              <w:t>.</w:t>
            </w:r>
          </w:p>
        </w:tc>
        <w:tc>
          <w:tcPr>
            <w:tcW w:w="849" w:type="pct"/>
          </w:tcPr>
          <w:p w14:paraId="33AB045E" w14:textId="5B0C9461" w:rsidR="0047498B" w:rsidRPr="00022745"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022745">
              <w:rPr>
                <w:rFonts w:cs="Arial"/>
                <w:szCs w:val="18"/>
              </w:rPr>
              <w:t>At the time requested by the Commonwealth provided however the Commonwealth may only issue two such requests and those requests may only be made during the Operations Period.</w:t>
            </w:r>
          </w:p>
        </w:tc>
        <w:tc>
          <w:tcPr>
            <w:tcW w:w="849" w:type="pct"/>
          </w:tcPr>
          <w:p w14:paraId="42D34B56" w14:textId="6AD3D049" w:rsidR="0047498B" w:rsidRPr="00022745"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022745">
              <w:rPr>
                <w:rFonts w:cs="Arial"/>
                <w:szCs w:val="18"/>
              </w:rPr>
              <w:t>Commonwealth to give minimum 6</w:t>
            </w:r>
            <w:r w:rsidR="00047FC0" w:rsidRPr="00022745">
              <w:rPr>
                <w:rFonts w:cs="Arial"/>
                <w:szCs w:val="18"/>
              </w:rPr>
              <w:t xml:space="preserve"> </w:t>
            </w:r>
            <w:r w:rsidRPr="00022745">
              <w:rPr>
                <w:rFonts w:cs="Arial"/>
                <w:szCs w:val="18"/>
              </w:rPr>
              <w:t>months’ notice to provide report</w:t>
            </w:r>
            <w:r w:rsidR="00FE3A5F">
              <w:rPr>
                <w:rFonts w:cs="Arial"/>
                <w:szCs w:val="18"/>
              </w:rPr>
              <w:t>.</w:t>
            </w:r>
          </w:p>
        </w:tc>
        <w:tc>
          <w:tcPr>
            <w:tcW w:w="849" w:type="pct"/>
          </w:tcPr>
          <w:p w14:paraId="3EFDFD21" w14:textId="2F26FDD0" w:rsidR="0047498B" w:rsidRPr="00022745"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022745">
              <w:rPr>
                <w:rFonts w:cs="Arial"/>
                <w:szCs w:val="18"/>
              </w:rPr>
              <w:t xml:space="preserve">Confidential information provided however that the Commonwealth may publish such information and commentary on that information </w:t>
            </w:r>
            <w:r w:rsidR="00FE3A5F">
              <w:rPr>
                <w:rFonts w:cs="Arial"/>
                <w:szCs w:val="18"/>
              </w:rPr>
              <w:t>when</w:t>
            </w:r>
            <w:r w:rsidR="00FE3A5F" w:rsidRPr="00022745">
              <w:rPr>
                <w:rFonts w:cs="Arial"/>
                <w:szCs w:val="18"/>
              </w:rPr>
              <w:t xml:space="preserve"> </w:t>
            </w:r>
            <w:r w:rsidRPr="00022745">
              <w:rPr>
                <w:rFonts w:cs="Arial"/>
                <w:szCs w:val="18"/>
              </w:rPr>
              <w:t>it is anonymised or deidentified</w:t>
            </w:r>
            <w:r w:rsidR="00FE3A5F">
              <w:rPr>
                <w:rFonts w:cs="Arial"/>
                <w:szCs w:val="18"/>
              </w:rPr>
              <w:t>.</w:t>
            </w:r>
          </w:p>
        </w:tc>
        <w:tc>
          <w:tcPr>
            <w:tcW w:w="848" w:type="pct"/>
          </w:tcPr>
          <w:p w14:paraId="5C1197EB" w14:textId="05E3E9C3" w:rsidR="0047498B" w:rsidRPr="00022745" w:rsidRDefault="0047498B" w:rsidP="0047498B">
            <w:pPr>
              <w:spacing w:before="60" w:after="60"/>
              <w:cnfStyle w:val="000000000000" w:firstRow="0" w:lastRow="0" w:firstColumn="0" w:lastColumn="0" w:oddVBand="0" w:evenVBand="0" w:oddHBand="0" w:evenHBand="0" w:firstRowFirstColumn="0" w:firstRowLastColumn="0" w:lastRowFirstColumn="0" w:lastRowLastColumn="0"/>
              <w:rPr>
                <w:szCs w:val="18"/>
              </w:rPr>
            </w:pPr>
            <w:r w:rsidRPr="00022745">
              <w:rPr>
                <w:szCs w:val="18"/>
              </w:rPr>
              <w:t xml:space="preserve">Written report which comprehensively outlines how this </w:t>
            </w:r>
            <w:r w:rsidR="00FE3A5F">
              <w:rPr>
                <w:szCs w:val="18"/>
              </w:rPr>
              <w:t>a</w:t>
            </w:r>
            <w:r w:rsidRPr="00022745">
              <w:rPr>
                <w:szCs w:val="18"/>
              </w:rPr>
              <w:t>greement has or has not helped the Project, prepared in accordance with Good Industry Practice.</w:t>
            </w:r>
          </w:p>
          <w:p w14:paraId="30E4C17E" w14:textId="15F5782A" w:rsidR="0047498B" w:rsidRPr="00022745"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022745">
              <w:rPr>
                <w:rFonts w:cs="Arial"/>
                <w:szCs w:val="18"/>
              </w:rPr>
              <w:t>Confidential information to be included in an addendum to the report</w:t>
            </w:r>
            <w:r w:rsidR="00FE3A5F">
              <w:rPr>
                <w:rFonts w:cs="Arial"/>
                <w:szCs w:val="18"/>
              </w:rPr>
              <w:t>.</w:t>
            </w:r>
          </w:p>
        </w:tc>
      </w:tr>
      <w:tr w:rsidR="00293D49" w:rsidRPr="00C233E1" w14:paraId="4DE6D68C" w14:textId="77777777" w:rsidTr="00EB44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 w:type="pct"/>
          </w:tcPr>
          <w:p w14:paraId="47F133FB" w14:textId="77777777" w:rsidR="0047498B" w:rsidRPr="00022745" w:rsidRDefault="0047498B" w:rsidP="0047498B">
            <w:pPr>
              <w:rPr>
                <w:b w:val="0"/>
                <w:bCs/>
                <w:sz w:val="20"/>
              </w:rPr>
            </w:pPr>
            <w:bookmarkStart w:id="5479" w:name="_Ref151049521"/>
            <w:r w:rsidRPr="00022745">
              <w:rPr>
                <w:bCs/>
              </w:rPr>
              <w:t>5</w:t>
            </w:r>
          </w:p>
        </w:tc>
        <w:bookmarkEnd w:id="5479"/>
        <w:tc>
          <w:tcPr>
            <w:tcW w:w="546" w:type="pct"/>
          </w:tcPr>
          <w:p w14:paraId="0B640D89" w14:textId="77777777" w:rsidR="0047498B" w:rsidRPr="00022745"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849" w:type="pct"/>
          </w:tcPr>
          <w:p w14:paraId="18680315" w14:textId="77777777" w:rsidR="0047498B" w:rsidRPr="00022745"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849" w:type="pct"/>
          </w:tcPr>
          <w:p w14:paraId="694B0CF3" w14:textId="77777777" w:rsidR="0047498B" w:rsidRPr="00022745"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849" w:type="pct"/>
          </w:tcPr>
          <w:p w14:paraId="7F3CBBB0" w14:textId="77777777" w:rsidR="0047498B" w:rsidRPr="00022745"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849" w:type="pct"/>
          </w:tcPr>
          <w:p w14:paraId="57F940FA" w14:textId="77777777" w:rsidR="0047498B" w:rsidRPr="00022745"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848" w:type="pct"/>
          </w:tcPr>
          <w:p w14:paraId="103EA258" w14:textId="77777777" w:rsidR="0047498B" w:rsidRPr="00022745" w:rsidRDefault="0047498B" w:rsidP="0047498B">
            <w:pPr>
              <w:spacing w:before="60" w:after="60"/>
              <w:cnfStyle w:val="000000100000" w:firstRow="0" w:lastRow="0" w:firstColumn="0" w:lastColumn="0" w:oddVBand="0" w:evenVBand="0" w:oddHBand="1" w:evenHBand="0" w:firstRowFirstColumn="0" w:firstRowLastColumn="0" w:lastRowFirstColumn="0" w:lastRowLastColumn="0"/>
              <w:rPr>
                <w:szCs w:val="18"/>
              </w:rPr>
            </w:pPr>
          </w:p>
        </w:tc>
      </w:tr>
      <w:tr w:rsidR="0047498B" w:rsidRPr="00F50BB8" w14:paraId="2ECB6FCD" w14:textId="77777777" w:rsidTr="00EB44AD">
        <w:tc>
          <w:tcPr>
            <w:cnfStyle w:val="001000000000" w:firstRow="0" w:lastRow="0" w:firstColumn="1" w:lastColumn="0" w:oddVBand="0" w:evenVBand="0" w:oddHBand="0" w:evenHBand="0" w:firstRowFirstColumn="0" w:firstRowLastColumn="0" w:lastRowFirstColumn="0" w:lastRowLastColumn="0"/>
            <w:tcW w:w="210" w:type="pct"/>
          </w:tcPr>
          <w:p w14:paraId="2BC184C3" w14:textId="77777777" w:rsidR="0047498B" w:rsidRPr="00F50BB8" w:rsidRDefault="0047498B" w:rsidP="0047498B">
            <w:pPr>
              <w:rPr>
                <w:b w:val="0"/>
                <w:bCs/>
                <w:sz w:val="20"/>
              </w:rPr>
            </w:pPr>
            <w:bookmarkStart w:id="5480" w:name="_Ref151049523"/>
            <w:r w:rsidRPr="00F50BB8">
              <w:rPr>
                <w:bCs/>
              </w:rPr>
              <w:t>6</w:t>
            </w:r>
          </w:p>
        </w:tc>
        <w:bookmarkEnd w:id="5480"/>
        <w:tc>
          <w:tcPr>
            <w:tcW w:w="546" w:type="pct"/>
          </w:tcPr>
          <w:p w14:paraId="3A0F06C1" w14:textId="77777777" w:rsidR="0047498B" w:rsidRPr="00F50BB8"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849" w:type="pct"/>
          </w:tcPr>
          <w:p w14:paraId="6D82F2C0" w14:textId="77777777" w:rsidR="0047498B" w:rsidRPr="00F50BB8"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849" w:type="pct"/>
          </w:tcPr>
          <w:p w14:paraId="53A7AB61" w14:textId="77777777" w:rsidR="0047498B" w:rsidRPr="00F50BB8"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849" w:type="pct"/>
          </w:tcPr>
          <w:p w14:paraId="62669D59" w14:textId="77777777" w:rsidR="0047498B" w:rsidRPr="00F50BB8"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849" w:type="pct"/>
          </w:tcPr>
          <w:p w14:paraId="15AF5BDE" w14:textId="77777777" w:rsidR="0047498B" w:rsidRPr="00F50BB8"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848" w:type="pct"/>
          </w:tcPr>
          <w:p w14:paraId="036402C8" w14:textId="77777777" w:rsidR="0047498B" w:rsidRPr="00F50BB8"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r>
    </w:tbl>
    <w:p w14:paraId="6BE70C4E" w14:textId="77777777" w:rsidR="009B6FD2" w:rsidRDefault="009B6FD2" w:rsidP="009B6FD2">
      <w:pPr>
        <w:pStyle w:val="Indent2"/>
        <w:ind w:left="0"/>
      </w:pPr>
    </w:p>
    <w:p w14:paraId="19CFF9F5" w14:textId="77777777" w:rsidR="00D573DB" w:rsidRPr="00573B34" w:rsidRDefault="00D573DB" w:rsidP="00D573DB">
      <w:pPr>
        <w:pStyle w:val="SchedH2"/>
        <w:numPr>
          <w:ilvl w:val="0"/>
          <w:numId w:val="0"/>
        </w:numPr>
        <w:ind w:left="737" w:hanging="737"/>
      </w:pPr>
    </w:p>
    <w:p w14:paraId="5AB4FBF3" w14:textId="77777777" w:rsidR="00D573DB" w:rsidRDefault="00D573DB" w:rsidP="00A80D25">
      <w:pPr>
        <w:pStyle w:val="Indent2"/>
        <w:ind w:left="0"/>
        <w:sectPr w:rsidR="00D573DB" w:rsidSect="00E5595F">
          <w:headerReference w:type="even" r:id="rId50"/>
          <w:headerReference w:type="default" r:id="rId51"/>
          <w:footerReference w:type="even" r:id="rId52"/>
          <w:footerReference w:type="default" r:id="rId53"/>
          <w:headerReference w:type="first" r:id="rId54"/>
          <w:footerReference w:type="first" r:id="rId55"/>
          <w:pgSz w:w="16840" w:h="11907" w:orient="landscape" w:code="9"/>
          <w:pgMar w:top="1135" w:right="1134" w:bottom="1134" w:left="1417" w:header="425" w:footer="567" w:gutter="0"/>
          <w:cols w:space="720"/>
          <w:titlePg/>
          <w:docGrid w:linePitch="313"/>
        </w:sectPr>
      </w:pPr>
    </w:p>
    <w:p w14:paraId="6C329236" w14:textId="77777777" w:rsidR="00D573DB" w:rsidRDefault="00D573DB" w:rsidP="00467340">
      <w:pPr>
        <w:pStyle w:val="SchedulePageHeading"/>
        <w:numPr>
          <w:ilvl w:val="0"/>
          <w:numId w:val="42"/>
        </w:numPr>
      </w:pPr>
      <w:bookmarkStart w:id="5481" w:name="_Toc94798415"/>
      <w:bookmarkStart w:id="5482" w:name="_Toc94872341"/>
      <w:bookmarkStart w:id="5483" w:name="_Toc94885640"/>
      <w:bookmarkStart w:id="5484" w:name="_Toc94886075"/>
      <w:bookmarkStart w:id="5485" w:name="_Toc94886520"/>
      <w:bookmarkStart w:id="5486" w:name="_Toc99723655"/>
      <w:bookmarkStart w:id="5487" w:name="Execution"/>
      <w:bookmarkStart w:id="5488" w:name="_Ref108089453"/>
      <w:bookmarkStart w:id="5489" w:name="_Ref108089454"/>
      <w:bookmarkStart w:id="5490" w:name="_Ref167362069"/>
      <w:bookmarkStart w:id="5491" w:name="_Toc207309767"/>
      <w:bookmarkEnd w:id="5481"/>
      <w:bookmarkEnd w:id="5482"/>
      <w:bookmarkEnd w:id="5483"/>
      <w:bookmarkEnd w:id="5484"/>
      <w:bookmarkEnd w:id="5485"/>
      <w:bookmarkEnd w:id="5486"/>
      <w:bookmarkEnd w:id="5487"/>
      <w:r>
        <w:t xml:space="preserve">Fixed Termination </w:t>
      </w:r>
      <w:r w:rsidR="00983A30" w:rsidRPr="00983A30">
        <w:t>Amount and Early Termination</w:t>
      </w:r>
      <w:r w:rsidR="00983A30">
        <w:t xml:space="preserve"> </w:t>
      </w:r>
      <w:r>
        <w:t>Amount</w:t>
      </w:r>
      <w:bookmarkStart w:id="5492" w:name="_Toc492504908"/>
      <w:bookmarkStart w:id="5493" w:name="_Toc515359165"/>
      <w:bookmarkStart w:id="5494" w:name="_Toc527410062"/>
      <w:bookmarkEnd w:id="5488"/>
      <w:bookmarkEnd w:id="5489"/>
      <w:bookmarkEnd w:id="5490"/>
      <w:bookmarkEnd w:id="5491"/>
    </w:p>
    <w:p w14:paraId="6B2001E6" w14:textId="77777777" w:rsidR="008013C8" w:rsidRPr="00792B2E" w:rsidRDefault="008013C8" w:rsidP="008013C8">
      <w:pPr>
        <w:pStyle w:val="ScheduleL4"/>
        <w:keepNext/>
        <w:numPr>
          <w:ilvl w:val="0"/>
          <w:numId w:val="0"/>
        </w:numPr>
        <w:spacing w:before="240"/>
        <w:ind w:left="680" w:hanging="680"/>
        <w:rPr>
          <w:rFonts w:cs="Arial"/>
          <w:b/>
          <w:bCs/>
          <w:szCs w:val="20"/>
        </w:rPr>
      </w:pPr>
      <w:r w:rsidRPr="00792B2E">
        <w:rPr>
          <w:rFonts w:cs="Arial"/>
          <w:b/>
          <w:bCs/>
          <w:szCs w:val="20"/>
        </w:rPr>
        <w:t>Fixed Termination Amount</w:t>
      </w:r>
    </w:p>
    <w:p w14:paraId="45F5BE21" w14:textId="77777777" w:rsidR="00AC30DE" w:rsidRPr="00792B2E" w:rsidRDefault="00AC30DE" w:rsidP="00673498">
      <w:pPr>
        <w:pStyle w:val="ScheduleL4"/>
        <w:numPr>
          <w:ilvl w:val="0"/>
          <w:numId w:val="0"/>
        </w:numPr>
        <w:spacing w:before="240"/>
        <w:rPr>
          <w:rFonts w:cs="Arial"/>
          <w:szCs w:val="20"/>
        </w:rPr>
      </w:pPr>
      <w:r w:rsidRPr="00792B2E">
        <w:rPr>
          <w:rFonts w:cs="Arial"/>
          <w:szCs w:val="20"/>
        </w:rPr>
        <w:t>The Fixed Termination Amount will be calculated as follows:</w:t>
      </w:r>
    </w:p>
    <w:p w14:paraId="7F8BCF47" w14:textId="7DF593C1" w:rsidR="00AC30DE" w:rsidRPr="00D315FD" w:rsidRDefault="00AC30DE" w:rsidP="00D315FD">
      <w:pPr>
        <w:spacing w:before="240"/>
        <w:jc w:val="center"/>
        <w:rPr>
          <w:b/>
          <w:bCs/>
          <w:i/>
          <w:iCs/>
          <w:sz w:val="22"/>
          <w:szCs w:val="22"/>
        </w:rPr>
      </w:pPr>
      <w:r w:rsidRPr="00D315FD">
        <w:rPr>
          <w:b/>
          <w:bCs/>
          <w:i/>
          <w:iCs/>
          <w:sz w:val="22"/>
          <w:szCs w:val="22"/>
        </w:rPr>
        <w:t xml:space="preserve">FTA = A – C – E – F + G </w:t>
      </w:r>
      <w:r w:rsidR="00890567" w:rsidRPr="00D315FD">
        <w:rPr>
          <w:b/>
          <w:bCs/>
          <w:i/>
          <w:iCs/>
          <w:sz w:val="22"/>
          <w:szCs w:val="22"/>
        </w:rPr>
        <w:t>+ H</w:t>
      </w:r>
    </w:p>
    <w:p w14:paraId="319BC816" w14:textId="7E0FB501" w:rsidR="00AC30DE" w:rsidRPr="00792B2E" w:rsidRDefault="00BE1BD6" w:rsidP="00AC30DE">
      <w:pPr>
        <w:spacing w:before="240"/>
      </w:pPr>
      <w:r>
        <w:t>w</w:t>
      </w:r>
      <w:r w:rsidR="00AC30DE" w:rsidRPr="00792B2E">
        <w:t>here:</w:t>
      </w:r>
    </w:p>
    <w:p w14:paraId="4057C00B" w14:textId="295DC20B" w:rsidR="00AC30DE" w:rsidRPr="00792B2E" w:rsidRDefault="00AC30DE" w:rsidP="004A2340">
      <w:pPr>
        <w:spacing w:before="240"/>
        <w:ind w:left="567" w:hanging="567"/>
      </w:pPr>
      <w:r w:rsidRPr="00D315FD">
        <w:rPr>
          <w:b/>
          <w:bCs/>
        </w:rPr>
        <w:t>FTA</w:t>
      </w:r>
      <w:r w:rsidRPr="00792B2E">
        <w:t xml:space="preserve"> = the Fixed Termination </w:t>
      </w:r>
      <w:r w:rsidR="003E619F">
        <w:t>Amount</w:t>
      </w:r>
    </w:p>
    <w:p w14:paraId="016F4DDA" w14:textId="138B7F1C" w:rsidR="00AC30DE" w:rsidRPr="00792B2E" w:rsidRDefault="00AC30DE" w:rsidP="004A2340">
      <w:pPr>
        <w:spacing w:before="240"/>
        <w:ind w:left="567" w:hanging="567"/>
      </w:pPr>
      <w:r w:rsidRPr="00D315FD">
        <w:rPr>
          <w:b/>
          <w:bCs/>
        </w:rPr>
        <w:t>A</w:t>
      </w:r>
      <w:r w:rsidRPr="00792B2E">
        <w:t xml:space="preserve"> =</w:t>
      </w:r>
      <w:r w:rsidR="004A2340">
        <w:tab/>
      </w:r>
      <w:r w:rsidRPr="00792B2E">
        <w:t xml:space="preserve">the aggregate of the Annual Payment Cap for each of the remaining </w:t>
      </w:r>
      <w:r w:rsidR="00B51FCA">
        <w:t>Support</w:t>
      </w:r>
      <w:r w:rsidR="00B51FCA" w:rsidRPr="00792B2E" w:rsidDel="00B51FCA">
        <w:t xml:space="preserve"> </w:t>
      </w:r>
      <w:r w:rsidRPr="00792B2E">
        <w:t xml:space="preserve">Years over the remainder of the </w:t>
      </w:r>
      <w:r w:rsidR="00FD35AE">
        <w:t>Support Period</w:t>
      </w:r>
      <w:r w:rsidR="00FD35AE" w:rsidRPr="00792B2E">
        <w:t xml:space="preserve"> </w:t>
      </w:r>
      <w:r w:rsidRPr="00792B2E">
        <w:t>provided that</w:t>
      </w:r>
      <w:r w:rsidR="00054A3A">
        <w:t>,</w:t>
      </w:r>
      <w:r w:rsidRPr="00792B2E">
        <w:t xml:space="preserve"> for the basis of determining that aggregate amount, this </w:t>
      </w:r>
      <w:r w:rsidR="006750E1" w:rsidRPr="00792B2E">
        <w:t xml:space="preserve">agreement </w:t>
      </w:r>
      <w:r w:rsidRPr="00792B2E">
        <w:t xml:space="preserve">must be read on the assumption that it has not been terminated; </w:t>
      </w:r>
    </w:p>
    <w:p w14:paraId="260A4E3B" w14:textId="77777777" w:rsidR="00AC30DE" w:rsidRPr="00792B2E" w:rsidRDefault="00AC30DE" w:rsidP="004A2340">
      <w:pPr>
        <w:spacing w:before="240"/>
        <w:ind w:left="567" w:hanging="567"/>
      </w:pPr>
      <w:r w:rsidRPr="00D315FD">
        <w:rPr>
          <w:b/>
          <w:bCs/>
        </w:rPr>
        <w:t>C</w:t>
      </w:r>
      <w:r w:rsidRPr="00792B2E">
        <w:t xml:space="preserve"> =</w:t>
      </w:r>
      <w:r w:rsidR="004A2340">
        <w:tab/>
      </w:r>
      <w:r w:rsidRPr="00792B2E">
        <w:t xml:space="preserve">any Liability of </w:t>
      </w:r>
      <w:r w:rsidR="002542FC">
        <w:t>Project</w:t>
      </w:r>
      <w:r w:rsidR="002542FC" w:rsidRPr="00792B2E">
        <w:t xml:space="preserve"> </w:t>
      </w:r>
      <w:r w:rsidRPr="00792B2E">
        <w:t xml:space="preserve">Operator to the Commonwealth under this </w:t>
      </w:r>
      <w:r w:rsidR="006750E1" w:rsidRPr="00792B2E">
        <w:t xml:space="preserve">agreement </w:t>
      </w:r>
      <w:r w:rsidRPr="00792B2E">
        <w:t xml:space="preserve">as at the date on which </w:t>
      </w:r>
      <w:r w:rsidR="006750E1">
        <w:t>this agreement</w:t>
      </w:r>
      <w:r w:rsidRPr="00792B2E">
        <w:t xml:space="preserve"> is terminated; </w:t>
      </w:r>
    </w:p>
    <w:p w14:paraId="74680373" w14:textId="0CE9EE86" w:rsidR="00AC30DE" w:rsidRPr="00792B2E" w:rsidRDefault="00AC30DE" w:rsidP="004A2340">
      <w:pPr>
        <w:spacing w:before="240"/>
        <w:ind w:left="567" w:hanging="567"/>
      </w:pPr>
      <w:r w:rsidRPr="00D315FD">
        <w:rPr>
          <w:b/>
          <w:bCs/>
        </w:rPr>
        <w:t>E</w:t>
      </w:r>
      <w:r w:rsidRPr="00792B2E">
        <w:t xml:space="preserve"> =</w:t>
      </w:r>
      <w:r w:rsidR="004A2340">
        <w:tab/>
      </w:r>
      <w:r w:rsidRPr="00792B2E">
        <w:t xml:space="preserve">any gains </w:t>
      </w:r>
      <w:r w:rsidR="003E619F">
        <w:t>that</w:t>
      </w:r>
      <w:r w:rsidR="003E619F" w:rsidRPr="00792B2E">
        <w:t xml:space="preserve"> </w:t>
      </w:r>
      <w:r w:rsidRPr="00792B2E">
        <w:t xml:space="preserve">have accrued, or will accrue, to </w:t>
      </w:r>
      <w:r w:rsidR="005F06AE">
        <w:t>Project</w:t>
      </w:r>
      <w:r w:rsidRPr="00792B2E">
        <w:t xml:space="preserve"> Operator as a result of terminating any finance or hedge agreement </w:t>
      </w:r>
      <w:r w:rsidR="00A6236B" w:rsidRPr="00792B2E">
        <w:t xml:space="preserve">related to the Project </w:t>
      </w:r>
      <w:r w:rsidRPr="00792B2E">
        <w:t>including as a result of terminating, reversing or closing out any derivative position (in part or full) or arising from the prepayment of any debt or interest;</w:t>
      </w:r>
    </w:p>
    <w:p w14:paraId="55594C33" w14:textId="69982186" w:rsidR="00AC30DE" w:rsidRPr="00792B2E" w:rsidRDefault="00AC30DE" w:rsidP="004A2340">
      <w:pPr>
        <w:spacing w:before="240"/>
        <w:ind w:left="567" w:hanging="567"/>
      </w:pPr>
      <w:r w:rsidRPr="00D315FD">
        <w:rPr>
          <w:b/>
          <w:bCs/>
        </w:rPr>
        <w:t>F</w:t>
      </w:r>
      <w:r w:rsidRPr="00792B2E">
        <w:t xml:space="preserve"> =</w:t>
      </w:r>
      <w:r w:rsidR="004A2340">
        <w:tab/>
      </w:r>
      <w:r w:rsidRPr="00792B2E">
        <w:t xml:space="preserve">the aggregate of any insurance proceeds related to loss of revenue or profit or to business interruption (howsoever named) received or receivable (or </w:t>
      </w:r>
      <w:r w:rsidR="003E619F">
        <w:t>that</w:t>
      </w:r>
      <w:r w:rsidR="003E619F" w:rsidRPr="00792B2E">
        <w:t xml:space="preserve"> </w:t>
      </w:r>
      <w:r w:rsidRPr="00792B2E">
        <w:t xml:space="preserve">should have been received) by </w:t>
      </w:r>
      <w:r w:rsidR="002542FC">
        <w:t>Project</w:t>
      </w:r>
      <w:r w:rsidR="002542FC" w:rsidRPr="00792B2E">
        <w:t xml:space="preserve"> </w:t>
      </w:r>
      <w:r w:rsidRPr="00792B2E">
        <w:t>Operator or any of its Related Bod</w:t>
      </w:r>
      <w:r w:rsidR="0044549E">
        <w:t>ies</w:t>
      </w:r>
      <w:r w:rsidRPr="00792B2E">
        <w:t xml:space="preserve"> Corporate regarding the Project (other than those insurance proceeds required to be applied to repair or reinstate the </w:t>
      </w:r>
      <w:r w:rsidR="0044549E">
        <w:t>Project</w:t>
      </w:r>
      <w:r w:rsidR="0044549E" w:rsidRPr="00792B2E">
        <w:t xml:space="preserve"> </w:t>
      </w:r>
      <w:r w:rsidRPr="00792B2E">
        <w:t>or to indemnify a third party);</w:t>
      </w:r>
    </w:p>
    <w:p w14:paraId="5DCD14AC" w14:textId="0C4AEF0B" w:rsidR="00AC30DE" w:rsidRDefault="00AC30DE" w:rsidP="004A2340">
      <w:pPr>
        <w:spacing w:before="240"/>
        <w:ind w:left="567" w:hanging="567"/>
      </w:pPr>
      <w:r w:rsidRPr="00D315FD">
        <w:rPr>
          <w:b/>
          <w:bCs/>
        </w:rPr>
        <w:t>G</w:t>
      </w:r>
      <w:r w:rsidRPr="00792B2E">
        <w:t xml:space="preserve"> =</w:t>
      </w:r>
      <w:r w:rsidR="004A2340">
        <w:tab/>
      </w:r>
      <w:r w:rsidRPr="00792B2E">
        <w:t xml:space="preserve">any Liability of the Commonwealth under </w:t>
      </w:r>
      <w:r w:rsidR="006750E1">
        <w:t>this agreement</w:t>
      </w:r>
      <w:r w:rsidRPr="00792B2E">
        <w:t xml:space="preserve"> as at the date on which </w:t>
      </w:r>
      <w:r w:rsidR="006750E1">
        <w:t>this agreement</w:t>
      </w:r>
      <w:r w:rsidRPr="00792B2E">
        <w:t xml:space="preserve"> is terminated (other than the Liability of the Commonwealth to </w:t>
      </w:r>
      <w:r w:rsidR="002542FC">
        <w:t>Project</w:t>
      </w:r>
      <w:r w:rsidR="002542FC" w:rsidRPr="00792B2E">
        <w:t xml:space="preserve"> </w:t>
      </w:r>
      <w:r w:rsidRPr="00792B2E">
        <w:t xml:space="preserve">Operator regarding this Fixed Termination </w:t>
      </w:r>
      <w:r w:rsidR="003E619F">
        <w:t>Amount</w:t>
      </w:r>
      <w:r w:rsidR="00890567">
        <w:t>; and</w:t>
      </w:r>
    </w:p>
    <w:p w14:paraId="5616C044" w14:textId="77777777" w:rsidR="00890567" w:rsidRPr="004E4BC4" w:rsidRDefault="00890567" w:rsidP="00D315FD">
      <w:pPr>
        <w:spacing w:before="240"/>
        <w:ind w:left="567" w:hanging="567"/>
      </w:pPr>
      <w:r w:rsidRPr="00890567">
        <w:rPr>
          <w:b/>
          <w:bCs/>
        </w:rPr>
        <w:t>H</w:t>
      </w:r>
      <w:r w:rsidRPr="008129EB">
        <w:t xml:space="preserve">  </w:t>
      </w:r>
      <w:r>
        <w:t>=</w:t>
      </w:r>
      <w:r w:rsidRPr="008129EB">
        <w:tab/>
      </w:r>
      <w:r>
        <w:t>any</w:t>
      </w:r>
      <w:r w:rsidRPr="008129EB">
        <w:t xml:space="preserve"> losses that have accrued, or will accrue, to Project Operator as a direct result of terminating any finance or hedge agreement related to the Project, including as a result of terminating, reversing or closing out any derivative position (in part or full) or arising from the prepayment of any debt or interest.</w:t>
      </w:r>
    </w:p>
    <w:p w14:paraId="3679791C" w14:textId="77777777" w:rsidR="00890567" w:rsidRPr="004E4BC4" w:rsidRDefault="00890567" w:rsidP="004A2340">
      <w:pPr>
        <w:spacing w:before="240"/>
        <w:ind w:left="567" w:hanging="567"/>
      </w:pPr>
    </w:p>
    <w:p w14:paraId="1F9EE3A7" w14:textId="77777777" w:rsidR="00AC30DE" w:rsidRPr="004E4BC4" w:rsidRDefault="00AC30DE"/>
    <w:p w14:paraId="2D9036FD" w14:textId="77777777" w:rsidR="008013C8" w:rsidRPr="00792B2E" w:rsidRDefault="008013C8" w:rsidP="008013C8">
      <w:pPr>
        <w:pStyle w:val="ScheduleL4"/>
        <w:keepNext/>
        <w:numPr>
          <w:ilvl w:val="0"/>
          <w:numId w:val="0"/>
        </w:numPr>
        <w:spacing w:before="240"/>
        <w:ind w:left="680" w:hanging="680"/>
        <w:rPr>
          <w:rFonts w:cs="Arial"/>
          <w:b/>
          <w:bCs/>
          <w:szCs w:val="20"/>
        </w:rPr>
      </w:pPr>
      <w:r w:rsidRPr="00792B2E">
        <w:rPr>
          <w:rFonts w:cs="Arial"/>
          <w:b/>
          <w:bCs/>
          <w:szCs w:val="20"/>
        </w:rPr>
        <w:t>Early Termination Amount</w:t>
      </w:r>
    </w:p>
    <w:p w14:paraId="109A6007" w14:textId="77777777" w:rsidR="007D1597" w:rsidRDefault="007D1597" w:rsidP="00AF3C9D">
      <w:pPr>
        <w:pStyle w:val="Indent2"/>
        <w:ind w:left="0"/>
      </w:pPr>
      <w:r>
        <w:t>The Early Termination Amount is calculated as follows in the periods identified:</w:t>
      </w:r>
    </w:p>
    <w:p w14:paraId="0D62B766" w14:textId="77777777" w:rsidR="007D1597" w:rsidRDefault="007D1597" w:rsidP="00AF3C9D">
      <w:pPr>
        <w:pStyle w:val="Indent2"/>
        <w:ind w:left="0"/>
      </w:pPr>
      <w:r>
        <w:t>For the period from and including the Signing Date to the period immediately prior to the COD, the Early Termination Amount is $[</w:t>
      </w:r>
      <w:r w:rsidRPr="00C8195A">
        <w:rPr>
          <w:highlight w:val="yellow"/>
        </w:rPr>
        <w:t>insert</w:t>
      </w:r>
      <w:r>
        <w:t>].</w:t>
      </w:r>
    </w:p>
    <w:p w14:paraId="1F228924" w14:textId="114576BB" w:rsidR="007D1597" w:rsidRPr="00AF3C9D" w:rsidRDefault="007D1597" w:rsidP="00AF3C9D">
      <w:pPr>
        <w:pStyle w:val="Indent2"/>
        <w:ind w:left="0"/>
        <w:rPr>
          <w:b/>
          <w:bCs/>
          <w:i/>
          <w:iCs/>
        </w:rPr>
      </w:pPr>
      <w:r w:rsidRPr="00AF3C9D">
        <w:rPr>
          <w:b/>
          <w:bCs/>
          <w:i/>
          <w:iCs/>
        </w:rPr>
        <w:t>[</w:t>
      </w:r>
      <w:r w:rsidRPr="00AF3C9D">
        <w:rPr>
          <w:b/>
          <w:bCs/>
          <w:i/>
          <w:iCs/>
          <w:highlight w:val="lightGray"/>
        </w:rPr>
        <w:t xml:space="preserve">Note: for the purpose of determining the amount payable as an Early Termination Amount for termination by the Commonwealth prior to the COD for Project Operator default, the Commonwealth has calculated a genuine pre-estimate of its loss at greater than $4,000,000. However, in recognition of the fact that Projects will have a different </w:t>
      </w:r>
      <w:r w:rsidR="004A0277">
        <w:rPr>
          <w:b/>
          <w:bCs/>
          <w:i/>
          <w:iCs/>
          <w:highlight w:val="lightGray"/>
        </w:rPr>
        <w:t>Export</w:t>
      </w:r>
      <w:r w:rsidR="004A0277" w:rsidRPr="00AF3C9D">
        <w:rPr>
          <w:b/>
          <w:bCs/>
          <w:i/>
          <w:iCs/>
          <w:highlight w:val="lightGray"/>
        </w:rPr>
        <w:t xml:space="preserve"> </w:t>
      </w:r>
      <w:r w:rsidRPr="00AF3C9D">
        <w:rPr>
          <w:b/>
          <w:bCs/>
          <w:i/>
          <w:iCs/>
          <w:highlight w:val="lightGray"/>
        </w:rPr>
        <w:t xml:space="preserve">Capacity, the Commonwealth is willing to set the Early Termination Amount, for termination for default prior to COD, to which the Commonwealth is entitled under this </w:t>
      </w:r>
      <w:r w:rsidR="003140DB">
        <w:rPr>
          <w:b/>
          <w:bCs/>
          <w:i/>
          <w:iCs/>
          <w:highlight w:val="lightGray"/>
        </w:rPr>
        <w:t>Schedule 5</w:t>
      </w:r>
      <w:r w:rsidR="003140DB" w:rsidRPr="00AF3C9D">
        <w:rPr>
          <w:b/>
          <w:bCs/>
          <w:i/>
          <w:iCs/>
          <w:highlight w:val="lightGray"/>
        </w:rPr>
        <w:t xml:space="preserve"> </w:t>
      </w:r>
      <w:r w:rsidRPr="00AF3C9D">
        <w:rPr>
          <w:b/>
          <w:bCs/>
          <w:i/>
          <w:iCs/>
          <w:highlight w:val="lightGray"/>
        </w:rPr>
        <w:t xml:space="preserve">at a lower amount for value for money reasons. The amount will be calculated using the following formula: $20,000 per MW multiplied by the </w:t>
      </w:r>
      <w:r w:rsidR="004A0277">
        <w:rPr>
          <w:b/>
          <w:bCs/>
          <w:i/>
          <w:iCs/>
          <w:highlight w:val="lightGray"/>
        </w:rPr>
        <w:t>Export</w:t>
      </w:r>
      <w:r w:rsidR="004A0277" w:rsidRPr="00AF3C9D">
        <w:rPr>
          <w:b/>
          <w:bCs/>
          <w:i/>
          <w:iCs/>
          <w:highlight w:val="lightGray"/>
        </w:rPr>
        <w:t xml:space="preserve"> </w:t>
      </w:r>
      <w:r w:rsidRPr="00AF3C9D">
        <w:rPr>
          <w:b/>
          <w:bCs/>
          <w:i/>
          <w:iCs/>
          <w:highlight w:val="lightGray"/>
        </w:rPr>
        <w:t>Capacity</w:t>
      </w:r>
      <w:r w:rsidR="0024371D">
        <w:rPr>
          <w:b/>
          <w:bCs/>
          <w:i/>
          <w:iCs/>
          <w:highlight w:val="lightGray"/>
        </w:rPr>
        <w:t xml:space="preserve"> of the Project in MW</w:t>
      </w:r>
      <w:r w:rsidRPr="00AF3C9D">
        <w:rPr>
          <w:b/>
          <w:bCs/>
          <w:i/>
          <w:iCs/>
          <w:highlight w:val="lightGray"/>
        </w:rPr>
        <w:t xml:space="preserve">, up to a maximum amount of $4,000,000. The Proponent is required to provide that amount here as part of its Bid </w:t>
      </w:r>
      <w:r w:rsidR="003E6114">
        <w:rPr>
          <w:b/>
          <w:bCs/>
          <w:i/>
          <w:iCs/>
          <w:highlight w:val="lightGray"/>
        </w:rPr>
        <w:t>in</w:t>
      </w:r>
      <w:r w:rsidRPr="00AF3C9D">
        <w:rPr>
          <w:b/>
          <w:bCs/>
          <w:i/>
          <w:iCs/>
          <w:highlight w:val="lightGray"/>
        </w:rPr>
        <w:t xml:space="preserve"> the Tender Process.</w:t>
      </w:r>
      <w:r w:rsidRPr="00AF3C9D">
        <w:rPr>
          <w:b/>
          <w:bCs/>
          <w:i/>
          <w:iCs/>
        </w:rPr>
        <w:t>]</w:t>
      </w:r>
    </w:p>
    <w:p w14:paraId="0AF3EFB1" w14:textId="763631DE" w:rsidR="008013C8" w:rsidRPr="00792B2E" w:rsidRDefault="007D1597" w:rsidP="007D1597">
      <w:pPr>
        <w:pStyle w:val="ScheduleL4"/>
        <w:numPr>
          <w:ilvl w:val="0"/>
          <w:numId w:val="0"/>
        </w:numPr>
        <w:spacing w:before="240"/>
        <w:rPr>
          <w:rFonts w:cs="Arial"/>
          <w:szCs w:val="20"/>
        </w:rPr>
      </w:pPr>
      <w:r>
        <w:rPr>
          <w:rFonts w:cs="Arial"/>
          <w:szCs w:val="20"/>
        </w:rPr>
        <w:t>For the period from and including the COD to the end of the Term, t</w:t>
      </w:r>
      <w:r w:rsidR="008013C8" w:rsidRPr="00792B2E">
        <w:rPr>
          <w:rFonts w:cs="Arial"/>
          <w:szCs w:val="20"/>
        </w:rPr>
        <w:t xml:space="preserve">he Early Termination Amount is calculated as follows: </w:t>
      </w:r>
    </w:p>
    <w:p w14:paraId="4B3F02F6" w14:textId="4FAAF5AD" w:rsidR="008013C8" w:rsidRPr="00D315FD" w:rsidRDefault="008013C8" w:rsidP="008013C8">
      <w:pPr>
        <w:spacing w:before="240"/>
        <w:rPr>
          <w:b/>
          <w:bCs/>
          <w:i/>
          <w:iCs/>
          <w:sz w:val="22"/>
          <w:szCs w:val="22"/>
          <w:lang w:eastAsia="en-AU"/>
        </w:rPr>
      </w:pPr>
      <w:r w:rsidRPr="00D315FD">
        <w:rPr>
          <w:b/>
          <w:bCs/>
          <w:i/>
          <w:iCs/>
          <w:sz w:val="22"/>
          <w:szCs w:val="22"/>
        </w:rPr>
        <w:t xml:space="preserve">ETA = A + B + C + D + E – F </w:t>
      </w:r>
      <w:r w:rsidR="00890567" w:rsidRPr="00D315FD">
        <w:rPr>
          <w:b/>
          <w:bCs/>
          <w:i/>
          <w:iCs/>
          <w:sz w:val="22"/>
          <w:szCs w:val="22"/>
        </w:rPr>
        <w:t>- G</w:t>
      </w:r>
    </w:p>
    <w:p w14:paraId="4B6170E8" w14:textId="30E8A3A0" w:rsidR="008013C8" w:rsidRPr="00792B2E" w:rsidRDefault="00890567" w:rsidP="008013C8">
      <w:pPr>
        <w:spacing w:before="240"/>
      </w:pPr>
      <w:r>
        <w:t>w</w:t>
      </w:r>
      <w:r w:rsidR="008013C8" w:rsidRPr="00792B2E">
        <w:t>here:</w:t>
      </w:r>
    </w:p>
    <w:p w14:paraId="74355071" w14:textId="77777777" w:rsidR="008013C8" w:rsidRPr="00792B2E" w:rsidRDefault="008013C8" w:rsidP="004A2340">
      <w:pPr>
        <w:spacing w:before="240"/>
        <w:ind w:left="567" w:hanging="567"/>
      </w:pPr>
      <w:r w:rsidRPr="00D315FD">
        <w:rPr>
          <w:b/>
          <w:bCs/>
        </w:rPr>
        <w:t>ETA</w:t>
      </w:r>
      <w:r w:rsidRPr="00792B2E">
        <w:t xml:space="preserve"> = the Early Termination </w:t>
      </w:r>
      <w:r w:rsidR="007D1597">
        <w:t>Amount</w:t>
      </w:r>
    </w:p>
    <w:p w14:paraId="3C5BE8ED" w14:textId="29FD1F74" w:rsidR="008013C8" w:rsidRPr="00792B2E" w:rsidRDefault="008013C8" w:rsidP="004A2340">
      <w:pPr>
        <w:spacing w:before="240"/>
        <w:ind w:left="567" w:hanging="567"/>
      </w:pPr>
      <w:r w:rsidRPr="00D315FD">
        <w:rPr>
          <w:b/>
          <w:bCs/>
        </w:rPr>
        <w:t>A</w:t>
      </w:r>
      <w:r w:rsidRPr="00792B2E">
        <w:t xml:space="preserve"> =</w:t>
      </w:r>
      <w:r w:rsidR="004A2340">
        <w:tab/>
      </w:r>
      <w:r w:rsidRPr="00792B2E">
        <w:t xml:space="preserve">the aggregate of the net increase in the support amounts to which the Commonwealth is exposed under a replacement agreement on substantially the same terms as </w:t>
      </w:r>
      <w:r w:rsidR="006750E1">
        <w:t>this agreement</w:t>
      </w:r>
      <w:r w:rsidRPr="00792B2E">
        <w:t xml:space="preserve"> with a new operator over and above the support amounts to which the Commonwealth would have been exposed under </w:t>
      </w:r>
      <w:r w:rsidR="006750E1">
        <w:t>this agreement</w:t>
      </w:r>
      <w:r w:rsidRPr="00792B2E">
        <w:t xml:space="preserve"> had it not been terminated (assuming for that comparison that the Commonwealth would be exposed to pay </w:t>
      </w:r>
      <w:r w:rsidR="002542FC">
        <w:t>Project</w:t>
      </w:r>
      <w:r w:rsidR="002542FC" w:rsidRPr="00792B2E">
        <w:t xml:space="preserve"> </w:t>
      </w:r>
      <w:r w:rsidRPr="00792B2E">
        <w:t xml:space="preserve">Operator the Annual Payment Cap under </w:t>
      </w:r>
      <w:r w:rsidR="006750E1">
        <w:t>this agreement</w:t>
      </w:r>
      <w:r w:rsidRPr="00792B2E">
        <w:t xml:space="preserve"> and the new operator the Annual Payment Cap under the new agreement in each case as determined over the remaining </w:t>
      </w:r>
      <w:r w:rsidR="00B51FCA">
        <w:t>Support</w:t>
      </w:r>
      <w:r w:rsidR="00B51FCA" w:rsidRPr="00792B2E" w:rsidDel="00B51FCA">
        <w:t xml:space="preserve"> </w:t>
      </w:r>
      <w:r w:rsidRPr="00792B2E">
        <w:t xml:space="preserve">Years over the remainder of the </w:t>
      </w:r>
      <w:r w:rsidR="00FD35AE">
        <w:t>Support Period</w:t>
      </w:r>
      <w:r w:rsidR="00FD35AE" w:rsidRPr="00792B2E">
        <w:t xml:space="preserve"> </w:t>
      </w:r>
      <w:r w:rsidRPr="00792B2E">
        <w:t xml:space="preserve">determined on the assumption that </w:t>
      </w:r>
      <w:r w:rsidR="006750E1">
        <w:t>this agreement</w:t>
      </w:r>
      <w:r w:rsidRPr="00792B2E">
        <w:t xml:space="preserve"> has not been terminated) which for the purpose of this </w:t>
      </w:r>
      <w:r w:rsidR="003140DB">
        <w:t>Schedule 5</w:t>
      </w:r>
      <w:r w:rsidRPr="00792B2E">
        <w:t xml:space="preserve"> is calculated as follows:</w:t>
      </w:r>
    </w:p>
    <w:p w14:paraId="2D0398E7" w14:textId="77777777" w:rsidR="008013C8" w:rsidRPr="004A2340" w:rsidRDefault="008013C8" w:rsidP="008F660B">
      <w:pPr>
        <w:spacing w:before="240"/>
        <w:ind w:left="1050" w:hanging="483"/>
        <w:jc w:val="center"/>
        <w:rPr>
          <w:b/>
          <w:bCs/>
        </w:rPr>
      </w:pPr>
      <w:r w:rsidRPr="004A2340">
        <w:rPr>
          <w:b/>
          <w:bCs/>
        </w:rPr>
        <w:t>A = (∑MC</w:t>
      </w:r>
      <w:r w:rsidRPr="004A2340">
        <w:rPr>
          <w:b/>
          <w:bCs/>
          <w:vertAlign w:val="subscript"/>
        </w:rPr>
        <w:t>RSY</w:t>
      </w:r>
      <w:r w:rsidRPr="004A2340">
        <w:rPr>
          <w:b/>
          <w:bCs/>
        </w:rPr>
        <w:t>) x 10%</w:t>
      </w:r>
    </w:p>
    <w:p w14:paraId="679212AF" w14:textId="67D9F3BC" w:rsidR="00054A3A" w:rsidRDefault="00054A3A" w:rsidP="004A2340">
      <w:pPr>
        <w:spacing w:before="240"/>
        <w:ind w:left="567"/>
      </w:pPr>
      <w:r>
        <w:t>w</w:t>
      </w:r>
      <w:r w:rsidR="008013C8" w:rsidRPr="00792B2E">
        <w:t>here</w:t>
      </w:r>
      <w:r>
        <w:t>:</w:t>
      </w:r>
    </w:p>
    <w:p w14:paraId="7E0D905C" w14:textId="522449B3" w:rsidR="008013C8" w:rsidRPr="00792B2E" w:rsidRDefault="008013C8" w:rsidP="004A2340">
      <w:pPr>
        <w:spacing w:before="240"/>
        <w:ind w:left="567"/>
      </w:pPr>
      <w:r w:rsidRPr="00792B2E">
        <w:t xml:space="preserve"> </w:t>
      </w:r>
      <w:r w:rsidRPr="008F660B">
        <w:rPr>
          <w:b/>
          <w:bCs/>
        </w:rPr>
        <w:t>∑MC</w:t>
      </w:r>
      <w:r w:rsidRPr="008F660B">
        <w:rPr>
          <w:b/>
          <w:bCs/>
          <w:vertAlign w:val="subscript"/>
        </w:rPr>
        <w:t>RSY</w:t>
      </w:r>
      <w:r w:rsidRPr="00792B2E">
        <w:t xml:space="preserve"> = the sum of the Annual Payment Cap over the remaining </w:t>
      </w:r>
      <w:r w:rsidR="00B51FCA">
        <w:t>Support</w:t>
      </w:r>
      <w:r w:rsidR="00B51FCA" w:rsidRPr="00792B2E" w:rsidDel="00B51FCA">
        <w:t xml:space="preserve"> </w:t>
      </w:r>
      <w:r w:rsidRPr="00792B2E">
        <w:t xml:space="preserve">Years in the remainder of the </w:t>
      </w:r>
      <w:r w:rsidR="0024371D">
        <w:t>Support Period</w:t>
      </w:r>
      <w:r w:rsidRPr="00792B2E">
        <w:t xml:space="preserve">, determined on the assumption that </w:t>
      </w:r>
      <w:r w:rsidR="006750E1">
        <w:t>this agreement</w:t>
      </w:r>
      <w:r w:rsidRPr="00792B2E">
        <w:t xml:space="preserve"> has not been terminated; </w:t>
      </w:r>
    </w:p>
    <w:p w14:paraId="69680D55" w14:textId="634CFE29" w:rsidR="008013C8" w:rsidRPr="00792B2E" w:rsidRDefault="008013C8" w:rsidP="004A2340">
      <w:pPr>
        <w:spacing w:before="240"/>
        <w:ind w:left="567" w:hanging="567"/>
      </w:pPr>
      <w:r w:rsidRPr="00D315FD">
        <w:rPr>
          <w:b/>
          <w:bCs/>
        </w:rPr>
        <w:t>B</w:t>
      </w:r>
      <w:r w:rsidRPr="00792B2E">
        <w:t xml:space="preserve"> =</w:t>
      </w:r>
      <w:r w:rsidR="004A2340">
        <w:tab/>
      </w:r>
      <w:r w:rsidRPr="00792B2E">
        <w:t xml:space="preserve">the reasonable and proper internal and external costs incurred by or on behalf of the Commonwealth in carrying out a tender </w:t>
      </w:r>
      <w:r w:rsidR="003E619F">
        <w:t xml:space="preserve">process </w:t>
      </w:r>
      <w:r w:rsidRPr="00792B2E">
        <w:t xml:space="preserve">to identify another project to replace the </w:t>
      </w:r>
      <w:r w:rsidR="004A0277">
        <w:t>Export</w:t>
      </w:r>
      <w:r w:rsidR="004A0277" w:rsidRPr="00792B2E">
        <w:t xml:space="preserve"> </w:t>
      </w:r>
      <w:r w:rsidRPr="00792B2E">
        <w:t xml:space="preserve">Capacity of the </w:t>
      </w:r>
      <w:r w:rsidR="0044549E">
        <w:t>Project</w:t>
      </w:r>
      <w:r w:rsidRPr="00792B2E">
        <w:t xml:space="preserve"> which</w:t>
      </w:r>
      <w:r w:rsidR="003E619F">
        <w:t>,</w:t>
      </w:r>
      <w:r w:rsidRPr="00792B2E">
        <w:t xml:space="preserve"> for the purpose of this </w:t>
      </w:r>
      <w:r w:rsidR="003E619F">
        <w:t>provision</w:t>
      </w:r>
      <w:r w:rsidRPr="00792B2E">
        <w:t xml:space="preserve"> is fixed at $15 million</w:t>
      </w:r>
      <w:r w:rsidR="007D1597">
        <w:t xml:space="preserve"> </w:t>
      </w:r>
      <w:r w:rsidRPr="00792B2E">
        <w:t>(</w:t>
      </w:r>
      <w:r w:rsidR="00936733" w:rsidRPr="00792B2E">
        <w:t>indexed</w:t>
      </w:r>
      <w:r w:rsidRPr="00792B2E">
        <w:t xml:space="preserve">); </w:t>
      </w:r>
    </w:p>
    <w:p w14:paraId="57D47615" w14:textId="77777777" w:rsidR="008013C8" w:rsidRPr="00792B2E" w:rsidRDefault="008013C8" w:rsidP="004A2340">
      <w:pPr>
        <w:spacing w:before="240"/>
        <w:ind w:left="567" w:hanging="567"/>
      </w:pPr>
      <w:r w:rsidRPr="00D315FD">
        <w:rPr>
          <w:b/>
          <w:bCs/>
        </w:rPr>
        <w:t>C</w:t>
      </w:r>
      <w:r w:rsidRPr="00792B2E">
        <w:t xml:space="preserve"> =</w:t>
      </w:r>
      <w:r w:rsidR="004A2340">
        <w:tab/>
      </w:r>
      <w:r w:rsidRPr="00792B2E">
        <w:t xml:space="preserve">any Liability of </w:t>
      </w:r>
      <w:r w:rsidR="002542FC">
        <w:t>Project</w:t>
      </w:r>
      <w:r w:rsidR="002542FC" w:rsidRPr="00792B2E">
        <w:t xml:space="preserve"> </w:t>
      </w:r>
      <w:r w:rsidRPr="00792B2E">
        <w:t xml:space="preserve">Operator to the Commonwealth under </w:t>
      </w:r>
      <w:r w:rsidR="006750E1">
        <w:t>this agreement</w:t>
      </w:r>
      <w:r w:rsidRPr="00792B2E">
        <w:t xml:space="preserve"> as at the date on which </w:t>
      </w:r>
      <w:r w:rsidR="006750E1">
        <w:t>this agreement</w:t>
      </w:r>
      <w:r w:rsidRPr="00792B2E">
        <w:t xml:space="preserve"> is terminated; </w:t>
      </w:r>
    </w:p>
    <w:p w14:paraId="0CC2D54E" w14:textId="3439BE04" w:rsidR="008013C8" w:rsidRPr="00792B2E" w:rsidRDefault="008013C8" w:rsidP="004A2340">
      <w:pPr>
        <w:spacing w:before="240"/>
        <w:ind w:left="567" w:hanging="567"/>
      </w:pPr>
      <w:r w:rsidRPr="00D315FD">
        <w:rPr>
          <w:b/>
          <w:bCs/>
        </w:rPr>
        <w:t>D</w:t>
      </w:r>
      <w:r w:rsidRPr="00792B2E">
        <w:t xml:space="preserve"> =</w:t>
      </w:r>
      <w:r w:rsidR="004A2340">
        <w:tab/>
      </w:r>
      <w:r w:rsidRPr="00792B2E">
        <w:t xml:space="preserve">any other additional </w:t>
      </w:r>
      <w:r w:rsidR="009A64C4" w:rsidRPr="00792B2E">
        <w:t xml:space="preserve">internal and external </w:t>
      </w:r>
      <w:r w:rsidRPr="00792B2E">
        <w:t xml:space="preserve">costs reasonably incurred by the Commonwealth as a direct result of the termination of </w:t>
      </w:r>
      <w:r w:rsidR="006750E1">
        <w:t>this agreement</w:t>
      </w:r>
      <w:r w:rsidRPr="00792B2E">
        <w:t xml:space="preserve">; </w:t>
      </w:r>
    </w:p>
    <w:p w14:paraId="297DC45D" w14:textId="552C4B91" w:rsidR="008013C8" w:rsidRPr="00792B2E" w:rsidRDefault="008013C8" w:rsidP="004A2340">
      <w:pPr>
        <w:spacing w:before="240"/>
        <w:ind w:left="567" w:hanging="567"/>
      </w:pPr>
      <w:r w:rsidRPr="00D315FD">
        <w:rPr>
          <w:b/>
          <w:bCs/>
        </w:rPr>
        <w:t>E</w:t>
      </w:r>
      <w:r w:rsidRPr="00792B2E">
        <w:t xml:space="preserve"> =</w:t>
      </w:r>
      <w:r w:rsidR="004A2340">
        <w:tab/>
      </w:r>
      <w:r w:rsidRPr="00792B2E">
        <w:t xml:space="preserve">any gains </w:t>
      </w:r>
      <w:r w:rsidR="009A64C4">
        <w:t>that</w:t>
      </w:r>
      <w:r w:rsidR="009A64C4" w:rsidRPr="00792B2E">
        <w:t xml:space="preserve"> </w:t>
      </w:r>
      <w:r w:rsidRPr="00792B2E">
        <w:t xml:space="preserve">have accrued, or will accrue, to </w:t>
      </w:r>
      <w:r w:rsidR="002542FC">
        <w:t>Project</w:t>
      </w:r>
      <w:r w:rsidR="002542FC" w:rsidRPr="00792B2E">
        <w:t xml:space="preserve"> </w:t>
      </w:r>
      <w:r w:rsidRPr="00792B2E">
        <w:t xml:space="preserve">Operator as a result of terminating any finance or hedge agreement </w:t>
      </w:r>
      <w:r w:rsidR="00A6236B" w:rsidRPr="00792B2E">
        <w:t xml:space="preserve">related to the Project </w:t>
      </w:r>
      <w:r w:rsidRPr="00792B2E">
        <w:t>including as a result of terminating, reversing or closing out any derivative position (in part or full) or arising from the prepayment of any debt or interest;</w:t>
      </w:r>
    </w:p>
    <w:p w14:paraId="58E2F202" w14:textId="1F5BD6F7" w:rsidR="008013C8" w:rsidRDefault="008013C8" w:rsidP="004A2340">
      <w:pPr>
        <w:spacing w:before="240"/>
        <w:ind w:left="567" w:hanging="567"/>
      </w:pPr>
      <w:r w:rsidRPr="00D315FD">
        <w:rPr>
          <w:b/>
          <w:bCs/>
        </w:rPr>
        <w:t>F</w:t>
      </w:r>
      <w:r w:rsidRPr="00792B2E">
        <w:t xml:space="preserve"> =</w:t>
      </w:r>
      <w:r w:rsidR="004A2340">
        <w:tab/>
      </w:r>
      <w:r w:rsidRPr="00792B2E">
        <w:t xml:space="preserve">any Liability of the Commonwealth to </w:t>
      </w:r>
      <w:r w:rsidR="002542FC">
        <w:t>Project</w:t>
      </w:r>
      <w:r w:rsidR="002542FC" w:rsidRPr="00792B2E">
        <w:t xml:space="preserve"> </w:t>
      </w:r>
      <w:r w:rsidRPr="00792B2E">
        <w:t xml:space="preserve">Operator under </w:t>
      </w:r>
      <w:r w:rsidR="006750E1">
        <w:t>this agreement</w:t>
      </w:r>
      <w:r w:rsidRPr="00792B2E">
        <w:t xml:space="preserve"> as at the date on which </w:t>
      </w:r>
      <w:r w:rsidR="006750E1">
        <w:t>this agreement</w:t>
      </w:r>
      <w:r w:rsidRPr="00792B2E">
        <w:t xml:space="preserve"> is terminated</w:t>
      </w:r>
      <w:r w:rsidR="00890567">
        <w:t>; and</w:t>
      </w:r>
    </w:p>
    <w:p w14:paraId="55C649D7" w14:textId="77777777" w:rsidR="00890567" w:rsidRDefault="00890567" w:rsidP="00D315FD">
      <w:pPr>
        <w:spacing w:before="240"/>
        <w:ind w:left="567" w:hanging="567"/>
      </w:pPr>
      <w:r w:rsidRPr="00E502E5">
        <w:rPr>
          <w:b/>
          <w:bCs/>
        </w:rPr>
        <w:t>G</w:t>
      </w:r>
      <w:r w:rsidRPr="008129EB">
        <w:t xml:space="preserve"> </w:t>
      </w:r>
      <w:r>
        <w:t xml:space="preserve"> =</w:t>
      </w:r>
      <w:r w:rsidRPr="008129EB">
        <w:tab/>
        <w:t>any losses that have accrued, or will accrue, to Project Operator as a direct result of terminating any finance or hedge agreement related to the Project, including as a result of terminating, reversing or closing out any derivative position (in part or full) or arising from the prepayment of any debt or interest.</w:t>
      </w:r>
    </w:p>
    <w:p w14:paraId="5ED246F2" w14:textId="77777777" w:rsidR="00890567" w:rsidRDefault="00890567" w:rsidP="004A2340">
      <w:pPr>
        <w:spacing w:before="240"/>
        <w:ind w:left="567" w:hanging="567"/>
      </w:pPr>
    </w:p>
    <w:p w14:paraId="156B28D8" w14:textId="77777777" w:rsidR="004A2340" w:rsidRPr="004E4BC4" w:rsidRDefault="004A2340" w:rsidP="004A2340">
      <w:pPr>
        <w:spacing w:before="240"/>
        <w:ind w:left="567" w:hanging="567"/>
      </w:pPr>
    </w:p>
    <w:p w14:paraId="4B0AB272" w14:textId="77777777" w:rsidR="00AC30DE" w:rsidRPr="004E4BC4" w:rsidRDefault="00AC30DE"/>
    <w:p w14:paraId="746CA04B" w14:textId="77777777" w:rsidR="00C15C21" w:rsidRDefault="00C15C21" w:rsidP="00AC30DE">
      <w:pPr>
        <w:sectPr w:rsidR="00C15C21" w:rsidSect="00E5595F">
          <w:headerReference w:type="even" r:id="rId56"/>
          <w:headerReference w:type="default" r:id="rId57"/>
          <w:footerReference w:type="even" r:id="rId58"/>
          <w:footerReference w:type="default" r:id="rId59"/>
          <w:headerReference w:type="first" r:id="rId60"/>
          <w:footerReference w:type="first" r:id="rId61"/>
          <w:pgSz w:w="11907" w:h="16840" w:code="9"/>
          <w:pgMar w:top="1134" w:right="1134" w:bottom="1417" w:left="2835" w:header="425" w:footer="567" w:gutter="0"/>
          <w:cols w:space="720"/>
          <w:titlePg/>
          <w:docGrid w:linePitch="313"/>
        </w:sectPr>
      </w:pPr>
    </w:p>
    <w:p w14:paraId="064E5822" w14:textId="77777777" w:rsidR="00C15C21" w:rsidRPr="00991FDD" w:rsidRDefault="00C15C21" w:rsidP="00467340">
      <w:pPr>
        <w:pStyle w:val="SchedulePageHeading"/>
        <w:numPr>
          <w:ilvl w:val="0"/>
          <w:numId w:val="42"/>
        </w:numPr>
      </w:pPr>
      <w:bookmarkStart w:id="5495" w:name="_Ref159420596"/>
      <w:bookmarkStart w:id="5496" w:name="_Toc207309768"/>
      <w:r w:rsidRPr="00991FDD">
        <w:t>Commonwealth Policy and Other Requirements</w:t>
      </w:r>
      <w:bookmarkEnd w:id="5495"/>
      <w:bookmarkEnd w:id="5496"/>
      <w:r w:rsidRPr="00991FDD">
        <w:t xml:space="preserve"> </w:t>
      </w:r>
    </w:p>
    <w:p w14:paraId="0697BFA3" w14:textId="05B96853" w:rsidR="00C15C21" w:rsidRDefault="00710085" w:rsidP="00991FDD">
      <w:pPr>
        <w:pStyle w:val="SchedH3"/>
        <w:numPr>
          <w:ilvl w:val="0"/>
          <w:numId w:val="0"/>
        </w:numPr>
      </w:pPr>
      <w:bookmarkStart w:id="5497" w:name="_Ref151143582"/>
      <w:r>
        <w:t>Project Operator</w:t>
      </w:r>
      <w:r w:rsidR="00C15C21">
        <w:t xml:space="preserve"> is </w:t>
      </w:r>
      <w:r w:rsidR="00C15C21" w:rsidRPr="000B01B5">
        <w:t xml:space="preserve">required to comply with the Commonwealth policies and other requirements set out in this </w:t>
      </w:r>
      <w:r w:rsidR="000D3985">
        <w:fldChar w:fldCharType="begin"/>
      </w:r>
      <w:r w:rsidR="000D3985">
        <w:instrText xml:space="preserve"> REF _Ref159420596 \w \h </w:instrText>
      </w:r>
      <w:r w:rsidR="000D3985">
        <w:fldChar w:fldCharType="separate"/>
      </w:r>
      <w:r w:rsidR="002E5C6A">
        <w:t>Schedule 6</w:t>
      </w:r>
      <w:r w:rsidR="000D3985">
        <w:fldChar w:fldCharType="end"/>
      </w:r>
      <w:r w:rsidR="00C15C21" w:rsidRPr="000B01B5">
        <w:t xml:space="preserve">. </w:t>
      </w:r>
      <w:r w:rsidR="004C09CE">
        <w:t>S</w:t>
      </w:r>
      <w:r w:rsidR="00C15C21" w:rsidRPr="000B01B5">
        <w:t xml:space="preserve">ome of the Commonwealth policies identified below have been modified to suit the subject matter of </w:t>
      </w:r>
      <w:r w:rsidR="00C15C21">
        <w:t xml:space="preserve">this </w:t>
      </w:r>
      <w:r>
        <w:t>agreement</w:t>
      </w:r>
      <w:r w:rsidR="00C15C21">
        <w:t xml:space="preserve"> and </w:t>
      </w:r>
      <w:r>
        <w:t>Project Operator</w:t>
      </w:r>
      <w:r w:rsidR="00C15C21">
        <w:t xml:space="preserve"> is </w:t>
      </w:r>
      <w:r w:rsidR="00C15C21" w:rsidRPr="000B01B5">
        <w:t>only required to comply with that part of the Commonwealth policy and requirements referred to and set out below.</w:t>
      </w:r>
      <w:bookmarkStart w:id="5498" w:name="_Ref151192522"/>
      <w:bookmarkStart w:id="5499" w:name="_Toc151272770"/>
    </w:p>
    <w:p w14:paraId="069F74EF" w14:textId="77777777" w:rsidR="00C15C21" w:rsidRDefault="00C15C21" w:rsidP="00EE39BA">
      <w:pPr>
        <w:pStyle w:val="SchedH1"/>
      </w:pPr>
      <w:bookmarkStart w:id="5500" w:name="_Ref153612432"/>
      <w:bookmarkStart w:id="5501" w:name="_Toc153945298"/>
      <w:r>
        <w:t>Taxation and Shadow Economy Policy</w:t>
      </w:r>
      <w:bookmarkEnd w:id="5497"/>
      <w:bookmarkEnd w:id="5498"/>
      <w:bookmarkEnd w:id="5499"/>
      <w:bookmarkEnd w:id="5500"/>
      <w:bookmarkEnd w:id="5501"/>
      <w:r>
        <w:t xml:space="preserve"> </w:t>
      </w:r>
    </w:p>
    <w:p w14:paraId="2E55A874" w14:textId="77777777" w:rsidR="00C15C21" w:rsidRDefault="00C15C21" w:rsidP="000D3985">
      <w:pPr>
        <w:pStyle w:val="SchedH2"/>
      </w:pPr>
      <w:bookmarkStart w:id="5502" w:name="_Toc151272771"/>
      <w:bookmarkStart w:id="5503" w:name="_Toc153945299"/>
      <w:r>
        <w:t>Definitions</w:t>
      </w:r>
      <w:bookmarkEnd w:id="5502"/>
      <w:bookmarkEnd w:id="5503"/>
    </w:p>
    <w:p w14:paraId="272C2363" w14:textId="25915FA6" w:rsidR="00C15C21" w:rsidRPr="00427EB9" w:rsidRDefault="00C15C21" w:rsidP="00607644">
      <w:pPr>
        <w:pStyle w:val="SchedH3"/>
        <w:numPr>
          <w:ilvl w:val="0"/>
          <w:numId w:val="0"/>
        </w:numPr>
        <w:ind w:left="794" w:hanging="57"/>
      </w:pPr>
      <w:r>
        <w:t xml:space="preserve">In this section </w:t>
      </w:r>
      <w:r>
        <w:fldChar w:fldCharType="begin"/>
      </w:r>
      <w:r>
        <w:instrText xml:space="preserve"> REF _Ref153612432 \n \h </w:instrText>
      </w:r>
      <w:r>
        <w:fldChar w:fldCharType="separate"/>
      </w:r>
      <w:r w:rsidR="002E5C6A">
        <w:t>1</w:t>
      </w:r>
      <w:r>
        <w:fldChar w:fldCharType="end"/>
      </w:r>
      <w:r>
        <w:t>:</w:t>
      </w:r>
    </w:p>
    <w:p w14:paraId="63565E1C" w14:textId="77777777" w:rsidR="00C15C21" w:rsidRDefault="00C15C21" w:rsidP="000D3985">
      <w:pPr>
        <w:pStyle w:val="SchedH3"/>
      </w:pPr>
      <w:r w:rsidRPr="00C32E62">
        <w:rPr>
          <w:b/>
          <w:bCs/>
        </w:rPr>
        <w:t>Satisfactory</w:t>
      </w:r>
      <w:r>
        <w:t>, in respect of a Statement of Tax Record, means the Statement of Tax Record meets the conditions set out in Part 6.b of the Shadow Economy Policy or, if the circumstances in Part 6.c of the Shadow Economy Policy apply, the conditions set out in Part 8 of the Shadow Economy Policy;</w:t>
      </w:r>
    </w:p>
    <w:p w14:paraId="03654D83" w14:textId="3F068709" w:rsidR="00C15C21" w:rsidRDefault="00C15C21" w:rsidP="000D3985">
      <w:pPr>
        <w:pStyle w:val="SchedH3"/>
      </w:pPr>
      <w:r w:rsidRPr="00C32E62">
        <w:rPr>
          <w:b/>
          <w:bCs/>
        </w:rPr>
        <w:t xml:space="preserve">Statement of Tax </w:t>
      </w:r>
      <w:r>
        <w:rPr>
          <w:b/>
          <w:bCs/>
        </w:rPr>
        <w:t xml:space="preserve">Record </w:t>
      </w:r>
      <w:r>
        <w:t>means a statement of tax record issued by the Australian Taxation Office following an application made in accordance with the process set out at</w:t>
      </w:r>
      <w:r w:rsidR="00E567D8">
        <w:t>:</w:t>
      </w:r>
      <w:r>
        <w:t xml:space="preserve"> </w:t>
      </w:r>
      <w:hyperlink r:id="rId62" w:anchor="Requesting_an_STR" w:history="1">
        <w:r w:rsidRPr="001D34BD">
          <w:rPr>
            <w:rStyle w:val="Hyperlink"/>
            <w:lang w:val="en-GB"/>
          </w:rPr>
          <w:t>https://www.ato.gov.au/Business/Bus/Statement-of-tax-record/?page=1#Requesting_an_STR</w:t>
        </w:r>
      </w:hyperlink>
      <w:r>
        <w:rPr>
          <w:rStyle w:val="Hyperlink"/>
          <w:lang w:val="en-GB"/>
        </w:rPr>
        <w:t xml:space="preserve">;. </w:t>
      </w:r>
    </w:p>
    <w:p w14:paraId="605B5F4C" w14:textId="11180F8A" w:rsidR="00C15C21" w:rsidRDefault="00C15C21" w:rsidP="000D3985">
      <w:pPr>
        <w:pStyle w:val="SchedH3"/>
      </w:pPr>
      <w:r w:rsidRPr="00C32E62">
        <w:rPr>
          <w:b/>
          <w:bCs/>
        </w:rPr>
        <w:t>Shadow Economy Policy</w:t>
      </w:r>
      <w:r>
        <w:t xml:space="preserve"> means the </w:t>
      </w:r>
      <w:r w:rsidRPr="00C32E62">
        <w:rPr>
          <w:i/>
          <w:iCs/>
        </w:rPr>
        <w:t xml:space="preserve">Shadow economy – increasing the integrity of government procurement: Procurement connected policy guidelines </w:t>
      </w:r>
      <w:r w:rsidR="006B5048">
        <w:rPr>
          <w:i/>
          <w:iCs/>
        </w:rPr>
        <w:t>October 2024</w:t>
      </w:r>
      <w:r w:rsidRPr="00C32E62">
        <w:rPr>
          <w:i/>
          <w:iCs/>
        </w:rPr>
        <w:t xml:space="preserve"> </w:t>
      </w:r>
      <w:r>
        <w:t>available at</w:t>
      </w:r>
      <w:r w:rsidR="00E567D8">
        <w:t>:</w:t>
      </w:r>
      <w:r w:rsidR="006B5048">
        <w:br/>
      </w:r>
      <w:hyperlink r:id="rId63" w:history="1">
        <w:r w:rsidR="006B5048" w:rsidRPr="00E23DC3">
          <w:rPr>
            <w:rStyle w:val="Hyperlink"/>
            <w:i/>
            <w:iCs/>
          </w:rPr>
          <w:t>https://treasury.gov.au/policy-topics/economy/shadow-economy/procurement-connected-policy</w:t>
        </w:r>
      </w:hyperlink>
      <w:r>
        <w:rPr>
          <w:i/>
          <w:iCs/>
        </w:rPr>
        <w:t xml:space="preserve">; </w:t>
      </w:r>
      <w:r w:rsidRPr="00762729">
        <w:t>and</w:t>
      </w:r>
    </w:p>
    <w:p w14:paraId="2C63D61B" w14:textId="77777777" w:rsidR="00C15C21" w:rsidRDefault="00C15C21" w:rsidP="000D3985">
      <w:pPr>
        <w:pStyle w:val="SchedH3"/>
      </w:pPr>
      <w:r>
        <w:rPr>
          <w:b/>
          <w:bCs/>
          <w:lang w:val="en-GB"/>
        </w:rPr>
        <w:t>V</w:t>
      </w:r>
      <w:r w:rsidRPr="00C32E62">
        <w:rPr>
          <w:b/>
          <w:bCs/>
          <w:lang w:val="en-GB"/>
        </w:rPr>
        <w:t xml:space="preserve">alid </w:t>
      </w:r>
      <w:r w:rsidRPr="001D34BD">
        <w:rPr>
          <w:lang w:val="en-GB"/>
        </w:rPr>
        <w:t>means valid in accordance with Part 7.e of the Shadow Economy Policy.</w:t>
      </w:r>
    </w:p>
    <w:p w14:paraId="0D198814" w14:textId="77777777" w:rsidR="00C15C21" w:rsidRDefault="00C15C21" w:rsidP="000D3985">
      <w:pPr>
        <w:pStyle w:val="SchedH2"/>
      </w:pPr>
      <w:bookmarkStart w:id="5504" w:name="_Ref151150261"/>
      <w:bookmarkStart w:id="5505" w:name="_Toc151272772"/>
      <w:bookmarkStart w:id="5506" w:name="_Toc153945300"/>
      <w:r>
        <w:t>Taxation</w:t>
      </w:r>
      <w:bookmarkEnd w:id="5504"/>
      <w:bookmarkEnd w:id="5505"/>
      <w:bookmarkEnd w:id="5506"/>
    </w:p>
    <w:p w14:paraId="27861892" w14:textId="77777777" w:rsidR="00C15C21" w:rsidRDefault="00710085" w:rsidP="000D3985">
      <w:pPr>
        <w:pStyle w:val="SchedH3"/>
      </w:pPr>
      <w:r>
        <w:t>Project Operator</w:t>
      </w:r>
      <w:r w:rsidR="00C15C21">
        <w:t xml:space="preserve"> must comply with all applicable Laws relating to taxation. </w:t>
      </w:r>
    </w:p>
    <w:p w14:paraId="5E696072" w14:textId="07FBB693" w:rsidR="00C15C21" w:rsidRDefault="00710085" w:rsidP="000D3985">
      <w:pPr>
        <w:pStyle w:val="SchedH3"/>
      </w:pPr>
      <w:r>
        <w:t>Project Operator</w:t>
      </w:r>
      <w:r w:rsidR="00C15C21">
        <w:t xml:space="preserve"> must ensure that any first tier </w:t>
      </w:r>
      <w:r w:rsidR="009C7B3B">
        <w:t>S</w:t>
      </w:r>
      <w:r w:rsidR="00C15C21">
        <w:t xml:space="preserve">ubcontract </w:t>
      </w:r>
      <w:r w:rsidR="00C15C21" w:rsidRPr="0008634E">
        <w:t xml:space="preserve">(namely those </w:t>
      </w:r>
      <w:r w:rsidR="004C09CE">
        <w:t>that</w:t>
      </w:r>
      <w:r w:rsidR="004C09CE" w:rsidRPr="0008634E">
        <w:t xml:space="preserve"> </w:t>
      </w:r>
      <w:r>
        <w:t>Project Operator</w:t>
      </w:r>
      <w:r w:rsidR="00C15C21" w:rsidRPr="0008634E">
        <w:t xml:space="preserve"> enters into directly with a </w:t>
      </w:r>
      <w:r w:rsidR="009C7B3B">
        <w:t>S</w:t>
      </w:r>
      <w:r w:rsidR="00C15C21" w:rsidRPr="0008634E">
        <w:t xml:space="preserve">ubcontractor) </w:t>
      </w:r>
      <w:r w:rsidR="00C15C21">
        <w:t xml:space="preserve">for the purposes of fulfilling its obligations under this </w:t>
      </w:r>
      <w:r>
        <w:t>agreement</w:t>
      </w:r>
      <w:r w:rsidR="00C15C21">
        <w:t xml:space="preserve"> imposes on the first tier </w:t>
      </w:r>
      <w:r w:rsidR="009C7B3B">
        <w:t>S</w:t>
      </w:r>
      <w:r w:rsidR="00C15C21">
        <w:t xml:space="preserve">ubcontractor the same obligations that </w:t>
      </w:r>
      <w:r>
        <w:t>Project Operator</w:t>
      </w:r>
      <w:r w:rsidR="00C15C21">
        <w:t xml:space="preserve"> has under this section </w:t>
      </w:r>
      <w:r w:rsidR="00C15C21">
        <w:fldChar w:fldCharType="begin" w:fldLock="1"/>
      </w:r>
      <w:r w:rsidR="00C15C21">
        <w:instrText xml:space="preserve"> REF _Ref151150261 \w \h </w:instrText>
      </w:r>
      <w:r w:rsidR="009E1640">
        <w:instrText xml:space="preserve"> \* MERGEFORMAT </w:instrText>
      </w:r>
      <w:r w:rsidR="00C15C21">
        <w:fldChar w:fldCharType="separate"/>
      </w:r>
      <w:r w:rsidR="00C15C21">
        <w:t>1.2</w:t>
      </w:r>
      <w:r w:rsidR="00C15C21">
        <w:fldChar w:fldCharType="end"/>
      </w:r>
      <w:r w:rsidR="00C15C21">
        <w:t>.</w:t>
      </w:r>
    </w:p>
    <w:p w14:paraId="0BA5D33A" w14:textId="77777777" w:rsidR="00C15C21" w:rsidRDefault="00C15C21" w:rsidP="000D3985">
      <w:pPr>
        <w:pStyle w:val="SchedH2"/>
      </w:pPr>
      <w:bookmarkStart w:id="5507" w:name="_Ref151189965"/>
      <w:bookmarkStart w:id="5508" w:name="_Toc151272773"/>
      <w:bookmarkStart w:id="5509" w:name="_Toc153945301"/>
      <w:bookmarkStart w:id="5510" w:name="_Ref_ContractCompanion_9kb9Ur46C"/>
      <w:r>
        <w:t>Valid Statement of Tax Record</w:t>
      </w:r>
      <w:bookmarkEnd w:id="5507"/>
      <w:bookmarkEnd w:id="5508"/>
      <w:bookmarkEnd w:id="5509"/>
      <w:bookmarkEnd w:id="5510"/>
    </w:p>
    <w:p w14:paraId="73A51B6E" w14:textId="490348F7" w:rsidR="00C15C21" w:rsidRDefault="00C15C21" w:rsidP="000D3985">
      <w:pPr>
        <w:pStyle w:val="SchedH3"/>
      </w:pPr>
      <w:bookmarkStart w:id="5511" w:name="_Ref148350863"/>
      <w:r>
        <w:t xml:space="preserve">In this section </w:t>
      </w:r>
      <w:r w:rsidR="00EF6FF8">
        <w:fldChar w:fldCharType="begin"/>
      </w:r>
      <w:r w:rsidR="00EF6FF8">
        <w:instrText xml:space="preserve"> REF _Ref_ContractCompanion_9kb9Ur46C \n \h \t \* MERGEFORMAT </w:instrText>
      </w:r>
      <w:r w:rsidR="00EF6FF8">
        <w:fldChar w:fldCharType="separate"/>
      </w:r>
      <w:r w:rsidR="002E5C6A">
        <w:t>1.3</w:t>
      </w:r>
      <w:r w:rsidR="00EF6FF8">
        <w:fldChar w:fldCharType="end"/>
      </w:r>
      <w:r>
        <w:t xml:space="preserve">, </w:t>
      </w:r>
      <w:r w:rsidRPr="000D1B84">
        <w:rPr>
          <w:b/>
          <w:bCs/>
        </w:rPr>
        <w:t>Required Entity</w:t>
      </w:r>
      <w:r>
        <w:t xml:space="preserve"> includes each of the applicable entities listed in the table below.</w:t>
      </w:r>
      <w:r w:rsidR="00CF0863">
        <w:t xml:space="preserve"> </w:t>
      </w:r>
      <w:r>
        <w:t xml:space="preserve">If more than one row of the table below applies to </w:t>
      </w:r>
      <w:r w:rsidR="00710085">
        <w:t>Project Operator</w:t>
      </w:r>
      <w:r>
        <w:t xml:space="preserve">, Required Entity includes all relevant entities listed in each row that applies to </w:t>
      </w:r>
      <w:r w:rsidR="00710085">
        <w:t>Project Operator</w:t>
      </w:r>
      <w:r>
        <w:t xml:space="preserve">. </w:t>
      </w:r>
    </w:p>
    <w:tbl>
      <w:tblPr>
        <w:tblStyle w:val="TableGrid"/>
        <w:tblW w:w="0" w:type="auto"/>
        <w:tblInd w:w="1413" w:type="dxa"/>
        <w:tblLook w:val="04A0" w:firstRow="1" w:lastRow="0" w:firstColumn="1" w:lastColumn="0" w:noHBand="0" w:noVBand="1"/>
      </w:tblPr>
      <w:tblGrid>
        <w:gridCol w:w="2831"/>
        <w:gridCol w:w="3684"/>
      </w:tblGrid>
      <w:tr w:rsidR="00C15C21" w:rsidRPr="00C84992" w14:paraId="59080010" w14:textId="77777777" w:rsidTr="005A4C9E">
        <w:tc>
          <w:tcPr>
            <w:tcW w:w="2831" w:type="dxa"/>
          </w:tcPr>
          <w:p w14:paraId="201A301E" w14:textId="77777777" w:rsidR="00C15C21" w:rsidRPr="000D1B84" w:rsidRDefault="00C15C21" w:rsidP="00607644">
            <w:pPr>
              <w:keepNext/>
              <w:spacing w:after="60"/>
              <w:rPr>
                <w:b/>
                <w:bCs/>
                <w:lang w:eastAsia="ja-JP"/>
              </w:rPr>
            </w:pPr>
            <w:r w:rsidRPr="000D1B84">
              <w:rPr>
                <w:b/>
                <w:bCs/>
                <w:lang w:eastAsia="ja-JP"/>
              </w:rPr>
              <w:t xml:space="preserve">If </w:t>
            </w:r>
            <w:r w:rsidR="00710085">
              <w:rPr>
                <w:b/>
                <w:bCs/>
                <w:lang w:eastAsia="ja-JP"/>
              </w:rPr>
              <w:t>Project Operator</w:t>
            </w:r>
            <w:r w:rsidRPr="000D1B84">
              <w:rPr>
                <w:b/>
                <w:bCs/>
                <w:lang w:eastAsia="ja-JP"/>
              </w:rPr>
              <w:t xml:space="preserve"> is:</w:t>
            </w:r>
          </w:p>
        </w:tc>
        <w:tc>
          <w:tcPr>
            <w:tcW w:w="3684" w:type="dxa"/>
          </w:tcPr>
          <w:p w14:paraId="27B4AAC5" w14:textId="77777777" w:rsidR="00C15C21" w:rsidRPr="000D1B84" w:rsidRDefault="00C15C21" w:rsidP="00DA23DD">
            <w:pPr>
              <w:spacing w:after="60"/>
              <w:rPr>
                <w:b/>
                <w:bCs/>
                <w:lang w:eastAsia="ja-JP"/>
              </w:rPr>
            </w:pPr>
            <w:r w:rsidRPr="000D1B84">
              <w:rPr>
                <w:b/>
                <w:bCs/>
                <w:lang w:eastAsia="ja-JP"/>
              </w:rPr>
              <w:t xml:space="preserve">Required Entity </w:t>
            </w:r>
            <w:r>
              <w:rPr>
                <w:b/>
                <w:bCs/>
                <w:lang w:eastAsia="ja-JP"/>
              </w:rPr>
              <w:t>includes:</w:t>
            </w:r>
          </w:p>
        </w:tc>
      </w:tr>
      <w:tr w:rsidR="00C15C21" w14:paraId="1A7FB867" w14:textId="77777777" w:rsidTr="005A4C9E">
        <w:tc>
          <w:tcPr>
            <w:tcW w:w="2831" w:type="dxa"/>
          </w:tcPr>
          <w:p w14:paraId="22F73E01" w14:textId="77777777" w:rsidR="00C15C21" w:rsidRDefault="00C15C21" w:rsidP="00DA23DD">
            <w:pPr>
              <w:spacing w:after="60"/>
              <w:rPr>
                <w:lang w:eastAsia="ja-JP"/>
              </w:rPr>
            </w:pPr>
            <w:r w:rsidRPr="00AA26E5">
              <w:t>a body corporate or natural person</w:t>
            </w:r>
          </w:p>
        </w:tc>
        <w:tc>
          <w:tcPr>
            <w:tcW w:w="3684" w:type="dxa"/>
          </w:tcPr>
          <w:p w14:paraId="02127E30" w14:textId="77777777" w:rsidR="00C15C21" w:rsidRDefault="00C15C21" w:rsidP="00DA23DD">
            <w:pPr>
              <w:spacing w:after="60"/>
              <w:rPr>
                <w:lang w:eastAsia="ja-JP"/>
              </w:rPr>
            </w:pPr>
            <w:r w:rsidRPr="00AA26E5">
              <w:t xml:space="preserve">that body corporate or person. </w:t>
            </w:r>
          </w:p>
        </w:tc>
      </w:tr>
      <w:tr w:rsidR="005A4C9E" w14:paraId="135DB139" w14:textId="77777777" w:rsidTr="005A4C9E">
        <w:tc>
          <w:tcPr>
            <w:tcW w:w="2831" w:type="dxa"/>
          </w:tcPr>
          <w:p w14:paraId="7560D612" w14:textId="31C623E0" w:rsidR="005A4C9E" w:rsidRPr="00AA26E5" w:rsidRDefault="005A4C9E" w:rsidP="005A4C9E">
            <w:pPr>
              <w:spacing w:after="60"/>
            </w:pPr>
            <w:r>
              <w:t>a partner acting for and on behalf of the partnership</w:t>
            </w:r>
          </w:p>
        </w:tc>
        <w:tc>
          <w:tcPr>
            <w:tcW w:w="3684" w:type="dxa"/>
          </w:tcPr>
          <w:p w14:paraId="195B0AFD" w14:textId="77777777" w:rsidR="005A4C9E" w:rsidRDefault="005A4C9E" w:rsidP="005A4C9E">
            <w:pPr>
              <w:spacing w:after="60"/>
              <w:rPr>
                <w:lang w:eastAsia="ja-JP"/>
              </w:rPr>
            </w:pPr>
            <w:r>
              <w:rPr>
                <w:lang w:eastAsia="ja-JP"/>
              </w:rPr>
              <w:t>a)</w:t>
            </w:r>
            <w:r>
              <w:rPr>
                <w:lang w:eastAsia="ja-JP"/>
              </w:rPr>
              <w:tab/>
              <w:t>Project Operator; and</w:t>
            </w:r>
          </w:p>
          <w:p w14:paraId="1F0163C8" w14:textId="54C151BE" w:rsidR="005A4C9E" w:rsidRPr="00AA26E5" w:rsidRDefault="005A4C9E" w:rsidP="005A4C9E">
            <w:pPr>
              <w:spacing w:after="60"/>
            </w:pPr>
            <w:r>
              <w:rPr>
                <w:lang w:eastAsia="ja-JP"/>
              </w:rPr>
              <w:t>b)</w:t>
            </w:r>
            <w:r>
              <w:rPr>
                <w:lang w:eastAsia="ja-JP"/>
              </w:rPr>
              <w:tab/>
              <w:t>each partner in the partnership that will be directly involved in the delivery of this agreement.</w:t>
            </w:r>
          </w:p>
        </w:tc>
      </w:tr>
      <w:tr w:rsidR="00C15C21" w14:paraId="4A1B6897" w14:textId="77777777" w:rsidTr="005A4C9E">
        <w:tc>
          <w:tcPr>
            <w:tcW w:w="2831" w:type="dxa"/>
          </w:tcPr>
          <w:p w14:paraId="30D20D68" w14:textId="77777777" w:rsidR="00C15C21" w:rsidRDefault="00C15C21" w:rsidP="00DA23DD">
            <w:pPr>
              <w:spacing w:after="60"/>
              <w:rPr>
                <w:lang w:eastAsia="ja-JP"/>
              </w:rPr>
            </w:pPr>
            <w:r w:rsidRPr="008D1345">
              <w:t>a trustee acting in its capacity as trustee of a trust</w:t>
            </w:r>
          </w:p>
        </w:tc>
        <w:tc>
          <w:tcPr>
            <w:tcW w:w="3684" w:type="dxa"/>
          </w:tcPr>
          <w:p w14:paraId="05590BED" w14:textId="77777777" w:rsidR="00C15C21" w:rsidRDefault="00C15C21" w:rsidP="00DA23DD">
            <w:pPr>
              <w:spacing w:after="60"/>
              <w:rPr>
                <w:lang w:eastAsia="ja-JP"/>
              </w:rPr>
            </w:pPr>
            <w:r>
              <w:rPr>
                <w:lang w:eastAsia="ja-JP"/>
              </w:rPr>
              <w:t>a)</w:t>
            </w:r>
            <w:r>
              <w:rPr>
                <w:lang w:eastAsia="ja-JP"/>
              </w:rPr>
              <w:tab/>
            </w:r>
            <w:r w:rsidR="00710085">
              <w:rPr>
                <w:lang w:eastAsia="ja-JP"/>
              </w:rPr>
              <w:t>Project Operator</w:t>
            </w:r>
            <w:r>
              <w:rPr>
                <w:lang w:eastAsia="ja-JP"/>
              </w:rPr>
              <w:t>; and</w:t>
            </w:r>
          </w:p>
          <w:p w14:paraId="442B3EF7" w14:textId="77777777" w:rsidR="00C15C21" w:rsidRDefault="00C15C21" w:rsidP="00DA23DD">
            <w:pPr>
              <w:spacing w:after="60"/>
              <w:rPr>
                <w:lang w:eastAsia="ja-JP"/>
              </w:rPr>
            </w:pPr>
            <w:r>
              <w:rPr>
                <w:lang w:eastAsia="ja-JP"/>
              </w:rPr>
              <w:t>b)</w:t>
            </w:r>
            <w:r>
              <w:rPr>
                <w:lang w:eastAsia="ja-JP"/>
              </w:rPr>
              <w:tab/>
              <w:t>the trust.</w:t>
            </w:r>
          </w:p>
        </w:tc>
      </w:tr>
      <w:tr w:rsidR="005A4C9E" w14:paraId="064784C6" w14:textId="77777777" w:rsidTr="005A4C9E">
        <w:tc>
          <w:tcPr>
            <w:tcW w:w="2831" w:type="dxa"/>
          </w:tcPr>
          <w:p w14:paraId="12F5AC8B" w14:textId="5F041FCA" w:rsidR="005A4C9E" w:rsidRPr="008D1345" w:rsidRDefault="005A4C9E" w:rsidP="005A4C9E">
            <w:pPr>
              <w:spacing w:after="60"/>
            </w:pPr>
            <w:r>
              <w:t>an incorporated or non-incorporated joint venture participant</w:t>
            </w:r>
          </w:p>
        </w:tc>
        <w:tc>
          <w:tcPr>
            <w:tcW w:w="3684" w:type="dxa"/>
          </w:tcPr>
          <w:p w14:paraId="3C447AA6" w14:textId="77777777" w:rsidR="005A4C9E" w:rsidRDefault="005A4C9E" w:rsidP="005A4C9E">
            <w:pPr>
              <w:spacing w:after="60"/>
              <w:rPr>
                <w:lang w:eastAsia="ja-JP"/>
              </w:rPr>
            </w:pPr>
            <w:r>
              <w:rPr>
                <w:lang w:eastAsia="ja-JP"/>
              </w:rPr>
              <w:t>a)</w:t>
            </w:r>
            <w:r>
              <w:rPr>
                <w:lang w:eastAsia="ja-JP"/>
              </w:rPr>
              <w:tab/>
              <w:t>Project Operator; and</w:t>
            </w:r>
          </w:p>
          <w:p w14:paraId="2A220C38" w14:textId="77777777" w:rsidR="005A4C9E" w:rsidRDefault="005A4C9E" w:rsidP="005A4C9E">
            <w:pPr>
              <w:spacing w:after="60"/>
              <w:ind w:left="720" w:hanging="720"/>
              <w:rPr>
                <w:lang w:eastAsia="ja-JP"/>
              </w:rPr>
            </w:pPr>
            <w:r>
              <w:rPr>
                <w:lang w:eastAsia="ja-JP"/>
              </w:rPr>
              <w:t>b)</w:t>
            </w:r>
            <w:r>
              <w:rPr>
                <w:lang w:eastAsia="ja-JP"/>
              </w:rPr>
              <w:tab/>
              <w:t>each participant in the joint venture; and</w:t>
            </w:r>
          </w:p>
          <w:p w14:paraId="75E8FD3A" w14:textId="773B98FB" w:rsidR="005A4C9E" w:rsidRDefault="005A4C9E" w:rsidP="005A4C9E">
            <w:pPr>
              <w:spacing w:after="60"/>
              <w:rPr>
                <w:lang w:eastAsia="ja-JP"/>
              </w:rPr>
            </w:pPr>
            <w:r>
              <w:rPr>
                <w:lang w:eastAsia="ja-JP"/>
              </w:rPr>
              <w:t>c)</w:t>
            </w:r>
            <w:r>
              <w:rPr>
                <w:lang w:eastAsia="ja-JP"/>
              </w:rPr>
              <w:tab/>
              <w:t>the operator of the joint venture (if the operator is not a participant in the joint venture).</w:t>
            </w:r>
          </w:p>
        </w:tc>
      </w:tr>
      <w:tr w:rsidR="005A4C9E" w14:paraId="4D18B49E" w14:textId="77777777" w:rsidTr="005A4C9E">
        <w:tc>
          <w:tcPr>
            <w:tcW w:w="2831" w:type="dxa"/>
          </w:tcPr>
          <w:p w14:paraId="1888410C" w14:textId="77777777" w:rsidR="005A4C9E" w:rsidRDefault="005A4C9E" w:rsidP="005A4C9E">
            <w:pPr>
              <w:spacing w:after="60"/>
              <w:rPr>
                <w:lang w:eastAsia="ja-JP"/>
              </w:rPr>
            </w:pPr>
            <w:r w:rsidRPr="008D1345">
              <w:t>a member of a Consolidated Group</w:t>
            </w:r>
          </w:p>
        </w:tc>
        <w:tc>
          <w:tcPr>
            <w:tcW w:w="3684" w:type="dxa"/>
          </w:tcPr>
          <w:p w14:paraId="3E343B2E" w14:textId="77777777" w:rsidR="005A4C9E" w:rsidRDefault="005A4C9E" w:rsidP="005A4C9E">
            <w:pPr>
              <w:spacing w:after="60"/>
              <w:ind w:left="720" w:hanging="720"/>
              <w:rPr>
                <w:lang w:eastAsia="ja-JP"/>
              </w:rPr>
            </w:pPr>
            <w:r>
              <w:rPr>
                <w:lang w:eastAsia="ja-JP"/>
              </w:rPr>
              <w:t>a)</w:t>
            </w:r>
            <w:r>
              <w:rPr>
                <w:lang w:eastAsia="ja-JP"/>
              </w:rPr>
              <w:tab/>
              <w:t xml:space="preserve">Project Operator; and </w:t>
            </w:r>
          </w:p>
          <w:p w14:paraId="74CF3B09" w14:textId="21527AAE" w:rsidR="005A4C9E" w:rsidRDefault="005A4C9E" w:rsidP="005A4C9E">
            <w:pPr>
              <w:spacing w:after="60"/>
              <w:ind w:left="720" w:hanging="720"/>
              <w:rPr>
                <w:lang w:eastAsia="ja-JP"/>
              </w:rPr>
            </w:pPr>
            <w:r>
              <w:rPr>
                <w:lang w:eastAsia="ja-JP"/>
              </w:rPr>
              <w:t>b)</w:t>
            </w:r>
            <w:r>
              <w:rPr>
                <w:lang w:eastAsia="ja-JP"/>
              </w:rPr>
              <w:tab/>
              <w:t>the head company in the Consolidated Group (where Project Operator is not the head company in the Consolidated Group).</w:t>
            </w:r>
          </w:p>
        </w:tc>
      </w:tr>
      <w:tr w:rsidR="005A4C9E" w14:paraId="57F2582E" w14:textId="77777777" w:rsidTr="005A4C9E">
        <w:tc>
          <w:tcPr>
            <w:tcW w:w="2831" w:type="dxa"/>
          </w:tcPr>
          <w:p w14:paraId="47D5DE0D" w14:textId="77777777" w:rsidR="005A4C9E" w:rsidRDefault="005A4C9E" w:rsidP="005A4C9E">
            <w:pPr>
              <w:spacing w:after="60"/>
              <w:rPr>
                <w:lang w:eastAsia="ja-JP"/>
              </w:rPr>
            </w:pPr>
            <w:r w:rsidRPr="000E45E7">
              <w:rPr>
                <w:lang w:eastAsia="ja-JP"/>
              </w:rPr>
              <w:t>a member of a GST Group</w:t>
            </w:r>
          </w:p>
        </w:tc>
        <w:tc>
          <w:tcPr>
            <w:tcW w:w="3684" w:type="dxa"/>
          </w:tcPr>
          <w:p w14:paraId="72B46B97" w14:textId="77777777" w:rsidR="005A4C9E" w:rsidRDefault="005A4C9E" w:rsidP="005A4C9E">
            <w:pPr>
              <w:spacing w:after="60"/>
              <w:ind w:left="720" w:hanging="720"/>
              <w:rPr>
                <w:lang w:eastAsia="ja-JP"/>
              </w:rPr>
            </w:pPr>
            <w:r>
              <w:rPr>
                <w:lang w:eastAsia="ja-JP"/>
              </w:rPr>
              <w:t>a)</w:t>
            </w:r>
            <w:r>
              <w:rPr>
                <w:lang w:eastAsia="ja-JP"/>
              </w:rPr>
              <w:tab/>
              <w:t xml:space="preserve">Project Operator; and </w:t>
            </w:r>
          </w:p>
          <w:p w14:paraId="0E907C04" w14:textId="77777777" w:rsidR="005A4C9E" w:rsidRDefault="005A4C9E" w:rsidP="005A4C9E">
            <w:pPr>
              <w:spacing w:after="60"/>
              <w:ind w:left="720" w:hanging="720"/>
              <w:rPr>
                <w:lang w:eastAsia="ja-JP"/>
              </w:rPr>
            </w:pPr>
            <w:r>
              <w:rPr>
                <w:lang w:eastAsia="ja-JP"/>
              </w:rPr>
              <w:t>b)</w:t>
            </w:r>
            <w:r>
              <w:rPr>
                <w:lang w:eastAsia="ja-JP"/>
              </w:rPr>
              <w:tab/>
              <w:t>the GST Group representative.</w:t>
            </w:r>
          </w:p>
        </w:tc>
      </w:tr>
    </w:tbl>
    <w:p w14:paraId="072DB56E" w14:textId="77777777" w:rsidR="00C15C21" w:rsidRDefault="00C15C21" w:rsidP="00C15C21">
      <w:pPr>
        <w:pStyle w:val="MELegal3"/>
        <w:numPr>
          <w:ilvl w:val="0"/>
          <w:numId w:val="0"/>
        </w:numPr>
        <w:ind w:left="1361"/>
      </w:pPr>
    </w:p>
    <w:p w14:paraId="7F95F2D5" w14:textId="77777777" w:rsidR="00C15C21" w:rsidRDefault="00710085" w:rsidP="000D3985">
      <w:pPr>
        <w:pStyle w:val="SchedH3"/>
      </w:pPr>
      <w:r>
        <w:t>Project Operator</w:t>
      </w:r>
      <w:r w:rsidR="00C15C21">
        <w:t xml:space="preserve">: </w:t>
      </w:r>
    </w:p>
    <w:p w14:paraId="3691C639" w14:textId="1B64AD16" w:rsidR="00C15C21" w:rsidRDefault="00C15C21" w:rsidP="000D3985">
      <w:pPr>
        <w:pStyle w:val="SchedH4"/>
      </w:pPr>
      <w:r w:rsidRPr="0029252E">
        <w:t xml:space="preserve">warrants that at the </w:t>
      </w:r>
      <w:r w:rsidR="00DD5C90">
        <w:t>Signing D</w:t>
      </w:r>
      <w:r>
        <w:t xml:space="preserve">ate each Required Entity </w:t>
      </w:r>
      <w:r w:rsidRPr="0029252E">
        <w:t>holds a</w:t>
      </w:r>
      <w:r w:rsidR="005C42D0">
        <w:t>ll</w:t>
      </w:r>
      <w:r w:rsidRPr="0029252E">
        <w:t xml:space="preserve"> Valid and Satisfactory Statement</w:t>
      </w:r>
      <w:r w:rsidR="008E543F">
        <w:t>s</w:t>
      </w:r>
      <w:r w:rsidRPr="0029252E">
        <w:t xml:space="preserve"> of Tax Record</w:t>
      </w:r>
      <w:bookmarkEnd w:id="5511"/>
      <w:r w:rsidR="005C42D0">
        <w:t xml:space="preserve"> required for its entity type</w:t>
      </w:r>
      <w:r>
        <w:t xml:space="preserve">; and </w:t>
      </w:r>
    </w:p>
    <w:p w14:paraId="116E4177" w14:textId="0050D566" w:rsidR="00C15C21" w:rsidRDefault="00C15C21" w:rsidP="000D3985">
      <w:pPr>
        <w:pStyle w:val="SchedH4"/>
      </w:pPr>
      <w:bookmarkStart w:id="5512" w:name="_Ref148350884"/>
      <w:r w:rsidRPr="0029252E">
        <w:t xml:space="preserve">must </w:t>
      </w:r>
      <w:r>
        <w:t>ensure that each Required Entity holds</w:t>
      </w:r>
      <w:r w:rsidRPr="0029252E">
        <w:t xml:space="preserve"> a</w:t>
      </w:r>
      <w:r w:rsidR="005C42D0">
        <w:t>ll</w:t>
      </w:r>
      <w:r w:rsidRPr="0029252E">
        <w:t xml:space="preserve"> Valid and Satisfactory Statement</w:t>
      </w:r>
      <w:r w:rsidR="008E543F">
        <w:t>s</w:t>
      </w:r>
      <w:r w:rsidRPr="0029252E">
        <w:t xml:space="preserve"> of Tax Record</w:t>
      </w:r>
      <w:r w:rsidR="005C42D0">
        <w:t xml:space="preserve"> required for its entity type</w:t>
      </w:r>
      <w:r w:rsidRPr="0029252E">
        <w:t xml:space="preserve"> at all times </w:t>
      </w:r>
      <w:r>
        <w:t xml:space="preserve">from the </w:t>
      </w:r>
      <w:r w:rsidR="00DD5C90">
        <w:t>Signing D</w:t>
      </w:r>
      <w:r>
        <w:t xml:space="preserve">ate until the end of </w:t>
      </w:r>
      <w:r w:rsidRPr="0029252E">
        <w:t xml:space="preserve">the </w:t>
      </w:r>
      <w:r>
        <w:t>Term</w:t>
      </w:r>
      <w:bookmarkEnd w:id="5512"/>
      <w:r>
        <w:t xml:space="preserve">. </w:t>
      </w:r>
    </w:p>
    <w:p w14:paraId="4DD23404" w14:textId="74391A7B" w:rsidR="00C15C21" w:rsidRDefault="00710085" w:rsidP="000D3985">
      <w:pPr>
        <w:pStyle w:val="SchedH3"/>
      </w:pPr>
      <w:bookmarkStart w:id="5513" w:name="_Ref164693563"/>
      <w:r>
        <w:t>Project Operator</w:t>
      </w:r>
      <w:r w:rsidR="00C15C21">
        <w:t xml:space="preserve">, </w:t>
      </w:r>
      <w:r w:rsidR="00C15C21" w:rsidRPr="0029252E">
        <w:t xml:space="preserve">in relation to </w:t>
      </w:r>
      <w:r w:rsidR="00C15C21">
        <w:t>each</w:t>
      </w:r>
      <w:r w:rsidR="00C15C21" w:rsidRPr="0029252E">
        <w:t xml:space="preserve"> </w:t>
      </w:r>
      <w:r w:rsidR="009C7B3B">
        <w:t>S</w:t>
      </w:r>
      <w:r w:rsidR="00C15C21" w:rsidRPr="0029252E">
        <w:t>ubcontractor it has engaged to deliver goods or services</w:t>
      </w:r>
      <w:r w:rsidR="005A4C9E">
        <w:t xml:space="preserve"> as part of a contract resulting from a procurement</w:t>
      </w:r>
      <w:r w:rsidR="00C15C21" w:rsidRPr="0029252E">
        <w:t xml:space="preserve"> with an estimated value of $4 million </w:t>
      </w:r>
      <w:r w:rsidR="005A4C9E">
        <w:t xml:space="preserve">or more </w:t>
      </w:r>
      <w:r w:rsidR="00C15C21" w:rsidRPr="0029252E">
        <w:t>(GST inclusive)</w:t>
      </w:r>
      <w:r w:rsidR="00C14955" w:rsidRPr="00C14955">
        <w:t xml:space="preserve"> </w:t>
      </w:r>
      <w:r w:rsidR="00C14955">
        <w:t>in connection with the</w:t>
      </w:r>
      <w:r w:rsidR="00054A3A">
        <w:t>[Hybrid]</w:t>
      </w:r>
      <w:r w:rsidR="00C14955">
        <w:t xml:space="preserve"> Project</w:t>
      </w:r>
      <w:r w:rsidR="00C15C21">
        <w:t>:</w:t>
      </w:r>
      <w:bookmarkEnd w:id="5513"/>
      <w:r w:rsidR="00C15C21">
        <w:t xml:space="preserve"> </w:t>
      </w:r>
      <w:r w:rsidR="00054A3A">
        <w:t>[</w:t>
      </w:r>
      <w:r w:rsidR="00054A3A" w:rsidRPr="001F4080">
        <w:rPr>
          <w:b/>
          <w:bCs/>
          <w:i/>
          <w:iCs/>
          <w:highlight w:val="lightGray"/>
        </w:rPr>
        <w:t xml:space="preserve">Note: </w:t>
      </w:r>
      <w:r w:rsidR="00054A3A" w:rsidRPr="00EC5FBA">
        <w:rPr>
          <w:b/>
          <w:i/>
          <w:highlight w:val="lightGray"/>
        </w:rPr>
        <w:t xml:space="preserve">the </w:t>
      </w:r>
      <w:r w:rsidR="00054A3A" w:rsidRPr="001F4080">
        <w:rPr>
          <w:b/>
          <w:bCs/>
          <w:i/>
          <w:iCs/>
          <w:highlight w:val="lightGray"/>
        </w:rPr>
        <w:t xml:space="preserve">words in square brackets </w:t>
      </w:r>
      <w:r w:rsidR="00054A3A" w:rsidRPr="00EC5FBA">
        <w:rPr>
          <w:b/>
          <w:i/>
          <w:highlight w:val="lightGray"/>
        </w:rPr>
        <w:t xml:space="preserve">are </w:t>
      </w:r>
      <w:r w:rsidR="00054A3A" w:rsidRPr="001F4080">
        <w:rPr>
          <w:b/>
          <w:bCs/>
          <w:i/>
          <w:iCs/>
          <w:highlight w:val="lightGray"/>
        </w:rPr>
        <w:t>to be included for Hybrid Projects only.</w:t>
      </w:r>
      <w:r w:rsidR="00054A3A">
        <w:t>]</w:t>
      </w:r>
    </w:p>
    <w:p w14:paraId="142269BA" w14:textId="4DB9E681" w:rsidR="00C15C21" w:rsidRDefault="00C15C21" w:rsidP="000D3985">
      <w:pPr>
        <w:pStyle w:val="SchedH4"/>
      </w:pPr>
      <w:r>
        <w:t>warrants that</w:t>
      </w:r>
      <w:r w:rsidRPr="0029252E">
        <w:t xml:space="preserve"> </w:t>
      </w:r>
      <w:r>
        <w:t xml:space="preserve">such </w:t>
      </w:r>
      <w:r w:rsidR="009C7B3B">
        <w:t>S</w:t>
      </w:r>
      <w:r>
        <w:t>ubcontractor</w:t>
      </w:r>
      <w:r w:rsidRPr="0029252E">
        <w:t xml:space="preserve"> holds a</w:t>
      </w:r>
      <w:r w:rsidR="005C42D0">
        <w:t>ll</w:t>
      </w:r>
      <w:r w:rsidRPr="0029252E">
        <w:t xml:space="preserve"> Satisfactory Statement</w:t>
      </w:r>
      <w:r w:rsidR="008E543F">
        <w:t>s</w:t>
      </w:r>
      <w:r w:rsidRPr="0029252E">
        <w:t xml:space="preserve"> of Tax Record</w:t>
      </w:r>
      <w:r w:rsidR="005C42D0">
        <w:t>,</w:t>
      </w:r>
      <w:r w:rsidRPr="0029252E">
        <w:t xml:space="preserve"> for the </w:t>
      </w:r>
      <w:r w:rsidR="009C7B3B">
        <w:t>S</w:t>
      </w:r>
      <w:r w:rsidRPr="0029252E">
        <w:t>ubcontractor that was Valid at the</w:t>
      </w:r>
      <w:r>
        <w:t xml:space="preserve"> commencement of the term of the relevant </w:t>
      </w:r>
      <w:r w:rsidR="009C7B3B">
        <w:t>S</w:t>
      </w:r>
      <w:r>
        <w:t xml:space="preserve">ubcontract; </w:t>
      </w:r>
    </w:p>
    <w:p w14:paraId="073ECA1C" w14:textId="1ED17BA6" w:rsidR="00C15C21" w:rsidRDefault="00C15C21" w:rsidP="000D3985">
      <w:pPr>
        <w:pStyle w:val="SchedH4"/>
      </w:pPr>
      <w:r>
        <w:t xml:space="preserve">must ensure that such </w:t>
      </w:r>
      <w:r w:rsidR="009C7B3B">
        <w:t>S</w:t>
      </w:r>
      <w:r>
        <w:t>ubcontractor holds a</w:t>
      </w:r>
      <w:r w:rsidR="005C42D0">
        <w:t>ll</w:t>
      </w:r>
      <w:r>
        <w:t xml:space="preserve"> </w:t>
      </w:r>
      <w:r w:rsidRPr="0029252E">
        <w:t>Valid and Satisfactory Statement</w:t>
      </w:r>
      <w:r w:rsidR="008E543F">
        <w:t>s</w:t>
      </w:r>
      <w:r w:rsidRPr="0029252E">
        <w:t xml:space="preserve"> of Tax Record</w:t>
      </w:r>
      <w:r w:rsidR="005C42D0">
        <w:t xml:space="preserve"> </w:t>
      </w:r>
      <w:r w:rsidRPr="0029252E">
        <w:t xml:space="preserve">at all times during the </w:t>
      </w:r>
      <w:r>
        <w:t xml:space="preserve">term of the relevant </w:t>
      </w:r>
      <w:r w:rsidR="009C7B3B">
        <w:t>S</w:t>
      </w:r>
      <w:r>
        <w:t xml:space="preserve">ubcontract; and </w:t>
      </w:r>
    </w:p>
    <w:p w14:paraId="0EDC36DE" w14:textId="77777777" w:rsidR="00C15C21" w:rsidRDefault="00C15C21" w:rsidP="000D3985">
      <w:pPr>
        <w:pStyle w:val="SchedH4"/>
      </w:pPr>
      <w:r>
        <w:t xml:space="preserve">must retain a copy of any Statement of Tax Record held by such </w:t>
      </w:r>
      <w:r w:rsidR="009C7B3B">
        <w:t>S</w:t>
      </w:r>
      <w:r>
        <w:t xml:space="preserve">ubcontractor. </w:t>
      </w:r>
    </w:p>
    <w:p w14:paraId="313199F2" w14:textId="35C47D47" w:rsidR="00C15C21" w:rsidRPr="00B1053F" w:rsidRDefault="00C15C21" w:rsidP="000D3985">
      <w:pPr>
        <w:pStyle w:val="SchedH3"/>
      </w:pPr>
      <w:bookmarkStart w:id="5514" w:name="_Ref151145574"/>
      <w:bookmarkStart w:id="5515" w:name="_Ref_ContractCompanion_9kb9Ur475"/>
      <w:r>
        <w:t xml:space="preserve">The Commonwealth may, by notice in writing to </w:t>
      </w:r>
      <w:r w:rsidR="00710085">
        <w:t>Project Operator</w:t>
      </w:r>
      <w:r>
        <w:t xml:space="preserve"> at any time, require </w:t>
      </w:r>
      <w:r w:rsidR="00710085">
        <w:t>Project Operator</w:t>
      </w:r>
      <w:r>
        <w:t xml:space="preserve"> to provide a copy of any Statement of Tax Record held or retained by </w:t>
      </w:r>
      <w:r w:rsidR="00710085">
        <w:t>Project Operator</w:t>
      </w:r>
      <w:r>
        <w:t xml:space="preserve"> </w:t>
      </w:r>
      <w:r w:rsidR="004C09CE">
        <w:t>or a Subcontractor</w:t>
      </w:r>
      <w:r w:rsidR="005A4C9E">
        <w:t>,</w:t>
      </w:r>
      <w:r w:rsidR="004C09CE">
        <w:t xml:space="preserve"> </w:t>
      </w:r>
      <w:r>
        <w:t xml:space="preserve">or required to be held or retained by </w:t>
      </w:r>
      <w:r w:rsidR="00710085">
        <w:t>Project Operator</w:t>
      </w:r>
      <w:r>
        <w:t xml:space="preserve"> </w:t>
      </w:r>
      <w:r w:rsidR="004C09CE">
        <w:t>or a Subcontractor</w:t>
      </w:r>
      <w:r w:rsidR="005A4C9E">
        <w:t xml:space="preserve">, </w:t>
      </w:r>
      <w:r>
        <w:t xml:space="preserve">under this section </w:t>
      </w:r>
      <w:r w:rsidR="00EF6FF8">
        <w:fldChar w:fldCharType="begin"/>
      </w:r>
      <w:r w:rsidR="00EF6FF8">
        <w:instrText xml:space="preserve"> REF _Ref_ContractCompanion_9kb9Ur46C \n \h \t \* MERGEFORMAT </w:instrText>
      </w:r>
      <w:r w:rsidR="00EF6FF8">
        <w:fldChar w:fldCharType="separate"/>
      </w:r>
      <w:r w:rsidR="002E5C6A">
        <w:t>1.3</w:t>
      </w:r>
      <w:r w:rsidR="00EF6FF8">
        <w:fldChar w:fldCharType="end"/>
      </w:r>
      <w:r>
        <w:t>.</w:t>
      </w:r>
      <w:r w:rsidR="00CF0863">
        <w:t xml:space="preserve"> </w:t>
      </w:r>
      <w:r w:rsidR="00710085">
        <w:t>Project Operator</w:t>
      </w:r>
      <w:r>
        <w:t xml:space="preserve"> must provide a copy of the relevant Statement of Tax Record </w:t>
      </w:r>
      <w:r w:rsidRPr="00427EB9">
        <w:t xml:space="preserve">held or retained by </w:t>
      </w:r>
      <w:r w:rsidR="00710085">
        <w:t>Project Operator</w:t>
      </w:r>
      <w:r w:rsidRPr="00427EB9">
        <w:t xml:space="preserve"> </w:t>
      </w:r>
      <w:r w:rsidR="004C09CE">
        <w:t xml:space="preserve">or a Subcontractor </w:t>
      </w:r>
      <w:r>
        <w:t xml:space="preserve">to the Commonwealth </w:t>
      </w:r>
      <w:r w:rsidRPr="00427EB9">
        <w:t xml:space="preserve">within </w:t>
      </w:r>
      <w:r w:rsidR="005A4C9E">
        <w:t>five (</w:t>
      </w:r>
      <w:r w:rsidRPr="00C8350E">
        <w:t>5</w:t>
      </w:r>
      <w:r w:rsidR="005A4C9E">
        <w:t>)</w:t>
      </w:r>
      <w:r w:rsidRPr="00C570D7">
        <w:t xml:space="preserve"> </w:t>
      </w:r>
      <w:r w:rsidRPr="00427EB9">
        <w:t>Business Days</w:t>
      </w:r>
      <w:r>
        <w:t xml:space="preserve"> after receiving the notice under this section </w:t>
      </w:r>
      <w:r w:rsidR="00246483">
        <w:fldChar w:fldCharType="begin"/>
      </w:r>
      <w:r w:rsidR="00246483">
        <w:instrText xml:space="preserve"> REF _Ref_ContractCompanion_9kb9Ur46C \n \h \t \* MERGEFORMAT </w:instrText>
      </w:r>
      <w:r w:rsidR="00246483">
        <w:fldChar w:fldCharType="separate"/>
      </w:r>
      <w:r w:rsidR="002E5C6A">
        <w:t>1.3</w:t>
      </w:r>
      <w:r w:rsidR="00246483">
        <w:fldChar w:fldCharType="end"/>
      </w:r>
      <w:r w:rsidR="00246483">
        <w:fldChar w:fldCharType="begin"/>
      </w:r>
      <w:r w:rsidR="00246483">
        <w:instrText xml:space="preserve"> REF _Ref151145574 \n \h </w:instrText>
      </w:r>
      <w:r w:rsidR="00246483">
        <w:fldChar w:fldCharType="separate"/>
      </w:r>
      <w:r w:rsidR="002E5C6A">
        <w:t>(d)</w:t>
      </w:r>
      <w:r w:rsidR="00246483">
        <w:fldChar w:fldCharType="end"/>
      </w:r>
      <w:r>
        <w:t>.</w:t>
      </w:r>
      <w:bookmarkEnd w:id="5514"/>
      <w:bookmarkEnd w:id="5515"/>
    </w:p>
    <w:p w14:paraId="56EBB4B3" w14:textId="778BC063" w:rsidR="00014471" w:rsidRDefault="00710085" w:rsidP="000D3985">
      <w:pPr>
        <w:pStyle w:val="SchedH3"/>
      </w:pPr>
      <w:r>
        <w:t>Project Operator</w:t>
      </w:r>
      <w:r w:rsidR="00C15C21">
        <w:t xml:space="preserve"> must notify the Commonwealth </w:t>
      </w:r>
      <w:r w:rsidR="00014471">
        <w:t>if</w:t>
      </w:r>
      <w:r w:rsidR="00C15C21">
        <w:t xml:space="preserve"> it is in breach of this section </w:t>
      </w:r>
      <w:r w:rsidR="00C15C21">
        <w:fldChar w:fldCharType="begin"/>
      </w:r>
      <w:r w:rsidR="00C15C21">
        <w:instrText xml:space="preserve"> REF _Ref153612432 \n \h </w:instrText>
      </w:r>
      <w:r w:rsidR="000D3985">
        <w:instrText xml:space="preserve"> \* MERGEFORMAT </w:instrText>
      </w:r>
      <w:r w:rsidR="00C15C21">
        <w:fldChar w:fldCharType="separate"/>
      </w:r>
      <w:r w:rsidR="002E5C6A">
        <w:t>1</w:t>
      </w:r>
      <w:r w:rsidR="00C15C21">
        <w:fldChar w:fldCharType="end"/>
      </w:r>
      <w:r w:rsidR="00C15C21">
        <w:t xml:space="preserve"> and that notice must be provided by </w:t>
      </w:r>
      <w:r>
        <w:t>Project Operator</w:t>
      </w:r>
      <w:r w:rsidR="00C15C21">
        <w:t xml:space="preserve"> to the Commonwealth within </w:t>
      </w:r>
      <w:r w:rsidR="005A4C9E">
        <w:t>ten (</w:t>
      </w:r>
      <w:r w:rsidR="00C15C21">
        <w:t>10</w:t>
      </w:r>
      <w:r w:rsidR="005A4C9E">
        <w:t>)</w:t>
      </w:r>
      <w:r w:rsidR="00C15C21">
        <w:t xml:space="preserve"> Business Days after </w:t>
      </w:r>
      <w:r>
        <w:t>Project Operator</w:t>
      </w:r>
      <w:r w:rsidR="00C15C21">
        <w:t xml:space="preserve"> becomes aware of that breach.</w:t>
      </w:r>
    </w:p>
    <w:p w14:paraId="2B80246D" w14:textId="28CCF6A2" w:rsidR="00C15C21" w:rsidRPr="00D91122" w:rsidRDefault="00014471" w:rsidP="007F1A89">
      <w:pPr>
        <w:pStyle w:val="SchedH3"/>
      </w:pPr>
      <w:r>
        <w:t xml:space="preserve">A failure by Project Operator to comply with this section </w:t>
      </w:r>
      <w:r>
        <w:fldChar w:fldCharType="begin"/>
      </w:r>
      <w:r>
        <w:instrText xml:space="preserve"> REF _Ref153612432 \n \h  \* MERGEFORMAT </w:instrText>
      </w:r>
      <w:r>
        <w:fldChar w:fldCharType="separate"/>
      </w:r>
      <w:r w:rsidR="002E5C6A">
        <w:t>1</w:t>
      </w:r>
      <w:r>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fldChar w:fldCharType="begin"/>
      </w:r>
      <w:r>
        <w:instrText xml:space="preserve"> REF _Ref159420790 \w \h </w:instrText>
      </w:r>
      <w:r>
        <w:fldChar w:fldCharType="separate"/>
      </w:r>
      <w:r w:rsidR="002E5C6A">
        <w:t>22.3</w:t>
      </w:r>
      <w:r>
        <w:fldChar w:fldCharType="end"/>
      </w:r>
      <w:r>
        <w:t xml:space="preserve"> (“</w:t>
      </w:r>
      <w:r>
        <w:fldChar w:fldCharType="begin"/>
      </w:r>
      <w:r>
        <w:instrText xml:space="preserve"> REF _Ref159420790 \h </w:instrText>
      </w:r>
      <w:r>
        <w:fldChar w:fldCharType="separate"/>
      </w:r>
      <w:r w:rsidR="002E5C6A" w:rsidRPr="00847C21">
        <w:t>Termination by the Commonwealth for default</w:t>
      </w:r>
      <w:r>
        <w:fldChar w:fldCharType="end"/>
      </w:r>
      <w:r>
        <w:t>”).</w:t>
      </w:r>
      <w:r w:rsidR="00C15C21">
        <w:t xml:space="preserve"> </w:t>
      </w:r>
    </w:p>
    <w:p w14:paraId="6E022490" w14:textId="77777777" w:rsidR="00C15C21" w:rsidRDefault="00C15C21" w:rsidP="00EE39BA">
      <w:pPr>
        <w:pStyle w:val="SchedH1"/>
      </w:pPr>
      <w:bookmarkStart w:id="5516" w:name="_Toc151272774"/>
      <w:bookmarkStart w:id="5517" w:name="_Toc153945302"/>
      <w:bookmarkStart w:id="5518" w:name="_Ref165043023"/>
      <w:r>
        <w:t>Workplace Gender Equality</w:t>
      </w:r>
      <w:bookmarkEnd w:id="5516"/>
      <w:bookmarkEnd w:id="5517"/>
      <w:bookmarkEnd w:id="5518"/>
    </w:p>
    <w:p w14:paraId="6341A6A4" w14:textId="77777777" w:rsidR="00C15C21" w:rsidRPr="00E6338A" w:rsidRDefault="00C15C21" w:rsidP="000D3985">
      <w:pPr>
        <w:pStyle w:val="SchedH2"/>
      </w:pPr>
      <w:bookmarkStart w:id="5519" w:name="_Ref151129260"/>
      <w:bookmarkStart w:id="5520" w:name="_Toc151272775"/>
      <w:bookmarkStart w:id="5521" w:name="_Toc153945303"/>
      <w:bookmarkStart w:id="5522" w:name="_Ref_ContractCompanion_9kb9Ur477"/>
      <w:r>
        <w:t>Workplace Gender Equality</w:t>
      </w:r>
      <w:bookmarkEnd w:id="5519"/>
      <w:bookmarkEnd w:id="5520"/>
      <w:bookmarkEnd w:id="5521"/>
      <w:bookmarkEnd w:id="5522"/>
    </w:p>
    <w:p w14:paraId="68A2C501" w14:textId="5C571BD8" w:rsidR="00C15C21" w:rsidRDefault="00C15C21" w:rsidP="000D3985">
      <w:pPr>
        <w:pStyle w:val="SchedH3"/>
      </w:pPr>
      <w:r>
        <w:t xml:space="preserve">In this section </w:t>
      </w:r>
      <w:r w:rsidR="00EF6FF8">
        <w:fldChar w:fldCharType="begin"/>
      </w:r>
      <w:r w:rsidR="00EF6FF8">
        <w:instrText xml:space="preserve"> REF _Ref_ContractCompanion_9kb9Ur477 \n \h \t \* MERGEFORMAT </w:instrText>
      </w:r>
      <w:r w:rsidR="00EF6FF8">
        <w:fldChar w:fldCharType="separate"/>
      </w:r>
      <w:r w:rsidR="002E5C6A">
        <w:t>2.1</w:t>
      </w:r>
      <w:r w:rsidR="00EF6FF8">
        <w:fldChar w:fldCharType="end"/>
      </w:r>
      <w:r>
        <w:t xml:space="preserve">, </w:t>
      </w:r>
      <w:r w:rsidRPr="00B1053F">
        <w:rPr>
          <w:b/>
          <w:bCs/>
        </w:rPr>
        <w:t>WGE Act</w:t>
      </w:r>
      <w:r>
        <w:t xml:space="preserve"> means the </w:t>
      </w:r>
      <w:r w:rsidRPr="00DA3211">
        <w:rPr>
          <w:i/>
        </w:rPr>
        <w:t>Workplace Gender Equality Act</w:t>
      </w:r>
      <w:r w:rsidRPr="00AD29CD">
        <w:t xml:space="preserve"> </w:t>
      </w:r>
      <w:r w:rsidR="005A4C9E" w:rsidRPr="00D315FD">
        <w:rPr>
          <w:i/>
          <w:iCs/>
        </w:rPr>
        <w:t>2012</w:t>
      </w:r>
      <w:r w:rsidR="005A4C9E" w:rsidRPr="00EC43EB">
        <w:rPr>
          <w:i/>
        </w:rPr>
        <w:t xml:space="preserve"> </w:t>
      </w:r>
      <w:r w:rsidRPr="00D315FD">
        <w:rPr>
          <w:iCs/>
        </w:rPr>
        <w:t>(Cth)</w:t>
      </w:r>
      <w:r w:rsidRPr="005A4C9E">
        <w:rPr>
          <w:iCs/>
        </w:rPr>
        <w:t>.</w:t>
      </w:r>
    </w:p>
    <w:p w14:paraId="476CB8FD" w14:textId="77777777" w:rsidR="00C15C21" w:rsidRDefault="00710085" w:rsidP="00607644">
      <w:pPr>
        <w:pStyle w:val="SchedH3"/>
        <w:keepNext/>
      </w:pPr>
      <w:r>
        <w:t>Project Operator</w:t>
      </w:r>
      <w:r w:rsidR="00C15C21">
        <w:t xml:space="preserve"> must: </w:t>
      </w:r>
    </w:p>
    <w:p w14:paraId="3101A4E4" w14:textId="77777777" w:rsidR="00C15C21" w:rsidRDefault="00C15C21" w:rsidP="000D3985">
      <w:pPr>
        <w:pStyle w:val="SchedH4"/>
      </w:pPr>
      <w:r>
        <w:t xml:space="preserve">comply with its obligations (if any) under the WGE Act; </w:t>
      </w:r>
    </w:p>
    <w:p w14:paraId="271F96A5" w14:textId="77777777" w:rsidR="00C15C21" w:rsidRDefault="00C15C21" w:rsidP="000D3985">
      <w:pPr>
        <w:pStyle w:val="SchedH4"/>
      </w:pPr>
      <w:r>
        <w:t xml:space="preserve">immediately notify the Commonwealth of any non-compliance by </w:t>
      </w:r>
      <w:r w:rsidR="00710085">
        <w:t>Project Operator</w:t>
      </w:r>
      <w:r>
        <w:t xml:space="preserve"> with the WGE Act; and</w:t>
      </w:r>
    </w:p>
    <w:p w14:paraId="01E30D4A" w14:textId="77777777" w:rsidR="00C15C21" w:rsidRDefault="00C15C21" w:rsidP="000D3985">
      <w:pPr>
        <w:pStyle w:val="SchedH4"/>
      </w:pPr>
      <w:r>
        <w:t>if requested by the Commonwealth at any time, provide a current letter of compliance with the WGE Act issued by the Workplace Gender Equality Agency.</w:t>
      </w:r>
    </w:p>
    <w:p w14:paraId="7E817F16" w14:textId="77777777" w:rsidR="00C15C21" w:rsidRPr="00EE6FEF" w:rsidRDefault="00710085" w:rsidP="000D3985">
      <w:pPr>
        <w:pStyle w:val="SchedH3"/>
      </w:pPr>
      <w:r>
        <w:t>Project Operator</w:t>
      </w:r>
      <w:r w:rsidR="00C15C21" w:rsidRPr="00FA52E4">
        <w:t xml:space="preserve"> </w:t>
      </w:r>
      <w:r w:rsidR="00C15C21">
        <w:t xml:space="preserve">must </w:t>
      </w:r>
      <w:r w:rsidR="00C15C21" w:rsidRPr="00FA52E4">
        <w:t xml:space="preserve">not enter into a </w:t>
      </w:r>
      <w:r w:rsidR="009C7B3B">
        <w:t>S</w:t>
      </w:r>
      <w:r w:rsidR="00C15C21" w:rsidRPr="00FA52E4">
        <w:t xml:space="preserve">ubcontract with a </w:t>
      </w:r>
      <w:r w:rsidR="009C7B3B">
        <w:t>S</w:t>
      </w:r>
      <w:r w:rsidR="00C15C21" w:rsidRPr="00FA52E4">
        <w:t>ubcontractor named by the Workplace Gender Equality Agency as an employer currently not complying with the</w:t>
      </w:r>
      <w:r w:rsidR="00C15C21" w:rsidRPr="00E954FC">
        <w:rPr>
          <w:iCs/>
        </w:rPr>
        <w:t xml:space="preserve"> WGE Act. </w:t>
      </w:r>
    </w:p>
    <w:p w14:paraId="48F55978" w14:textId="29C69E38" w:rsidR="00C15C21" w:rsidRDefault="00710085" w:rsidP="000D3985">
      <w:pPr>
        <w:pStyle w:val="SchedH3"/>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imposes on the </w:t>
      </w:r>
      <w:r w:rsidR="009C7B3B">
        <w:t>S</w:t>
      </w:r>
      <w:r w:rsidR="00C15C21">
        <w:t xml:space="preserve">ubcontractor the same obligations that </w:t>
      </w:r>
      <w:r>
        <w:t>Project Operator</w:t>
      </w:r>
      <w:r w:rsidR="00C15C21">
        <w:t xml:space="preserve"> has under this section </w:t>
      </w:r>
      <w:r w:rsidR="00EF6FF8">
        <w:fldChar w:fldCharType="begin"/>
      </w:r>
      <w:r w:rsidR="00EF6FF8">
        <w:instrText xml:space="preserve"> REF _Ref_ContractCompanion_9kb9Ur477 \n \h \t \* MERGEFORMAT </w:instrText>
      </w:r>
      <w:r w:rsidR="00EF6FF8">
        <w:fldChar w:fldCharType="separate"/>
      </w:r>
      <w:r w:rsidR="002E5C6A">
        <w:t>2.1</w:t>
      </w:r>
      <w:r w:rsidR="00EF6FF8">
        <w:fldChar w:fldCharType="end"/>
      </w:r>
      <w:r w:rsidR="00C15C21">
        <w:t xml:space="preserve">, including this requirement to impose obligations on any further </w:t>
      </w:r>
      <w:r w:rsidR="009C7B3B">
        <w:t>S</w:t>
      </w:r>
      <w:r w:rsidR="00C15C21">
        <w:t>ubcontractor.</w:t>
      </w:r>
    </w:p>
    <w:p w14:paraId="07761F59" w14:textId="328315A5" w:rsidR="00014471" w:rsidRDefault="00014471" w:rsidP="007F1A89">
      <w:pPr>
        <w:pStyle w:val="SchedH3"/>
      </w:pPr>
      <w:r>
        <w:t xml:space="preserve">A failure by Project Operator to comply with this section </w:t>
      </w:r>
      <w:r>
        <w:fldChar w:fldCharType="begin"/>
      </w:r>
      <w:r>
        <w:instrText xml:space="preserve"> REF _Ref165043023 \n \h </w:instrText>
      </w:r>
      <w:r>
        <w:fldChar w:fldCharType="separate"/>
      </w:r>
      <w:r w:rsidR="002E5C6A">
        <w:t>2</w:t>
      </w:r>
      <w:r>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fldChar w:fldCharType="begin"/>
      </w:r>
      <w:r>
        <w:instrText xml:space="preserve"> REF _Ref159420790 \w \h </w:instrText>
      </w:r>
      <w:r>
        <w:fldChar w:fldCharType="separate"/>
      </w:r>
      <w:r w:rsidR="002E5C6A">
        <w:t>22.3</w:t>
      </w:r>
      <w:r>
        <w:fldChar w:fldCharType="end"/>
      </w:r>
      <w:r>
        <w:t xml:space="preserve"> (“</w:t>
      </w:r>
      <w:r>
        <w:fldChar w:fldCharType="begin"/>
      </w:r>
      <w:r>
        <w:instrText xml:space="preserve"> REF _Ref159420790 \h </w:instrText>
      </w:r>
      <w:r>
        <w:fldChar w:fldCharType="separate"/>
      </w:r>
      <w:r w:rsidR="002E5C6A" w:rsidRPr="00847C21">
        <w:t>Termination by the Commonwealth for default</w:t>
      </w:r>
      <w:r>
        <w:fldChar w:fldCharType="end"/>
      </w:r>
      <w:r>
        <w:t>”).</w:t>
      </w:r>
    </w:p>
    <w:p w14:paraId="599D4923" w14:textId="77777777" w:rsidR="00C15C21" w:rsidRDefault="00C15C21" w:rsidP="00EE39BA">
      <w:pPr>
        <w:pStyle w:val="SchedH1"/>
      </w:pPr>
      <w:bookmarkStart w:id="5523" w:name="_Toc153945304"/>
      <w:bookmarkStart w:id="5524" w:name="_Ref165043108"/>
      <w:bookmarkStart w:id="5525" w:name="_Toc151272776"/>
      <w:r>
        <w:t>Modern Slavery</w:t>
      </w:r>
      <w:bookmarkEnd w:id="5523"/>
      <w:bookmarkEnd w:id="5524"/>
      <w:r>
        <w:t xml:space="preserve"> </w:t>
      </w:r>
      <w:bookmarkEnd w:id="5525"/>
    </w:p>
    <w:p w14:paraId="1A8D8E02" w14:textId="24DC1C2B" w:rsidR="00CB2F66" w:rsidRDefault="00CB2F66" w:rsidP="000D3985">
      <w:pPr>
        <w:pStyle w:val="SchedH3"/>
      </w:pPr>
      <w:r>
        <w:t xml:space="preserve">In this section </w:t>
      </w:r>
      <w:r>
        <w:fldChar w:fldCharType="begin"/>
      </w:r>
      <w:r>
        <w:instrText xml:space="preserve"> REF _Ref165043108 \n \h </w:instrText>
      </w:r>
      <w:r>
        <w:fldChar w:fldCharType="separate"/>
      </w:r>
      <w:r w:rsidR="002E5C6A">
        <w:t>3</w:t>
      </w:r>
      <w:r>
        <w:fldChar w:fldCharType="end"/>
      </w:r>
      <w:r>
        <w:t xml:space="preserve">, </w:t>
      </w:r>
      <w:r w:rsidRPr="00CB2F66">
        <w:rPr>
          <w:b/>
          <w:bCs/>
        </w:rPr>
        <w:t>MS Act</w:t>
      </w:r>
      <w:r>
        <w:t xml:space="preserve"> means the </w:t>
      </w:r>
      <w:r w:rsidRPr="00A43372">
        <w:rPr>
          <w:i/>
          <w:iCs/>
        </w:rPr>
        <w:t>Modern Slavery Act 2018</w:t>
      </w:r>
      <w:r>
        <w:t xml:space="preserve"> (Cth) and </w:t>
      </w:r>
      <w:r w:rsidRPr="00CB2F66">
        <w:rPr>
          <w:b/>
          <w:bCs/>
        </w:rPr>
        <w:t>Modern Slavery</w:t>
      </w:r>
      <w:r>
        <w:t xml:space="preserve"> has the meaning given in the MS Act. </w:t>
      </w:r>
    </w:p>
    <w:p w14:paraId="020B9936" w14:textId="3105515C" w:rsidR="00C15C21" w:rsidRDefault="00710085" w:rsidP="000D3985">
      <w:pPr>
        <w:pStyle w:val="SchedH3"/>
      </w:pPr>
      <w:r>
        <w:t>Project Operator</w:t>
      </w:r>
      <w:r w:rsidR="00C15C21">
        <w:t xml:space="preserve"> must comply with the </w:t>
      </w:r>
      <w:r w:rsidR="00CB2F66">
        <w:t>MS Act</w:t>
      </w:r>
      <w:r w:rsidR="00C15C21">
        <w:t xml:space="preserve">. </w:t>
      </w:r>
      <w:r>
        <w:t>Project Operator</w:t>
      </w:r>
      <w:r w:rsidR="00C15C21">
        <w:t xml:space="preserve"> must take reasonable steps to identify, assess and address risks of Modern Slavery practices in its operations and supply chains used by it and its </w:t>
      </w:r>
      <w:r w:rsidR="009C7B3B">
        <w:t>S</w:t>
      </w:r>
      <w:r w:rsidR="00C15C21">
        <w:t>ubcontractors in the procurement or provision of the goods and/or services in relation to the Project.</w:t>
      </w:r>
    </w:p>
    <w:p w14:paraId="120169C3" w14:textId="6EAC5E29" w:rsidR="00C15C21" w:rsidRDefault="00C15C21" w:rsidP="000D3985">
      <w:pPr>
        <w:pStyle w:val="SchedH3"/>
      </w:pPr>
      <w:r>
        <w:t xml:space="preserve">If at any time </w:t>
      </w:r>
      <w:r w:rsidR="00710085">
        <w:t>Project Operator</w:t>
      </w:r>
      <w:r>
        <w:t xml:space="preserve"> becomes aware of Modern </w:t>
      </w:r>
      <w:r w:rsidR="00787295">
        <w:t>Slavery practices</w:t>
      </w:r>
      <w:r>
        <w:t xml:space="preserve"> in its operations </w:t>
      </w:r>
      <w:r w:rsidR="00AE4227">
        <w:t xml:space="preserve">or the </w:t>
      </w:r>
      <w:r>
        <w:t xml:space="preserve">supply chains used by it and its </w:t>
      </w:r>
      <w:r w:rsidR="009C7B3B">
        <w:t>S</w:t>
      </w:r>
      <w:r>
        <w:t xml:space="preserve">ubcontractors in the procurement or provision of the goods and/or services in relation to the Project, </w:t>
      </w:r>
      <w:r w:rsidR="00710085">
        <w:t>Project Operator</w:t>
      </w:r>
      <w:r>
        <w:t xml:space="preserve"> must as soon as reasonably practicable take all reasonable action to address or remove these practices, including whe</w:t>
      </w:r>
      <w:r w:rsidR="00AE4227">
        <w:t>n</w:t>
      </w:r>
      <w:r>
        <w:t xml:space="preserve"> relevant by addressing any practices of other entities in its supply chains.</w:t>
      </w:r>
    </w:p>
    <w:p w14:paraId="5B4319B5" w14:textId="16A26377" w:rsidR="00014471" w:rsidRPr="007D2FB5" w:rsidRDefault="00014471" w:rsidP="000D3985">
      <w:pPr>
        <w:pStyle w:val="SchedH3"/>
      </w:pPr>
      <w:r>
        <w:t xml:space="preserve">A failure by Project Operator to comply with this section </w:t>
      </w:r>
      <w:r>
        <w:fldChar w:fldCharType="begin"/>
      </w:r>
      <w:r>
        <w:instrText xml:space="preserve"> REF _Ref165043108 \n \h </w:instrText>
      </w:r>
      <w:r>
        <w:fldChar w:fldCharType="separate"/>
      </w:r>
      <w:r w:rsidR="002E5C6A">
        <w:t>3</w:t>
      </w:r>
      <w:r>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fldChar w:fldCharType="begin"/>
      </w:r>
      <w:r>
        <w:instrText xml:space="preserve"> REF _Ref159420790 \w \h </w:instrText>
      </w:r>
      <w:r>
        <w:fldChar w:fldCharType="separate"/>
      </w:r>
      <w:r w:rsidR="002E5C6A">
        <w:t>22.3</w:t>
      </w:r>
      <w:r>
        <w:fldChar w:fldCharType="end"/>
      </w:r>
      <w:r>
        <w:t xml:space="preserve"> (“</w:t>
      </w:r>
      <w:r>
        <w:fldChar w:fldCharType="begin"/>
      </w:r>
      <w:r>
        <w:instrText xml:space="preserve"> REF _Ref159420790 \h </w:instrText>
      </w:r>
      <w:r>
        <w:fldChar w:fldCharType="separate"/>
      </w:r>
      <w:r w:rsidR="002E5C6A" w:rsidRPr="00847C21">
        <w:t>Termination by the Commonwealth for default</w:t>
      </w:r>
      <w:r>
        <w:fldChar w:fldCharType="end"/>
      </w:r>
      <w:r>
        <w:t>”).</w:t>
      </w:r>
    </w:p>
    <w:p w14:paraId="383E2A9E" w14:textId="77777777" w:rsidR="00C15C21" w:rsidRDefault="00C15C21" w:rsidP="00EE39BA">
      <w:pPr>
        <w:pStyle w:val="SchedH1"/>
      </w:pPr>
      <w:bookmarkStart w:id="5526" w:name="_Ref151146045"/>
      <w:bookmarkStart w:id="5527" w:name="_Toc151272779"/>
      <w:bookmarkStart w:id="5528" w:name="_Toc153945305"/>
      <w:bookmarkStart w:id="5529" w:name="_Ref151140255"/>
      <w:r>
        <w:t>Workplace Laws</w:t>
      </w:r>
      <w:bookmarkEnd w:id="5526"/>
      <w:bookmarkEnd w:id="5527"/>
      <w:bookmarkEnd w:id="5528"/>
      <w:r>
        <w:t xml:space="preserve"> </w:t>
      </w:r>
      <w:bookmarkEnd w:id="5529"/>
    </w:p>
    <w:p w14:paraId="43F5BE86" w14:textId="77777777" w:rsidR="00C15C21" w:rsidRDefault="00710085" w:rsidP="000D3985">
      <w:pPr>
        <w:pStyle w:val="SchedH3"/>
      </w:pPr>
      <w:bookmarkStart w:id="5530" w:name="_Hlk166852270"/>
      <w:r>
        <w:t>Project Operator</w:t>
      </w:r>
      <w:r w:rsidR="00C15C21" w:rsidRPr="000C482A">
        <w:t xml:space="preserve"> </w:t>
      </w:r>
      <w:r w:rsidR="00C15C21">
        <w:t>must</w:t>
      </w:r>
      <w:r w:rsidR="00C15C21" w:rsidRPr="000C482A">
        <w:t xml:space="preserve"> perform its obligations under th</w:t>
      </w:r>
      <w:r w:rsidR="00C15C21">
        <w:t>is</w:t>
      </w:r>
      <w:r w:rsidR="00C15C21" w:rsidRPr="000C482A">
        <w:t xml:space="preserve"> </w:t>
      </w:r>
      <w:r>
        <w:t>agreement</w:t>
      </w:r>
      <w:r w:rsidR="00C15C21">
        <w:t xml:space="preserve"> </w:t>
      </w:r>
      <w:r w:rsidR="00C15C21" w:rsidRPr="000C482A">
        <w:t>in such a way that</w:t>
      </w:r>
      <w:r w:rsidR="00C15C21">
        <w:t xml:space="preserve"> </w:t>
      </w:r>
      <w:r>
        <w:t>Project Operator</w:t>
      </w:r>
      <w:r w:rsidR="00C15C21">
        <w:t xml:space="preserve"> does not breach, and the </w:t>
      </w:r>
      <w:r w:rsidR="00C15C21" w:rsidRPr="000C482A">
        <w:t>Commonwealth is not placed in breach of</w:t>
      </w:r>
      <w:r w:rsidR="00C15C21">
        <w:t xml:space="preserve">, </w:t>
      </w:r>
      <w:r w:rsidR="00C15C21" w:rsidRPr="000C482A">
        <w:t xml:space="preserve">any applicable </w:t>
      </w:r>
      <w:r w:rsidR="00AD023D">
        <w:t>W</w:t>
      </w:r>
      <w:r w:rsidR="00C15C21">
        <w:t>orkplace Laws</w:t>
      </w:r>
      <w:r w:rsidR="00C15C21" w:rsidRPr="000C482A">
        <w:t xml:space="preserve">. </w:t>
      </w:r>
    </w:p>
    <w:p w14:paraId="459AED53" w14:textId="77777777" w:rsidR="00AD023D" w:rsidRDefault="00710085" w:rsidP="000D3985">
      <w:pPr>
        <w:pStyle w:val="SchedH3"/>
      </w:pPr>
      <w:r>
        <w:t>Project Operator</w:t>
      </w:r>
      <w:r w:rsidR="00C15C21">
        <w:t xml:space="preserve"> must</w:t>
      </w:r>
      <w:r w:rsidR="00AD023D">
        <w:t>, at no cost to the Commonwealth:</w:t>
      </w:r>
      <w:r w:rsidR="00C15C21">
        <w:t xml:space="preserve"> </w:t>
      </w:r>
    </w:p>
    <w:p w14:paraId="638F7067" w14:textId="77777777" w:rsidR="00AD023D" w:rsidRDefault="00C15C21" w:rsidP="00AD023D">
      <w:pPr>
        <w:pStyle w:val="SchedH4"/>
      </w:pPr>
      <w:r>
        <w:t xml:space="preserve">comply with any request, policy or </w:t>
      </w:r>
      <w:r w:rsidR="00AD023D">
        <w:t xml:space="preserve">lawful and reasonable </w:t>
      </w:r>
      <w:r>
        <w:t>direction issued by the Commonwealth</w:t>
      </w:r>
      <w:r w:rsidR="00AD023D">
        <w:t>;</w:t>
      </w:r>
      <w:r>
        <w:t xml:space="preserve"> and </w:t>
      </w:r>
    </w:p>
    <w:p w14:paraId="10D804CD" w14:textId="77777777" w:rsidR="00AD023D" w:rsidRDefault="00C15C21" w:rsidP="00AD023D">
      <w:pPr>
        <w:pStyle w:val="SchedH4"/>
      </w:pPr>
      <w:r>
        <w:t>otherwise cooperate with the Commonwealth in relation to any action taken by the Commonwealth</w:t>
      </w:r>
      <w:r w:rsidR="00AD023D">
        <w:t>,</w:t>
      </w:r>
      <w:r>
        <w:t xml:space="preserve"> </w:t>
      </w:r>
    </w:p>
    <w:p w14:paraId="4A3CD6BB" w14:textId="77777777" w:rsidR="00C15C21" w:rsidRDefault="00AD023D" w:rsidP="00AD023D">
      <w:pPr>
        <w:ind w:left="1474"/>
      </w:pPr>
      <w:r>
        <w:t xml:space="preserve">that is </w:t>
      </w:r>
      <w:r w:rsidR="00C15C21">
        <w:t xml:space="preserve">required or authorised by </w:t>
      </w:r>
      <w:r>
        <w:t xml:space="preserve">any </w:t>
      </w:r>
      <w:r w:rsidR="00C15C21">
        <w:t xml:space="preserve">applicable </w:t>
      </w:r>
      <w:r>
        <w:t>W</w:t>
      </w:r>
      <w:r w:rsidR="00C15C21">
        <w:t>orkplace Law.</w:t>
      </w:r>
    </w:p>
    <w:p w14:paraId="1B06AEDC" w14:textId="77777777" w:rsidR="00C15C21" w:rsidRDefault="00710085" w:rsidP="00AD023D">
      <w:pPr>
        <w:pStyle w:val="SchedH3"/>
        <w:spacing w:before="240"/>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after the Signing Date imposes on the </w:t>
      </w:r>
      <w:r w:rsidR="009C7B3B">
        <w:t>S</w:t>
      </w:r>
      <w:r w:rsidR="00C15C21">
        <w:t xml:space="preserve">ubcontractor the same obligations that </w:t>
      </w:r>
      <w:r>
        <w:t>Project Operator</w:t>
      </w:r>
      <w:r w:rsidR="00C15C21">
        <w:t xml:space="preserve"> has under this section </w:t>
      </w:r>
      <w:r w:rsidR="00C15C21">
        <w:fldChar w:fldCharType="begin" w:fldLock="1"/>
      </w:r>
      <w:r w:rsidR="00C15C21">
        <w:instrText xml:space="preserve"> REF _Ref151146045 \w \h  \* MERGEFORMAT </w:instrText>
      </w:r>
      <w:r w:rsidR="00C15C21">
        <w:fldChar w:fldCharType="separate"/>
      </w:r>
      <w:r w:rsidR="00C15C21">
        <w:t>4</w:t>
      </w:r>
      <w:r w:rsidR="00C15C21">
        <w:fldChar w:fldCharType="end"/>
      </w:r>
      <w:r w:rsidR="00C15C21">
        <w:t xml:space="preserve">, other than this requirement to impose obligations on any further </w:t>
      </w:r>
      <w:r w:rsidR="009C7B3B">
        <w:t>S</w:t>
      </w:r>
      <w:r w:rsidR="00C15C21">
        <w:t>ubcontractor.</w:t>
      </w:r>
    </w:p>
    <w:p w14:paraId="6A6EE91D" w14:textId="34D34B14" w:rsidR="00F7538D" w:rsidRDefault="00EF3B98" w:rsidP="00EF3B98">
      <w:pPr>
        <w:pStyle w:val="SchedH3"/>
      </w:pPr>
      <w:bookmarkStart w:id="5531" w:name="_Ref167311274"/>
      <w:r>
        <w:t xml:space="preserve">If Project Operator fails to comply with this section </w:t>
      </w:r>
      <w:r>
        <w:fldChar w:fldCharType="begin" w:fldLock="1"/>
      </w:r>
      <w:r>
        <w:instrText xml:space="preserve"> REF _Ref151146045 \w \h  \* MERGEFORMAT </w:instrText>
      </w:r>
      <w:r>
        <w:fldChar w:fldCharType="separate"/>
      </w:r>
      <w:r>
        <w:t>4</w:t>
      </w:r>
      <w:r>
        <w:fldChar w:fldCharType="end"/>
      </w:r>
      <w:r>
        <w:t>, such that a breach, or potential breach, of Workplace Laws occurs</w:t>
      </w:r>
      <w:r w:rsidRPr="00AD023D">
        <w:t xml:space="preserve"> </w:t>
      </w:r>
      <w:r>
        <w:t xml:space="preserve">that does or may result in proceedings being commenced alleging </w:t>
      </w:r>
      <w:r w:rsidR="009034BF">
        <w:t xml:space="preserve">that </w:t>
      </w:r>
      <w:r>
        <w:t>an offence under Workplace Laws has occurred</w:t>
      </w:r>
      <w:r w:rsidR="009772B8">
        <w:t>,</w:t>
      </w:r>
      <w:r>
        <w:t xml:space="preserve"> the Commonwealth may terminate this agreement pursuant to clause </w:t>
      </w:r>
      <w:r w:rsidR="00054A3A">
        <w:fldChar w:fldCharType="begin"/>
      </w:r>
      <w:r w:rsidR="00054A3A">
        <w:instrText xml:space="preserve"> REF _Ref159420790 \r \h </w:instrText>
      </w:r>
      <w:r w:rsidR="00054A3A">
        <w:fldChar w:fldCharType="separate"/>
      </w:r>
      <w:r w:rsidR="002E5C6A">
        <w:t>22.3</w:t>
      </w:r>
      <w:r w:rsidR="00054A3A">
        <w:fldChar w:fldCharType="end"/>
      </w:r>
      <w:r w:rsidR="00BE5618">
        <w:fldChar w:fldCharType="begin"/>
      </w:r>
      <w:r w:rsidR="00BE5618">
        <w:instrText xml:space="preserve"> REF _Ref166578165 \n \h </w:instrText>
      </w:r>
      <w:r w:rsidR="00BE5618">
        <w:fldChar w:fldCharType="separate"/>
      </w:r>
      <w:r w:rsidR="002E5C6A">
        <w:t>(p)</w:t>
      </w:r>
      <w:r w:rsidR="00BE5618">
        <w:fldChar w:fldCharType="end"/>
      </w:r>
      <w:r>
        <w:t xml:space="preserve"> (“</w:t>
      </w:r>
      <w:r>
        <w:fldChar w:fldCharType="begin"/>
      </w:r>
      <w:r>
        <w:instrText xml:space="preserve"> REF _Ref159420790 \h </w:instrText>
      </w:r>
      <w:r>
        <w:fldChar w:fldCharType="separate"/>
      </w:r>
      <w:r w:rsidR="002E5C6A" w:rsidRPr="00847C21">
        <w:t>Termination by the Commonwealth for default</w:t>
      </w:r>
      <w:r>
        <w:fldChar w:fldCharType="end"/>
      </w:r>
      <w:r>
        <w:t>”).</w:t>
      </w:r>
      <w:bookmarkEnd w:id="5531"/>
      <w:r w:rsidR="00F7538D">
        <w:t xml:space="preserve"> </w:t>
      </w:r>
    </w:p>
    <w:p w14:paraId="3BF1EA68" w14:textId="77777777" w:rsidR="00C15C21" w:rsidRDefault="00C15C21" w:rsidP="00EE39BA">
      <w:pPr>
        <w:pStyle w:val="SchedH1"/>
      </w:pPr>
      <w:bookmarkStart w:id="5532" w:name="_Ref151128268"/>
      <w:bookmarkStart w:id="5533" w:name="_Toc151272781"/>
      <w:bookmarkStart w:id="5534" w:name="_Ref152526293"/>
      <w:bookmarkStart w:id="5535" w:name="_Ref152526514"/>
      <w:bookmarkStart w:id="5536" w:name="_Ref152529829"/>
      <w:bookmarkStart w:id="5537" w:name="_Toc153945306"/>
      <w:bookmarkStart w:id="5538" w:name="_Ref151148220"/>
      <w:bookmarkStart w:id="5539" w:name="_Ref_ContractCompanion_9kb9Ur479"/>
      <w:bookmarkStart w:id="5540" w:name="_Ref151129307"/>
      <w:bookmarkEnd w:id="5530"/>
      <w:r>
        <w:t>Significant Events</w:t>
      </w:r>
      <w:bookmarkEnd w:id="5532"/>
      <w:bookmarkEnd w:id="5533"/>
      <w:bookmarkEnd w:id="5534"/>
      <w:bookmarkEnd w:id="5535"/>
      <w:bookmarkEnd w:id="5536"/>
      <w:bookmarkEnd w:id="5537"/>
      <w:r>
        <w:t xml:space="preserve"> </w:t>
      </w:r>
      <w:bookmarkEnd w:id="5538"/>
      <w:bookmarkEnd w:id="5539"/>
    </w:p>
    <w:p w14:paraId="4ABA6EB3" w14:textId="77777777" w:rsidR="00C15C21" w:rsidRDefault="00C15C21" w:rsidP="000D3985">
      <w:pPr>
        <w:pStyle w:val="SchedH2"/>
      </w:pPr>
      <w:bookmarkStart w:id="5541" w:name="_Toc151272782"/>
      <w:bookmarkStart w:id="5542" w:name="_Toc153945307"/>
      <w:bookmarkStart w:id="5543" w:name="_Ref199423258"/>
      <w:bookmarkStart w:id="5544" w:name="_Ref204186693"/>
      <w:r>
        <w:t>Definition</w:t>
      </w:r>
      <w:bookmarkEnd w:id="5541"/>
      <w:bookmarkEnd w:id="5542"/>
      <w:bookmarkEnd w:id="5543"/>
      <w:bookmarkEnd w:id="5544"/>
    </w:p>
    <w:p w14:paraId="6D35977A" w14:textId="5DADD49E" w:rsidR="00C15C21" w:rsidRPr="00F77F33" w:rsidRDefault="00C15C21" w:rsidP="000D3985">
      <w:pPr>
        <w:pStyle w:val="SchedH3"/>
        <w:numPr>
          <w:ilvl w:val="0"/>
          <w:numId w:val="0"/>
        </w:numPr>
        <w:ind w:left="737"/>
      </w:pPr>
      <w:r>
        <w:t xml:space="preserve">In this section </w:t>
      </w:r>
      <w:r w:rsidR="00EF6FF8">
        <w:fldChar w:fldCharType="begin"/>
      </w:r>
      <w:r w:rsidR="00EF6FF8">
        <w:instrText xml:space="preserve"> REF _Ref_ContractCompanion_9kb9Ur479 \w \n \h \t \* MERGEFORMAT </w:instrText>
      </w:r>
      <w:r w:rsidR="00EF6FF8">
        <w:fldChar w:fldCharType="separate"/>
      </w:r>
      <w:r w:rsidR="002E5C6A">
        <w:t>5</w:t>
      </w:r>
      <w:r w:rsidR="00EF6FF8">
        <w:fldChar w:fldCharType="end"/>
      </w:r>
      <w:r>
        <w:t xml:space="preserve">, </w:t>
      </w:r>
      <w:r w:rsidRPr="00D91122">
        <w:rPr>
          <w:b/>
        </w:rPr>
        <w:t xml:space="preserve">Significant Event </w:t>
      </w:r>
      <w:r w:rsidRPr="00D91122">
        <w:rPr>
          <w:bCs/>
        </w:rPr>
        <w:t xml:space="preserve">means: </w:t>
      </w:r>
    </w:p>
    <w:p w14:paraId="3C0103FA" w14:textId="2C182FD2" w:rsidR="00C15C21" w:rsidRDefault="00C15C21" w:rsidP="000D3985">
      <w:pPr>
        <w:pStyle w:val="SchedH3"/>
      </w:pPr>
      <w:r w:rsidRPr="007909B9">
        <w:t xml:space="preserve">any adverse comments or findings made by a court, commission, tribunal or other statutory or professional body regarding the conduct or performance of </w:t>
      </w:r>
      <w:r w:rsidR="00710085">
        <w:t>Project Operator</w:t>
      </w:r>
      <w:r>
        <w:t xml:space="preserve"> </w:t>
      </w:r>
      <w:r w:rsidRPr="007909B9">
        <w:t xml:space="preserve">or its </w:t>
      </w:r>
      <w:r w:rsidR="00D4097E" w:rsidRPr="00F75565">
        <w:t xml:space="preserve">officers, employees, </w:t>
      </w:r>
      <w:r w:rsidR="009C7B3B">
        <w:t>S</w:t>
      </w:r>
      <w:r w:rsidR="00D4097E" w:rsidRPr="00F75565">
        <w:t xml:space="preserve">ubcontractors or agents </w:t>
      </w:r>
      <w:r w:rsidRPr="007909B9">
        <w:t xml:space="preserve">that </w:t>
      </w:r>
      <w:r w:rsidR="00AE4227">
        <w:t xml:space="preserve">has an adverse </w:t>
      </w:r>
      <w:r w:rsidRPr="007909B9">
        <w:t xml:space="preserve">impact or could be </w:t>
      </w:r>
      <w:r w:rsidRPr="009E1640">
        <w:t>reasonably</w:t>
      </w:r>
      <w:r w:rsidRPr="007909B9">
        <w:t xml:space="preserve"> perceived to </w:t>
      </w:r>
      <w:r w:rsidR="00AE4227">
        <w:t xml:space="preserve">have an adverse </w:t>
      </w:r>
      <w:r w:rsidRPr="007909B9">
        <w:t>impact on their professional capacity, capability, fitness or reputation</w:t>
      </w:r>
      <w:r>
        <w:t xml:space="preserve">; </w:t>
      </w:r>
    </w:p>
    <w:p w14:paraId="0E0273F3" w14:textId="36EF4908" w:rsidR="00C15C21" w:rsidRDefault="00C15C21" w:rsidP="000D3985">
      <w:pPr>
        <w:pStyle w:val="SchedH3"/>
      </w:pPr>
      <w:r w:rsidRPr="007909B9">
        <w:t xml:space="preserve">any other significant matters, including the commencement of legal, regulatory or disciplinary action involving </w:t>
      </w:r>
      <w:r w:rsidR="00710085">
        <w:t>Project Operator</w:t>
      </w:r>
      <w:r w:rsidRPr="007909B9">
        <w:t xml:space="preserve"> or its </w:t>
      </w:r>
      <w:r w:rsidR="00D4097E" w:rsidRPr="00F75565">
        <w:t xml:space="preserve">officers, employees, </w:t>
      </w:r>
      <w:r w:rsidR="009C7B3B">
        <w:t>S</w:t>
      </w:r>
      <w:r w:rsidR="00D4097E" w:rsidRPr="00F75565">
        <w:t>ubcontractors or agents</w:t>
      </w:r>
      <w:r w:rsidRPr="007909B9">
        <w:t xml:space="preserve">, that may </w:t>
      </w:r>
      <w:r w:rsidR="00A60BCC">
        <w:t xml:space="preserve">have an </w:t>
      </w:r>
      <w:r w:rsidRPr="007909B9">
        <w:t>adverse impact on compliance with Commonwealth</w:t>
      </w:r>
      <w:r>
        <w:t xml:space="preserve"> p</w:t>
      </w:r>
      <w:r w:rsidRPr="007909B9">
        <w:t>olicy</w:t>
      </w:r>
      <w:r>
        <w:t>, applicable Laws</w:t>
      </w:r>
      <w:r w:rsidRPr="007909B9">
        <w:t xml:space="preserve"> or the Commonwealth’s reputation;</w:t>
      </w:r>
      <w:r>
        <w:t xml:space="preserve"> </w:t>
      </w:r>
    </w:p>
    <w:p w14:paraId="0F26FADC" w14:textId="32960FB6" w:rsidR="00C15C21" w:rsidRDefault="6AEBA144" w:rsidP="000D3985">
      <w:pPr>
        <w:pStyle w:val="SchedH3"/>
      </w:pPr>
      <w:r>
        <w:t>any unsettled judicial decisions against Project Operator (including in or related to overseas jurisdictions</w:t>
      </w:r>
      <w:r w:rsidR="00E557C5">
        <w:t>)</w:t>
      </w:r>
      <w:r>
        <w:t xml:space="preserve"> relating to employee entitlements </w:t>
      </w:r>
      <w:r w:rsidR="00A60BCC">
        <w:t xml:space="preserve">if </w:t>
      </w:r>
      <w:r>
        <w:t xml:space="preserve">the employee entitlements remain unpaid (but excluding judgments under appeal or instances </w:t>
      </w:r>
      <w:r w:rsidR="00A60BCC">
        <w:t xml:space="preserve">in which </w:t>
      </w:r>
      <w:r>
        <w:t xml:space="preserve">the period for appeal or payment/settlement has not expired); </w:t>
      </w:r>
    </w:p>
    <w:p w14:paraId="65728BA2" w14:textId="3FB67DA4" w:rsidR="00C15C21" w:rsidRDefault="6AEBA144" w:rsidP="000D3985">
      <w:pPr>
        <w:pStyle w:val="SchedH3"/>
      </w:pPr>
      <w:r>
        <w:t xml:space="preserve">any non-compliance by Project Operator or its officers, employees, </w:t>
      </w:r>
      <w:r w:rsidR="009C7B3B">
        <w:t>S</w:t>
      </w:r>
      <w:r>
        <w:t xml:space="preserve">ubcontractors or agents </w:t>
      </w:r>
      <w:r w:rsidR="00A60BCC">
        <w:t xml:space="preserve">with </w:t>
      </w:r>
      <w:r>
        <w:t xml:space="preserve">any judgment against that person from any court or tribunal (including overseas jurisdictions, but excluding judgments under appeal or instances </w:t>
      </w:r>
      <w:r w:rsidR="00A60BCC">
        <w:t xml:space="preserve">in which </w:t>
      </w:r>
      <w:r>
        <w:t>the period for appeal or payment/settlement has not expired) relating to a breach of any applicable Workplace Laws; or</w:t>
      </w:r>
    </w:p>
    <w:p w14:paraId="7663AB27" w14:textId="54020733" w:rsidR="00C15C21" w:rsidRDefault="6AEBA144" w:rsidP="6AEBA144">
      <w:pPr>
        <w:pStyle w:val="SchedH3"/>
        <w:rPr>
          <w:rFonts w:eastAsia="Arial"/>
        </w:rPr>
      </w:pPr>
      <w:r>
        <w:t>a</w:t>
      </w:r>
      <w:r w:rsidRPr="6AEBA144">
        <w:rPr>
          <w:rFonts w:eastAsia="Arial"/>
          <w:b/>
          <w:bCs/>
        </w:rPr>
        <w:t xml:space="preserve"> </w:t>
      </w:r>
      <w:r w:rsidRPr="001B43C8">
        <w:rPr>
          <w:rFonts w:eastAsia="Arial"/>
        </w:rPr>
        <w:t>security incident</w:t>
      </w:r>
      <w:r w:rsidR="00595AF2">
        <w:rPr>
          <w:rFonts w:eastAsia="Arial"/>
        </w:rPr>
        <w:t>,</w:t>
      </w:r>
      <w:r w:rsidRPr="001B43C8">
        <w:rPr>
          <w:rFonts w:eastAsia="Arial"/>
        </w:rPr>
        <w:t xml:space="preserve"> </w:t>
      </w:r>
      <w:r w:rsidRPr="6AEBA144">
        <w:rPr>
          <w:rFonts w:eastAsia="Arial"/>
        </w:rPr>
        <w:t xml:space="preserve">meaning any actual or </w:t>
      </w:r>
      <w:r w:rsidR="00FD35AE">
        <w:rPr>
          <w:rFonts w:eastAsia="Arial"/>
        </w:rPr>
        <w:t xml:space="preserve">reasonably </w:t>
      </w:r>
      <w:r w:rsidRPr="6AEBA144">
        <w:rPr>
          <w:rFonts w:eastAsia="Arial"/>
        </w:rPr>
        <w:t>suspected breach of Project Operator’s security in relation to the Project, including any unauthorised access to</w:t>
      </w:r>
      <w:r w:rsidR="00FD35AE">
        <w:rPr>
          <w:rFonts w:eastAsia="Arial"/>
        </w:rPr>
        <w:t xml:space="preserve"> any systems used in connection with the Project</w:t>
      </w:r>
      <w:r w:rsidRPr="6AEBA144">
        <w:rPr>
          <w:rFonts w:eastAsia="Arial"/>
        </w:rPr>
        <w:t xml:space="preserve">, or any unauthorised disclosure of, or loss involving any data </w:t>
      </w:r>
      <w:r w:rsidR="00595AF2">
        <w:rPr>
          <w:rFonts w:eastAsia="Arial"/>
        </w:rPr>
        <w:t xml:space="preserve">to </w:t>
      </w:r>
      <w:r w:rsidRPr="6AEBA144">
        <w:rPr>
          <w:rFonts w:eastAsia="Arial"/>
        </w:rPr>
        <w:t xml:space="preserve">which Project Operator has access as a result of this </w:t>
      </w:r>
      <w:r w:rsidR="006750E1">
        <w:rPr>
          <w:rFonts w:eastAsia="Arial"/>
        </w:rPr>
        <w:t>a</w:t>
      </w:r>
      <w:r w:rsidRPr="6AEBA144">
        <w:rPr>
          <w:rFonts w:eastAsia="Arial"/>
        </w:rPr>
        <w:t>greement.</w:t>
      </w:r>
    </w:p>
    <w:p w14:paraId="68A9E72F" w14:textId="77777777" w:rsidR="00C15C21" w:rsidRDefault="00C15C21" w:rsidP="00EF4D4D">
      <w:pPr>
        <w:pStyle w:val="SchedH2"/>
      </w:pPr>
      <w:bookmarkStart w:id="5545" w:name="_Toc151272783"/>
      <w:bookmarkStart w:id="5546" w:name="_Toc153945308"/>
      <w:r>
        <w:t>No existing Significant Event</w:t>
      </w:r>
      <w:bookmarkEnd w:id="5545"/>
      <w:bookmarkEnd w:id="5546"/>
      <w:r>
        <w:t xml:space="preserve"> </w:t>
      </w:r>
    </w:p>
    <w:p w14:paraId="5916E531" w14:textId="0B0F95B2" w:rsidR="00C15C21" w:rsidRDefault="00710085" w:rsidP="00EF4D4D">
      <w:pPr>
        <w:pStyle w:val="SchedH3"/>
        <w:numPr>
          <w:ilvl w:val="0"/>
          <w:numId w:val="0"/>
        </w:numPr>
        <w:ind w:left="737"/>
      </w:pPr>
      <w:bookmarkStart w:id="5547" w:name="_Ref148025014"/>
      <w:r>
        <w:t>Project Operator</w:t>
      </w:r>
      <w:r w:rsidR="00C15C21">
        <w:t xml:space="preserve"> warrants and represents that there is no Significant Event in relation to </w:t>
      </w:r>
      <w:r>
        <w:t>Project Operator</w:t>
      </w:r>
      <w:r w:rsidR="00C15C21" w:rsidRPr="007909B9">
        <w:t xml:space="preserve"> </w:t>
      </w:r>
      <w:r w:rsidR="00FD35AE">
        <w:t>or</w:t>
      </w:r>
      <w:r w:rsidR="00C15C21" w:rsidRPr="007909B9">
        <w:t xml:space="preserve"> its </w:t>
      </w:r>
      <w:r w:rsidR="00D4097E" w:rsidRPr="00F75565">
        <w:t xml:space="preserve">officers, employees, </w:t>
      </w:r>
      <w:r w:rsidR="009C7B3B">
        <w:t>S</w:t>
      </w:r>
      <w:r w:rsidR="00D4097E" w:rsidRPr="00F75565">
        <w:t xml:space="preserve">ubcontractors or agents </w:t>
      </w:r>
      <w:r w:rsidR="00C15C21">
        <w:t xml:space="preserve">as at the Signing Date. </w:t>
      </w:r>
    </w:p>
    <w:p w14:paraId="5E6370F3" w14:textId="77777777" w:rsidR="00C15C21" w:rsidRDefault="00C15C21" w:rsidP="00EF4D4D">
      <w:pPr>
        <w:pStyle w:val="SchedH2"/>
      </w:pPr>
      <w:bookmarkStart w:id="5548" w:name="_Toc151272784"/>
      <w:bookmarkStart w:id="5549" w:name="_Toc153945309"/>
      <w:r>
        <w:t>Notice of Significant Event</w:t>
      </w:r>
      <w:bookmarkEnd w:id="5548"/>
      <w:bookmarkEnd w:id="5549"/>
    </w:p>
    <w:p w14:paraId="27F1068D" w14:textId="6FEE7AFE" w:rsidR="00C15C21" w:rsidRDefault="00710085" w:rsidP="00EF4D4D">
      <w:pPr>
        <w:pStyle w:val="SchedH3"/>
      </w:pPr>
      <w:bookmarkStart w:id="5550" w:name="_Ref151147558"/>
      <w:bookmarkStart w:id="5551" w:name="_Ref_ContractCompanion_9kb9Ur47B"/>
      <w:r>
        <w:t>Project Operator</w:t>
      </w:r>
      <w:r w:rsidR="00C15C21">
        <w:t xml:space="preserve"> must</w:t>
      </w:r>
      <w:r w:rsidR="009F7522">
        <w:t>,</w:t>
      </w:r>
      <w:r w:rsidR="00C15C21">
        <w:t xml:space="preserve"> </w:t>
      </w:r>
      <w:r w:rsidR="00595AF2">
        <w:t xml:space="preserve">as soon as reasonably practicable, and in any case within </w:t>
      </w:r>
      <w:r w:rsidR="00FD35AE">
        <w:t>one (</w:t>
      </w:r>
      <w:r w:rsidR="00595AF2">
        <w:t>1</w:t>
      </w:r>
      <w:r w:rsidR="00FD35AE">
        <w:t>)</w:t>
      </w:r>
      <w:r w:rsidR="00595AF2">
        <w:t xml:space="preserve"> Business Day after</w:t>
      </w:r>
      <w:r w:rsidR="00C15C21">
        <w:t xml:space="preserve"> becoming aware of a Significant Event in relation to </w:t>
      </w:r>
      <w:r>
        <w:t>Project Operator</w:t>
      </w:r>
      <w:r w:rsidR="00C15C21" w:rsidRPr="007909B9">
        <w:t xml:space="preserve"> or its </w:t>
      </w:r>
      <w:r w:rsidR="00D4097E" w:rsidRPr="00F75565">
        <w:t xml:space="preserve">officers, employees, </w:t>
      </w:r>
      <w:r w:rsidR="009C7B3B">
        <w:t>S</w:t>
      </w:r>
      <w:r w:rsidR="00D4097E" w:rsidRPr="00F75565">
        <w:t>ubcontractors or agents</w:t>
      </w:r>
      <w:r w:rsidR="00FD35AE">
        <w:t xml:space="preserve"> after the Signing Date</w:t>
      </w:r>
      <w:r w:rsidR="00C15C21" w:rsidRPr="007909B9">
        <w:t>,</w:t>
      </w:r>
      <w:r w:rsidR="00C15C21">
        <w:t xml:space="preserve"> notify the Commonwealth in writing, providing:</w:t>
      </w:r>
      <w:bookmarkEnd w:id="5550"/>
      <w:r w:rsidR="00C15C21">
        <w:t xml:space="preserve"> </w:t>
      </w:r>
      <w:bookmarkEnd w:id="5551"/>
    </w:p>
    <w:p w14:paraId="649514C1" w14:textId="77777777" w:rsidR="00C15C21" w:rsidRDefault="00C15C21" w:rsidP="000D3985">
      <w:pPr>
        <w:pStyle w:val="SchedH4"/>
      </w:pPr>
      <w:r>
        <w:t xml:space="preserve">a summary of the Significant Event, including the date or dates on which it occurred and the date on which </w:t>
      </w:r>
      <w:r w:rsidR="00710085">
        <w:t>Project Operator</w:t>
      </w:r>
      <w:r>
        <w:t xml:space="preserve"> became aware of it; and </w:t>
      </w:r>
    </w:p>
    <w:p w14:paraId="464A1F88" w14:textId="68C07AD2" w:rsidR="00C15C21" w:rsidRDefault="00C15C21" w:rsidP="000D3985">
      <w:pPr>
        <w:pStyle w:val="SchedH4"/>
      </w:pPr>
      <w:r>
        <w:t xml:space="preserve">details of the relevant </w:t>
      </w:r>
      <w:r w:rsidR="00595AF2">
        <w:t xml:space="preserve">entity </w:t>
      </w:r>
      <w:r>
        <w:t xml:space="preserve">and/or its </w:t>
      </w:r>
      <w:r w:rsidR="00D4097E" w:rsidRPr="00F75565">
        <w:t xml:space="preserve">officers, employees, </w:t>
      </w:r>
      <w:r w:rsidR="009C7B3B">
        <w:t>S</w:t>
      </w:r>
      <w:r w:rsidR="00D4097E" w:rsidRPr="00F75565">
        <w:t xml:space="preserve">ubcontractors or agents </w:t>
      </w:r>
      <w:r>
        <w:t>involved in the Significant Event</w:t>
      </w:r>
      <w:r w:rsidR="009F7522">
        <w:t xml:space="preserve"> and of any actions being taken by any person to address that Significant Event</w:t>
      </w:r>
      <w:r>
        <w:t>.</w:t>
      </w:r>
    </w:p>
    <w:p w14:paraId="24A88212" w14:textId="5F8EC073" w:rsidR="00C15C21" w:rsidRDefault="00C15C21" w:rsidP="00EF4D4D">
      <w:pPr>
        <w:pStyle w:val="SchedH3"/>
      </w:pPr>
      <w:bookmarkStart w:id="5552" w:name="_Ref151148097"/>
      <w:bookmarkStart w:id="5553" w:name="_Ref_ContractCompanion_9kb9Ur47D"/>
      <w:r w:rsidRPr="00DF22E1">
        <w:t xml:space="preserve">If, prior to </w:t>
      </w:r>
      <w:r w:rsidR="00710085">
        <w:t>Project Operator</w:t>
      </w:r>
      <w:r>
        <w:t xml:space="preserve"> </w:t>
      </w:r>
      <w:r w:rsidRPr="00DF22E1">
        <w:t xml:space="preserve">providing notice under </w:t>
      </w:r>
      <w:r>
        <w:t>section</w:t>
      </w:r>
      <w:r w:rsidRPr="00DF22E1">
        <w:t xml:space="preserve"> </w:t>
      </w:r>
      <w:r>
        <w:fldChar w:fldCharType="begin" w:fldLock="1"/>
      </w:r>
      <w:r>
        <w:instrText xml:space="preserve"> REF _Ref151147558 \w \h </w:instrText>
      </w:r>
      <w:r>
        <w:fldChar w:fldCharType="separate"/>
      </w:r>
      <w:r>
        <w:t>5.3(a)</w:t>
      </w:r>
      <w:r>
        <w:fldChar w:fldCharType="end"/>
      </w:r>
      <w:r>
        <w:t xml:space="preserve">, the Commonwealth notifies </w:t>
      </w:r>
      <w:r w:rsidR="00710085">
        <w:t>Project Operator</w:t>
      </w:r>
      <w:r>
        <w:t xml:space="preserve"> in writing </w:t>
      </w:r>
      <w:r w:rsidRPr="00DF22E1">
        <w:t xml:space="preserve">that an event </w:t>
      </w:r>
      <w:r>
        <w:t xml:space="preserve">or circumstance </w:t>
      </w:r>
      <w:r w:rsidRPr="00DF22E1">
        <w:t xml:space="preserve">is to be considered a Significant Event for the purposes of this </w:t>
      </w:r>
      <w:r>
        <w:t xml:space="preserve">section </w:t>
      </w:r>
      <w:r>
        <w:fldChar w:fldCharType="begin" w:fldLock="1"/>
      </w:r>
      <w:r>
        <w:instrText xml:space="preserve"> REF _Ref152526514 \w \h </w:instrText>
      </w:r>
      <w:r>
        <w:fldChar w:fldCharType="separate"/>
      </w:r>
      <w:r>
        <w:t>5</w:t>
      </w:r>
      <w:r>
        <w:fldChar w:fldCharType="end"/>
      </w:r>
      <w:r>
        <w:rPr>
          <w:b/>
          <w:bCs/>
        </w:rPr>
        <w:t xml:space="preserve">, </w:t>
      </w:r>
      <w:r w:rsidR="00710085">
        <w:t>Project Operator</w:t>
      </w:r>
      <w:r>
        <w:t xml:space="preserve"> must notify the Commonwealth in writing as if section </w:t>
      </w:r>
      <w:r>
        <w:fldChar w:fldCharType="begin" w:fldLock="1"/>
      </w:r>
      <w:r>
        <w:instrText xml:space="preserve"> REF _Ref151147558 \w \h </w:instrText>
      </w:r>
      <w:r w:rsidR="009E1640">
        <w:instrText xml:space="preserve"> \* MERGEFORMAT </w:instrText>
      </w:r>
      <w:r>
        <w:fldChar w:fldCharType="separate"/>
      </w:r>
      <w:r>
        <w:t>5.3(a)</w:t>
      </w:r>
      <w:r>
        <w:fldChar w:fldCharType="end"/>
      </w:r>
      <w:r>
        <w:t xml:space="preserve"> applied, within </w:t>
      </w:r>
      <w:r w:rsidR="00FD35AE">
        <w:t>one (</w:t>
      </w:r>
      <w:r w:rsidR="00595AF2">
        <w:t>1</w:t>
      </w:r>
      <w:r w:rsidR="00FD35AE">
        <w:t>)</w:t>
      </w:r>
      <w:r>
        <w:t xml:space="preserve"> Business Day after receiving the notice issued under this section </w:t>
      </w:r>
      <w:r>
        <w:fldChar w:fldCharType="begin" w:fldLock="1"/>
      </w:r>
      <w:r>
        <w:instrText xml:space="preserve"> REF _Ref151148097 \w \h </w:instrText>
      </w:r>
      <w:r w:rsidR="009E1640">
        <w:instrText xml:space="preserve"> \* MERGEFORMAT </w:instrText>
      </w:r>
      <w:r>
        <w:fldChar w:fldCharType="separate"/>
      </w:r>
      <w:r>
        <w:t>5.3(b)</w:t>
      </w:r>
      <w:r>
        <w:fldChar w:fldCharType="end"/>
      </w:r>
      <w:r>
        <w:t>.</w:t>
      </w:r>
      <w:bookmarkEnd w:id="5552"/>
      <w:bookmarkEnd w:id="5553"/>
    </w:p>
    <w:p w14:paraId="6F92A1F6" w14:textId="1C32EB0D" w:rsidR="00C15C21" w:rsidRDefault="00C15C21" w:rsidP="00EF4D4D">
      <w:pPr>
        <w:pStyle w:val="SchedH3"/>
      </w:pPr>
      <w:r>
        <w:t>Whe</w:t>
      </w:r>
      <w:r w:rsidR="009F7522">
        <w:t>n</w:t>
      </w:r>
      <w:r>
        <w:t xml:space="preserve"> reasonably requested by the Commonwealth, </w:t>
      </w:r>
      <w:r w:rsidR="00710085">
        <w:t>Project Operator</w:t>
      </w:r>
      <w:r>
        <w:t xml:space="preserve"> must, </w:t>
      </w:r>
      <w:r w:rsidR="00595AF2">
        <w:t xml:space="preserve">as soon as reasonably practicable and in any case </w:t>
      </w:r>
      <w:r>
        <w:t xml:space="preserve">within </w:t>
      </w:r>
      <w:r w:rsidR="00FD35AE">
        <w:t>three (</w:t>
      </w:r>
      <w:r>
        <w:t>3</w:t>
      </w:r>
      <w:r w:rsidR="00FD35AE">
        <w:t>)</w:t>
      </w:r>
      <w:r w:rsidR="00595AF2">
        <w:t> </w:t>
      </w:r>
      <w:r>
        <w:t xml:space="preserve">Business Days after the request, provide </w:t>
      </w:r>
      <w:r w:rsidR="009F7522">
        <w:t xml:space="preserve">to </w:t>
      </w:r>
      <w:r>
        <w:t xml:space="preserve">the Commonwealth additional information in writing regarding a Significant Event, to the extent that information is known by or reasonably available to </w:t>
      </w:r>
      <w:r w:rsidR="00710085">
        <w:t>Project Operator</w:t>
      </w:r>
      <w:r>
        <w:t>.</w:t>
      </w:r>
    </w:p>
    <w:p w14:paraId="675C47C3" w14:textId="77777777" w:rsidR="00C15C21" w:rsidRDefault="00C15C21" w:rsidP="00EF4D4D">
      <w:pPr>
        <w:pStyle w:val="SchedH2"/>
      </w:pPr>
      <w:bookmarkStart w:id="5554" w:name="_Toc151272785"/>
      <w:bookmarkStart w:id="5555" w:name="_Ref153778206"/>
      <w:bookmarkStart w:id="5556" w:name="_Toc153945310"/>
      <w:bookmarkStart w:id="5557" w:name="_Ref167311593"/>
      <w:r>
        <w:t>Commonwealth response to a Significant Event</w:t>
      </w:r>
      <w:bookmarkEnd w:id="5554"/>
      <w:bookmarkEnd w:id="5555"/>
      <w:bookmarkEnd w:id="5556"/>
      <w:bookmarkEnd w:id="5557"/>
    </w:p>
    <w:p w14:paraId="5A39E52C" w14:textId="3022DBD7" w:rsidR="00C15C21" w:rsidRPr="00DF22E1" w:rsidRDefault="00C15C21" w:rsidP="003E5DAD">
      <w:pPr>
        <w:pStyle w:val="SchedH3"/>
        <w:keepNext/>
        <w:numPr>
          <w:ilvl w:val="0"/>
          <w:numId w:val="0"/>
        </w:numPr>
        <w:ind w:left="737"/>
      </w:pPr>
      <w:bookmarkStart w:id="5558" w:name="_Ref135736150"/>
      <w:r w:rsidRPr="00DF22E1">
        <w:t xml:space="preserve">If </w:t>
      </w:r>
      <w:r>
        <w:t>the Commonwealth</w:t>
      </w:r>
      <w:r w:rsidRPr="00DF22E1">
        <w:t xml:space="preserve"> is notified of a Significant Event </w:t>
      </w:r>
      <w:r>
        <w:t>pursuant to section</w:t>
      </w:r>
      <w:r w:rsidR="000A60E2">
        <w:t> </w:t>
      </w:r>
      <w:r w:rsidR="00246483">
        <w:fldChar w:fldCharType="begin" w:fldLock="1"/>
      </w:r>
      <w:r w:rsidR="00246483">
        <w:instrText xml:space="preserve"> REF _Ref151147558 \w \h  \* MERGEFORMAT </w:instrText>
      </w:r>
      <w:r w:rsidR="00246483">
        <w:fldChar w:fldCharType="separate"/>
      </w:r>
      <w:r w:rsidR="00246483">
        <w:t>5.3(a)</w:t>
      </w:r>
      <w:r w:rsidR="00246483">
        <w:fldChar w:fldCharType="end"/>
      </w:r>
      <w:r w:rsidRPr="00DF22E1">
        <w:t xml:space="preserve"> or notifies </w:t>
      </w:r>
      <w:r w:rsidR="00710085">
        <w:t>Project Operator</w:t>
      </w:r>
      <w:r w:rsidRPr="00DF22E1">
        <w:t xml:space="preserve"> of a </w:t>
      </w:r>
      <w:r>
        <w:t>Significant Event</w:t>
      </w:r>
      <w:r w:rsidRPr="00DF22E1">
        <w:t xml:space="preserve"> </w:t>
      </w:r>
      <w:r>
        <w:t xml:space="preserve">pursuant to section </w:t>
      </w:r>
      <w:r w:rsidR="00CB2F66">
        <w:fldChar w:fldCharType="begin" w:fldLock="1"/>
      </w:r>
      <w:r w:rsidR="00CB2F66">
        <w:instrText xml:space="preserve"> REF _Ref151148097 \w \h  \* MERGEFORMAT </w:instrText>
      </w:r>
      <w:r w:rsidR="00CB2F66">
        <w:fldChar w:fldCharType="separate"/>
      </w:r>
      <w:r w:rsidR="00CB2F66">
        <w:t>5.3(b)</w:t>
      </w:r>
      <w:r w:rsidR="00CB2F66">
        <w:fldChar w:fldCharType="end"/>
      </w:r>
      <w:r>
        <w:t>, the Commonwealth may</w:t>
      </w:r>
      <w:r w:rsidRPr="00DF22E1">
        <w:t>:</w:t>
      </w:r>
    </w:p>
    <w:p w14:paraId="7A19A0F2" w14:textId="77777777" w:rsidR="00C15C21" w:rsidRPr="00F85900" w:rsidRDefault="00C15C21" w:rsidP="00EF4D4D">
      <w:pPr>
        <w:pStyle w:val="SchedH3"/>
      </w:pPr>
      <w:r w:rsidRPr="00F85900">
        <w:t xml:space="preserve">notify </w:t>
      </w:r>
      <w:r w:rsidR="00710085">
        <w:t>Project Operator</w:t>
      </w:r>
      <w:r w:rsidRPr="00F85900">
        <w:t xml:space="preserve"> that no further action in relation to the Significant Event is required;</w:t>
      </w:r>
    </w:p>
    <w:p w14:paraId="44406D8F" w14:textId="77777777" w:rsidR="00C15C21" w:rsidRPr="00F85900" w:rsidRDefault="00C15C21" w:rsidP="00EF4D4D">
      <w:pPr>
        <w:pStyle w:val="SchedH3"/>
      </w:pPr>
      <w:bookmarkStart w:id="5559" w:name="_Ref136003339"/>
      <w:r>
        <w:t xml:space="preserve">request </w:t>
      </w:r>
      <w:r w:rsidR="00710085">
        <w:t>Project Operator</w:t>
      </w:r>
      <w:r w:rsidRPr="00F85900">
        <w:t xml:space="preserve"> </w:t>
      </w:r>
      <w:r>
        <w:t>to submit</w:t>
      </w:r>
      <w:r w:rsidRPr="00F85900">
        <w:t xml:space="preserve"> a remediation plan </w:t>
      </w:r>
      <w:r>
        <w:t>to the Commonwealth</w:t>
      </w:r>
      <w:r w:rsidRPr="00F85900">
        <w:t>; or</w:t>
      </w:r>
      <w:bookmarkEnd w:id="5559"/>
    </w:p>
    <w:p w14:paraId="76B7D459" w14:textId="28F401B4" w:rsidR="00C15C21" w:rsidRPr="007F0E84" w:rsidRDefault="00C15C21" w:rsidP="00EF4D4D">
      <w:pPr>
        <w:pStyle w:val="SchedH3"/>
      </w:pPr>
      <w:bookmarkStart w:id="5560" w:name="_Ref153778211"/>
      <w:r w:rsidRPr="00341C42">
        <w:t xml:space="preserve">acting reasonably, determine that the Significant Event is of such a serious or significant nature that it is not appropriate in the circumstances for </w:t>
      </w:r>
      <w:r w:rsidR="00710085">
        <w:t>Project Operator</w:t>
      </w:r>
      <w:r>
        <w:t xml:space="preserve"> </w:t>
      </w:r>
      <w:r w:rsidRPr="00341C42">
        <w:t>to</w:t>
      </w:r>
      <w:r>
        <w:t xml:space="preserve"> continue as a party to this </w:t>
      </w:r>
      <w:r w:rsidR="00710085">
        <w:t>agreement</w:t>
      </w:r>
      <w:r w:rsidRPr="00341C42">
        <w:t xml:space="preserve">, in which case </w:t>
      </w:r>
      <w:r>
        <w:t xml:space="preserve">the Commonwealth </w:t>
      </w:r>
      <w:r w:rsidRPr="00341C42">
        <w:t xml:space="preserve">may terminate </w:t>
      </w:r>
      <w:r>
        <w:t xml:space="preserve">this </w:t>
      </w:r>
      <w:r w:rsidR="00710085">
        <w:t>agreement</w:t>
      </w:r>
      <w:r>
        <w:t xml:space="preserve"> in accordance with </w:t>
      </w:r>
      <w:r w:rsidR="003E3F57">
        <w:t xml:space="preserve">paragraph </w:t>
      </w:r>
      <w:r w:rsidR="00856C10">
        <w:fldChar w:fldCharType="begin"/>
      </w:r>
      <w:r w:rsidR="00856C10">
        <w:instrText xml:space="preserve"> REF _Ref165017616 \r \h </w:instrText>
      </w:r>
      <w:r w:rsidR="00856C10">
        <w:fldChar w:fldCharType="separate"/>
      </w:r>
      <w:r w:rsidR="002E5C6A">
        <w:t>22.3(q)</w:t>
      </w:r>
      <w:r w:rsidR="00856C10">
        <w:fldChar w:fldCharType="end"/>
      </w:r>
      <w:r w:rsidR="00607644">
        <w:t xml:space="preserve"> (“</w:t>
      </w:r>
      <w:r w:rsidR="00607644">
        <w:fldChar w:fldCharType="begin"/>
      </w:r>
      <w:r w:rsidR="00607644">
        <w:instrText xml:space="preserve">  REF _Ref159420790 \h </w:instrText>
      </w:r>
      <w:r w:rsidR="00607644">
        <w:fldChar w:fldCharType="separate"/>
      </w:r>
      <w:r w:rsidR="002E5C6A" w:rsidRPr="00847C21">
        <w:t>Termination by the Commonwealth for default</w:t>
      </w:r>
      <w:r w:rsidR="00607644">
        <w:fldChar w:fldCharType="end"/>
      </w:r>
      <w:r w:rsidR="00607644">
        <w:t>”)</w:t>
      </w:r>
      <w:r w:rsidRPr="00EA5FCF">
        <w:t>.</w:t>
      </w:r>
      <w:bookmarkEnd w:id="5560"/>
      <w:r>
        <w:t xml:space="preserve"> </w:t>
      </w:r>
    </w:p>
    <w:p w14:paraId="055A4C87" w14:textId="77777777" w:rsidR="00C15C21" w:rsidRDefault="00C15C21" w:rsidP="00EF4D4D">
      <w:pPr>
        <w:pStyle w:val="SchedH2"/>
      </w:pPr>
      <w:bookmarkStart w:id="5561" w:name="_Ref151149310"/>
      <w:bookmarkStart w:id="5562" w:name="_Toc151272786"/>
      <w:bookmarkStart w:id="5563" w:name="_Toc153945311"/>
      <w:bookmarkStart w:id="5564" w:name="_Ref_ContractCompanion_9kb9Ur377"/>
      <w:bookmarkStart w:id="5565" w:name="_Ref139382575"/>
      <w:r>
        <w:t>Remediation plan</w:t>
      </w:r>
      <w:bookmarkEnd w:id="5561"/>
      <w:bookmarkEnd w:id="5562"/>
      <w:bookmarkEnd w:id="5563"/>
      <w:bookmarkEnd w:id="5564"/>
    </w:p>
    <w:p w14:paraId="7436839F" w14:textId="77777777" w:rsidR="00C15C21" w:rsidRPr="00890EF1" w:rsidRDefault="00C15C21" w:rsidP="00EF4D4D">
      <w:pPr>
        <w:pStyle w:val="SchedH3"/>
      </w:pPr>
      <w:bookmarkStart w:id="5566" w:name="_Ref151148923"/>
      <w:bookmarkStart w:id="5567" w:name="_Ref_ContractCompanion_9kb9Ur486"/>
      <w:r w:rsidRPr="00890EF1">
        <w:t xml:space="preserve">If </w:t>
      </w:r>
      <w:r>
        <w:t xml:space="preserve">notified </w:t>
      </w:r>
      <w:r w:rsidRPr="00890EF1">
        <w:t xml:space="preserve">by </w:t>
      </w:r>
      <w:r>
        <w:t xml:space="preserve">the Commonwealth pursuant to section </w:t>
      </w:r>
      <w:r>
        <w:fldChar w:fldCharType="begin" w:fldLock="1"/>
      </w:r>
      <w:r>
        <w:instrText xml:space="preserve"> REF _Ref136003339 \w \h </w:instrText>
      </w:r>
      <w:r w:rsidR="00EF4D4D">
        <w:instrText xml:space="preserve"> \* MERGEFORMAT </w:instrText>
      </w:r>
      <w:r>
        <w:fldChar w:fldCharType="separate"/>
      </w:r>
      <w:r>
        <w:t>5.4(b)</w:t>
      </w:r>
      <w:r>
        <w:fldChar w:fldCharType="end"/>
      </w:r>
      <w:r w:rsidRPr="00890EF1">
        <w:t xml:space="preserve">, </w:t>
      </w:r>
      <w:r w:rsidR="00710085">
        <w:t>Project Operator</w:t>
      </w:r>
      <w:r w:rsidRPr="00890EF1">
        <w:t xml:space="preserve"> must prepare a draft remediation plan and submit that draft plan to the </w:t>
      </w:r>
      <w:r>
        <w:t>Commonwealth</w:t>
      </w:r>
      <w:r w:rsidRPr="00890EF1">
        <w:t xml:space="preserve"> for approval within 10 Business Days </w:t>
      </w:r>
      <w:r>
        <w:t xml:space="preserve">after receipt </w:t>
      </w:r>
      <w:r w:rsidRPr="00890EF1">
        <w:t xml:space="preserve">of </w:t>
      </w:r>
      <w:r>
        <w:t xml:space="preserve">that </w:t>
      </w:r>
      <w:r w:rsidRPr="00890EF1">
        <w:t>request.</w:t>
      </w:r>
      <w:bookmarkEnd w:id="5558"/>
      <w:bookmarkEnd w:id="5565"/>
      <w:bookmarkEnd w:id="5566"/>
      <w:bookmarkEnd w:id="5567"/>
    </w:p>
    <w:p w14:paraId="6A646DE2" w14:textId="4E91B1C6" w:rsidR="00C15C21" w:rsidRPr="00890EF1" w:rsidRDefault="00C15C21" w:rsidP="00EF4D4D">
      <w:pPr>
        <w:pStyle w:val="SchedH3"/>
      </w:pPr>
      <w:r w:rsidRPr="00890EF1">
        <w:t xml:space="preserve">A draft remediation plan prepared by </w:t>
      </w:r>
      <w:r w:rsidR="00710085">
        <w:t>Project Operator</w:t>
      </w:r>
      <w:r w:rsidRPr="00890EF1">
        <w:t xml:space="preserve"> under </w:t>
      </w:r>
      <w:r>
        <w:t>section</w:t>
      </w:r>
      <w:r w:rsidR="00595AF2">
        <w:t> </w:t>
      </w:r>
      <w:r w:rsidR="00EF6FF8">
        <w:fldChar w:fldCharType="begin"/>
      </w:r>
      <w:r w:rsidR="00EF6FF8">
        <w:instrText xml:space="preserve"> REF _Ref_ContractCompanion_9kb9Ur486 \w \h \t \* MERGEFORMAT </w:instrText>
      </w:r>
      <w:r w:rsidR="00EF6FF8">
        <w:fldChar w:fldCharType="separate"/>
      </w:r>
      <w:r w:rsidR="002E5C6A">
        <w:t>65.5(a)</w:t>
      </w:r>
      <w:r w:rsidR="00EF6FF8">
        <w:fldChar w:fldCharType="end"/>
      </w:r>
      <w:r w:rsidRPr="00890EF1">
        <w:t xml:space="preserve"> must include the following information:</w:t>
      </w:r>
    </w:p>
    <w:p w14:paraId="29D87283" w14:textId="6EFC3CD4" w:rsidR="00C15C21" w:rsidRPr="001D2AC3" w:rsidRDefault="00A8413C" w:rsidP="00EF4D4D">
      <w:pPr>
        <w:pStyle w:val="SchedH4"/>
      </w:pPr>
      <w:r>
        <w:t>h</w:t>
      </w:r>
      <w:r w:rsidR="00C15C21" w:rsidRPr="001D2AC3">
        <w:t>ow</w:t>
      </w:r>
      <w:r w:rsidR="00595AF2">
        <w:t>,</w:t>
      </w:r>
      <w:r w:rsidR="00C15C21" w:rsidRPr="001D2AC3">
        <w:t xml:space="preserve"> </w:t>
      </w:r>
      <w:r w:rsidR="00C15C21">
        <w:t>and the timeframe within which</w:t>
      </w:r>
      <w:r w:rsidR="00595AF2">
        <w:t>,</w:t>
      </w:r>
      <w:r w:rsidR="00C15C21">
        <w:t xml:space="preserve"> </w:t>
      </w:r>
      <w:r w:rsidR="00710085">
        <w:t>Project Operator</w:t>
      </w:r>
      <w:r w:rsidR="00C15C21" w:rsidRPr="001D2AC3">
        <w:t xml:space="preserve"> will address the Significant Event in the context of </w:t>
      </w:r>
      <w:r w:rsidR="00C15C21">
        <w:t xml:space="preserve">this </w:t>
      </w:r>
      <w:r w:rsidR="00710085">
        <w:t>agreement</w:t>
      </w:r>
      <w:r w:rsidR="00C15C21">
        <w:t xml:space="preserve"> and the Project,</w:t>
      </w:r>
      <w:r w:rsidR="00C15C21" w:rsidRPr="001D2AC3">
        <w:t xml:space="preserve"> including confirmation that the implementation of the remediation plan will not </w:t>
      </w:r>
      <w:r w:rsidR="00595AF2">
        <w:t>have</w:t>
      </w:r>
      <w:r w:rsidR="00595AF2" w:rsidRPr="001D2AC3">
        <w:t xml:space="preserve"> </w:t>
      </w:r>
      <w:r w:rsidR="00C15C21" w:rsidRPr="001D2AC3">
        <w:t xml:space="preserve">any </w:t>
      </w:r>
      <w:r w:rsidR="00595AF2">
        <w:t>adverse</w:t>
      </w:r>
      <w:r w:rsidR="00595AF2" w:rsidRPr="001D2AC3">
        <w:t xml:space="preserve"> </w:t>
      </w:r>
      <w:r w:rsidR="00C15C21" w:rsidRPr="001D2AC3">
        <w:t xml:space="preserve">impact </w:t>
      </w:r>
      <w:r w:rsidR="00595AF2">
        <w:t xml:space="preserve">on the performance of </w:t>
      </w:r>
      <w:r w:rsidR="00C15C21">
        <w:t xml:space="preserve">this </w:t>
      </w:r>
      <w:r w:rsidR="00710085">
        <w:t>agreement</w:t>
      </w:r>
      <w:r w:rsidR="00C15C21">
        <w:t xml:space="preserve"> or the Project </w:t>
      </w:r>
      <w:r w:rsidR="00C15C21" w:rsidRPr="001D2AC3">
        <w:t xml:space="preserve">or compliance by </w:t>
      </w:r>
      <w:r w:rsidR="00710085">
        <w:t>Project Operator</w:t>
      </w:r>
      <w:r w:rsidR="00C15C21" w:rsidRPr="001D2AC3">
        <w:t xml:space="preserve"> with its other obligations under </w:t>
      </w:r>
      <w:r w:rsidR="00C15C21">
        <w:t xml:space="preserve">this </w:t>
      </w:r>
      <w:r w:rsidR="00710085">
        <w:t>agreement</w:t>
      </w:r>
      <w:r w:rsidR="00C15C21">
        <w:t xml:space="preserve"> or otherwise at Law; </w:t>
      </w:r>
    </w:p>
    <w:p w14:paraId="6FADC548" w14:textId="77777777" w:rsidR="00C15C21" w:rsidRPr="001D2AC3" w:rsidRDefault="00C15C21" w:rsidP="00EF4D4D">
      <w:pPr>
        <w:pStyle w:val="SchedH4"/>
      </w:pPr>
      <w:r w:rsidRPr="001D2AC3">
        <w:t xml:space="preserve">how </w:t>
      </w:r>
      <w:r w:rsidR="00710085">
        <w:t>Project Operator</w:t>
      </w:r>
      <w:r w:rsidRPr="001D2AC3">
        <w:t xml:space="preserve"> will ensure </w:t>
      </w:r>
      <w:r w:rsidR="009F7522">
        <w:t xml:space="preserve">that </w:t>
      </w:r>
      <w:r w:rsidRPr="001D2AC3">
        <w:t xml:space="preserve">events </w:t>
      </w:r>
      <w:r>
        <w:t xml:space="preserve">or circumstances </w:t>
      </w:r>
      <w:r w:rsidRPr="001D2AC3">
        <w:t>similar to the Significant Event do not occur again; and</w:t>
      </w:r>
    </w:p>
    <w:p w14:paraId="7876561C" w14:textId="77777777" w:rsidR="00C15C21" w:rsidRPr="001D2AC3" w:rsidRDefault="00C15C21" w:rsidP="00EF4D4D">
      <w:pPr>
        <w:pStyle w:val="SchedH4"/>
      </w:pPr>
      <w:r w:rsidRPr="001D2AC3">
        <w:t xml:space="preserve">any other matter reasonably requested by </w:t>
      </w:r>
      <w:r>
        <w:t>the Commonwealth</w:t>
      </w:r>
      <w:r w:rsidRPr="001D2AC3">
        <w:t>.</w:t>
      </w:r>
    </w:p>
    <w:p w14:paraId="6ED27338" w14:textId="77777777" w:rsidR="00C15C21" w:rsidRPr="00890EF1" w:rsidRDefault="00C15C21" w:rsidP="00EF4D4D">
      <w:pPr>
        <w:pStyle w:val="SchedH3"/>
      </w:pPr>
      <w:bookmarkStart w:id="5568" w:name="_Ref136003495"/>
      <w:bookmarkStart w:id="5569" w:name="_Ref_ContractCompanion_9kb9Ur379"/>
      <w:bookmarkStart w:id="5570" w:name="_Ref135736218"/>
      <w:r>
        <w:t>The Commonwealth</w:t>
      </w:r>
      <w:r w:rsidRPr="00890EF1">
        <w:t xml:space="preserve"> must review the draft remediation plan and may:</w:t>
      </w:r>
      <w:bookmarkEnd w:id="5568"/>
      <w:bookmarkEnd w:id="5569"/>
    </w:p>
    <w:p w14:paraId="1A9B1FB6" w14:textId="77777777" w:rsidR="00C15C21" w:rsidRPr="007D2AE9" w:rsidRDefault="00C15C21" w:rsidP="00EF4D4D">
      <w:pPr>
        <w:pStyle w:val="SchedH4"/>
      </w:pPr>
      <w:bookmarkStart w:id="5571" w:name="_Ref136009259"/>
      <w:r w:rsidRPr="007D2AE9">
        <w:t>approve the draft remediation plan;</w:t>
      </w:r>
      <w:bookmarkEnd w:id="5571"/>
      <w:r w:rsidRPr="007D2AE9">
        <w:t xml:space="preserve"> </w:t>
      </w:r>
    </w:p>
    <w:p w14:paraId="4C1C400A" w14:textId="77777777" w:rsidR="00C15C21" w:rsidRPr="007D2AE9" w:rsidRDefault="00C15C21" w:rsidP="00EF4D4D">
      <w:pPr>
        <w:pStyle w:val="SchedH4"/>
      </w:pPr>
      <w:r w:rsidRPr="007D2AE9">
        <w:t xml:space="preserve">notify </w:t>
      </w:r>
      <w:r w:rsidR="00710085">
        <w:t>Project Operator</w:t>
      </w:r>
      <w:r w:rsidRPr="007D2AE9">
        <w:t xml:space="preserve"> of the details of any changes that </w:t>
      </w:r>
      <w:r>
        <w:t>the Commonwealth</w:t>
      </w:r>
      <w:r w:rsidRPr="007D2AE9">
        <w:t xml:space="preserve"> considers are </w:t>
      </w:r>
      <w:r>
        <w:t xml:space="preserve">reasonably </w:t>
      </w:r>
      <w:r w:rsidRPr="007D2AE9">
        <w:t>required to the draft remediation plan; or</w:t>
      </w:r>
    </w:p>
    <w:p w14:paraId="72D19EF0" w14:textId="73DA7AF6" w:rsidR="00C15C21" w:rsidRPr="007F0E84" w:rsidRDefault="00C15C21" w:rsidP="00C03CFE">
      <w:pPr>
        <w:pStyle w:val="SchedH4"/>
      </w:pPr>
      <w:bookmarkStart w:id="5572" w:name="_Ref153778223"/>
      <w:r w:rsidRPr="007D2AE9">
        <w:t xml:space="preserve">reject the draft remediation plan if </w:t>
      </w:r>
      <w:r>
        <w:t>the Commonwealth</w:t>
      </w:r>
      <w:r w:rsidRPr="007D2AE9">
        <w:t>, acting reasonably, considers that the draft remediation plan is unsatisfactory having regard to the nature of the Significant Event and the likelihood that the draft remediation plan could address the matters raised by the Significant Event</w:t>
      </w:r>
      <w:r>
        <w:t xml:space="preserve">. If this applies, the Commonwealth </w:t>
      </w:r>
      <w:r w:rsidRPr="007D2AE9">
        <w:t xml:space="preserve">will notify </w:t>
      </w:r>
      <w:r w:rsidR="00710085">
        <w:t>Project Operator</w:t>
      </w:r>
      <w:r>
        <w:t xml:space="preserve"> in writing of that fact</w:t>
      </w:r>
      <w:r w:rsidRPr="007D2AE9">
        <w:t xml:space="preserve">, and </w:t>
      </w:r>
      <w:r>
        <w:t xml:space="preserve">that </w:t>
      </w:r>
      <w:r w:rsidRPr="007D2AE9">
        <w:t xml:space="preserve">the failure to provide a satisfactory remediation plan will be </w:t>
      </w:r>
      <w:r w:rsidR="000E48FD">
        <w:t xml:space="preserve">a failure to comply in a material respect with an obligation </w:t>
      </w:r>
      <w:r w:rsidR="000E48FD" w:rsidRPr="000E48FD">
        <w:t>under</w:t>
      </w:r>
      <w:r w:rsidR="000E48FD">
        <w:t xml:space="preserve"> this agreement</w:t>
      </w:r>
      <w:r w:rsidR="0022514D">
        <w:t xml:space="preserve"> </w:t>
      </w:r>
      <w:r w:rsidRPr="00341C42">
        <w:t xml:space="preserve">for the purposes of </w:t>
      </w:r>
      <w:r>
        <w:t xml:space="preserve">clause </w:t>
      </w:r>
      <w:r w:rsidR="00B11061">
        <w:fldChar w:fldCharType="begin"/>
      </w:r>
      <w:r w:rsidR="00B11061">
        <w:instrText xml:space="preserve"> REF _Ref166078687 \r \h </w:instrText>
      </w:r>
      <w:r w:rsidR="00B11061">
        <w:fldChar w:fldCharType="separate"/>
      </w:r>
      <w:r w:rsidR="002E5C6A">
        <w:t>22.3(b)</w:t>
      </w:r>
      <w:r w:rsidR="00B11061">
        <w:fldChar w:fldCharType="end"/>
      </w:r>
      <w:r w:rsidR="00607644">
        <w:t xml:space="preserve"> (“</w:t>
      </w:r>
      <w:r w:rsidR="002D6A97" w:rsidRPr="004A08A1">
        <w:fldChar w:fldCharType="begin"/>
      </w:r>
      <w:r w:rsidR="002D6A97" w:rsidRPr="004A08A1">
        <w:instrText xml:space="preserve"> REF _Ref159420790 \h </w:instrText>
      </w:r>
      <w:r w:rsidR="004A08A1">
        <w:instrText xml:space="preserve"> \* MERGEFORMAT </w:instrText>
      </w:r>
      <w:r w:rsidR="002D6A97" w:rsidRPr="004A08A1">
        <w:fldChar w:fldCharType="separate"/>
      </w:r>
      <w:r w:rsidR="002E5C6A" w:rsidRPr="00847C21">
        <w:t>Termination by the Commonwealth for default</w:t>
      </w:r>
      <w:r w:rsidR="002D6A97" w:rsidRPr="004A08A1">
        <w:fldChar w:fldCharType="end"/>
      </w:r>
      <w:r w:rsidR="00607644">
        <w:t>”)</w:t>
      </w:r>
      <w:r>
        <w:t>.</w:t>
      </w:r>
      <w:bookmarkEnd w:id="5572"/>
      <w:r>
        <w:t xml:space="preserve"> </w:t>
      </w:r>
    </w:p>
    <w:p w14:paraId="6ECB5F30" w14:textId="78F14B3B" w:rsidR="00C15C21" w:rsidRDefault="00710085" w:rsidP="00EF4D4D">
      <w:pPr>
        <w:pStyle w:val="SchedH3"/>
      </w:pPr>
      <w:bookmarkStart w:id="5573" w:name="_Ref153840670"/>
      <w:bookmarkStart w:id="5574" w:name="_Ref_ContractCompanion_9kb9Ur488"/>
      <w:bookmarkStart w:id="5575" w:name="_Ref136003521"/>
      <w:bookmarkEnd w:id="5570"/>
      <w:r>
        <w:t>Project Operator</w:t>
      </w:r>
      <w:r w:rsidR="00C15C21" w:rsidRPr="00890EF1">
        <w:t xml:space="preserve"> must make any changes to the draft remediation plan reasonably requested by </w:t>
      </w:r>
      <w:r w:rsidR="00C15C21">
        <w:t>the Commonwealth</w:t>
      </w:r>
      <w:r w:rsidR="00C15C21" w:rsidRPr="00890EF1">
        <w:t xml:space="preserve"> and resubmit the draft remediation plan to </w:t>
      </w:r>
      <w:r w:rsidR="00C15C21">
        <w:t>the Commonwealth</w:t>
      </w:r>
      <w:r w:rsidR="00C15C21" w:rsidRPr="00890EF1">
        <w:t xml:space="preserve"> for approval </w:t>
      </w:r>
      <w:r w:rsidR="00595AF2">
        <w:t xml:space="preserve">as soon as reasonably practicable and in any case </w:t>
      </w:r>
      <w:r w:rsidR="00C15C21" w:rsidRPr="00890EF1">
        <w:t xml:space="preserve">within </w:t>
      </w:r>
      <w:r w:rsidR="00E557C5">
        <w:t>three (</w:t>
      </w:r>
      <w:r w:rsidR="00C15C21" w:rsidRPr="00890EF1">
        <w:t>3</w:t>
      </w:r>
      <w:r w:rsidR="00E557C5">
        <w:t>)</w:t>
      </w:r>
      <w:r w:rsidR="00C15C21" w:rsidRPr="00890EF1">
        <w:t xml:space="preserve"> Business Days </w:t>
      </w:r>
      <w:r w:rsidR="00C15C21">
        <w:t>after</w:t>
      </w:r>
      <w:r w:rsidR="00C15C21" w:rsidRPr="00890EF1">
        <w:t xml:space="preserve"> the request unless</w:t>
      </w:r>
      <w:r w:rsidR="00C15C21">
        <w:t xml:space="preserve"> otherwise agreed in writing by the Commonwealth.</w:t>
      </w:r>
      <w:r w:rsidR="00CF0863">
        <w:t xml:space="preserve"> </w:t>
      </w:r>
      <w:r w:rsidR="00C15C21" w:rsidRPr="00890EF1">
        <w:t xml:space="preserve">This </w:t>
      </w:r>
      <w:r w:rsidR="00C15C21">
        <w:t xml:space="preserve">section </w:t>
      </w:r>
      <w:r w:rsidR="00CB2F66">
        <w:fldChar w:fldCharType="begin"/>
      </w:r>
      <w:r w:rsidR="00CB2F66">
        <w:instrText xml:space="preserve"> REF _Ref151149310 \r \h </w:instrText>
      </w:r>
      <w:r w:rsidR="00CB2F66">
        <w:fldChar w:fldCharType="separate"/>
      </w:r>
      <w:r w:rsidR="002E5C6A">
        <w:t>5.5</w:t>
      </w:r>
      <w:r w:rsidR="00CB2F66">
        <w:fldChar w:fldCharType="end"/>
      </w:r>
      <w:r w:rsidR="00CB2F66">
        <w:fldChar w:fldCharType="begin"/>
      </w:r>
      <w:r w:rsidR="00CB2F66">
        <w:instrText xml:space="preserve"> REF _Ref153840670 \r \h </w:instrText>
      </w:r>
      <w:r w:rsidR="00CB2F66">
        <w:fldChar w:fldCharType="separate"/>
      </w:r>
      <w:r w:rsidR="002E5C6A">
        <w:t>(d)</w:t>
      </w:r>
      <w:r w:rsidR="00CB2F66">
        <w:fldChar w:fldCharType="end"/>
      </w:r>
      <w:r w:rsidR="00C15C21" w:rsidRPr="00890EF1">
        <w:t xml:space="preserve"> will </w:t>
      </w:r>
      <w:r w:rsidR="00C15C21">
        <w:t xml:space="preserve">also </w:t>
      </w:r>
      <w:r w:rsidR="00C15C21" w:rsidRPr="00890EF1">
        <w:t>apply to any resubmitted draft remediation plan</w:t>
      </w:r>
      <w:r w:rsidR="00FD35AE">
        <w:t xml:space="preserve"> that is the subject of</w:t>
      </w:r>
      <w:r w:rsidR="00E557C5">
        <w:t xml:space="preserve"> subparagraph</w:t>
      </w:r>
      <w:r w:rsidR="00FD35AE">
        <w:t xml:space="preserve"> </w:t>
      </w:r>
      <w:r w:rsidR="003E35B3">
        <w:fldChar w:fldCharType="begin"/>
      </w:r>
      <w:r w:rsidR="003E35B3">
        <w:instrText xml:space="preserve"> REF _Ref151149310 \r \h </w:instrText>
      </w:r>
      <w:r w:rsidR="003E35B3">
        <w:fldChar w:fldCharType="separate"/>
      </w:r>
      <w:r w:rsidR="002E5C6A">
        <w:t>5.5</w:t>
      </w:r>
      <w:r w:rsidR="003E35B3">
        <w:fldChar w:fldCharType="end"/>
      </w:r>
      <w:r w:rsidR="003E35B3">
        <w:fldChar w:fldCharType="begin"/>
      </w:r>
      <w:r w:rsidR="003E35B3">
        <w:instrText xml:space="preserve"> REF _Ref177061823 \r \h </w:instrText>
      </w:r>
      <w:r w:rsidR="003E35B3">
        <w:fldChar w:fldCharType="separate"/>
      </w:r>
      <w:r w:rsidR="002E5C6A">
        <w:t>(e)(ii)</w:t>
      </w:r>
      <w:r w:rsidR="003E35B3">
        <w:fldChar w:fldCharType="end"/>
      </w:r>
      <w:r w:rsidR="00C15C21" w:rsidRPr="00890EF1">
        <w:t>.</w:t>
      </w:r>
      <w:bookmarkEnd w:id="5573"/>
      <w:bookmarkEnd w:id="5574"/>
    </w:p>
    <w:p w14:paraId="0B0F93FA" w14:textId="5DB68514" w:rsidR="00C15C21" w:rsidRPr="00890EF1" w:rsidRDefault="00C15C21" w:rsidP="00EF4D4D">
      <w:pPr>
        <w:pStyle w:val="SchedH3"/>
      </w:pPr>
      <w:r>
        <w:t xml:space="preserve">The Commonwealth </w:t>
      </w:r>
      <w:r w:rsidRPr="00890EF1">
        <w:t xml:space="preserve">must review the resubmitted </w:t>
      </w:r>
      <w:r w:rsidR="00FD35AE">
        <w:t xml:space="preserve">draft </w:t>
      </w:r>
      <w:r w:rsidRPr="00890EF1">
        <w:t>remediation plan and may:</w:t>
      </w:r>
      <w:bookmarkEnd w:id="5575"/>
      <w:r w:rsidRPr="00890EF1">
        <w:t xml:space="preserve"> </w:t>
      </w:r>
    </w:p>
    <w:p w14:paraId="6FAC81B5" w14:textId="43930044" w:rsidR="00C15C21" w:rsidRPr="007D2AE9" w:rsidRDefault="00C15C21" w:rsidP="00EF4D4D">
      <w:pPr>
        <w:pStyle w:val="SchedH4"/>
      </w:pPr>
      <w:r w:rsidRPr="007D2AE9">
        <w:t xml:space="preserve">approve the </w:t>
      </w:r>
      <w:r w:rsidR="00FD35AE">
        <w:t xml:space="preserve">resubmitted </w:t>
      </w:r>
      <w:r w:rsidRPr="007D2AE9">
        <w:t xml:space="preserve">draft remediation plan; </w:t>
      </w:r>
    </w:p>
    <w:p w14:paraId="47F8FD2E" w14:textId="69168930" w:rsidR="00C15C21" w:rsidRPr="007D2AE9" w:rsidRDefault="00C15C21" w:rsidP="00EF4D4D">
      <w:pPr>
        <w:pStyle w:val="SchedH4"/>
      </w:pPr>
      <w:bookmarkStart w:id="5576" w:name="_Ref177061823"/>
      <w:r w:rsidRPr="007D2AE9">
        <w:t xml:space="preserve">notify </w:t>
      </w:r>
      <w:r w:rsidR="00710085">
        <w:t>Project Operator</w:t>
      </w:r>
      <w:r w:rsidRPr="007D2AE9">
        <w:t xml:space="preserve"> of the details of any changes that </w:t>
      </w:r>
      <w:r>
        <w:t>the Commonwealth</w:t>
      </w:r>
      <w:r w:rsidRPr="007D2AE9">
        <w:t xml:space="preserve"> considers are </w:t>
      </w:r>
      <w:r>
        <w:t xml:space="preserve">reasonably </w:t>
      </w:r>
      <w:r w:rsidRPr="007D2AE9">
        <w:t xml:space="preserve">required to the </w:t>
      </w:r>
      <w:r w:rsidR="00FD35AE">
        <w:t xml:space="preserve">resubmitted </w:t>
      </w:r>
      <w:r w:rsidRPr="007D2AE9">
        <w:t>draft remediation plan; or</w:t>
      </w:r>
      <w:bookmarkEnd w:id="5576"/>
    </w:p>
    <w:p w14:paraId="3615B470" w14:textId="4DFF5601" w:rsidR="00C15C21" w:rsidRPr="007F0E84" w:rsidRDefault="00C15C21" w:rsidP="00C03CFE">
      <w:pPr>
        <w:pStyle w:val="SchedH4"/>
      </w:pPr>
      <w:bookmarkStart w:id="5577" w:name="_Ref153778261"/>
      <w:r w:rsidRPr="007D2AE9">
        <w:t xml:space="preserve">reject the </w:t>
      </w:r>
      <w:r w:rsidR="00FD35AE">
        <w:t xml:space="preserve">resubmitted </w:t>
      </w:r>
      <w:r w:rsidRPr="007D2AE9">
        <w:t xml:space="preserve">draft remediation plan if </w:t>
      </w:r>
      <w:r>
        <w:t>the Commonwealth</w:t>
      </w:r>
      <w:r w:rsidRPr="007D2AE9">
        <w:t xml:space="preserve">, acting reasonably, considers that the </w:t>
      </w:r>
      <w:r w:rsidR="00FD35AE">
        <w:t xml:space="preserve">resubmitted </w:t>
      </w:r>
      <w:r w:rsidRPr="007D2AE9">
        <w:t xml:space="preserve">draft remediation plan is unsatisfactory having regard to the nature of the Significant Event and the likelihood that the </w:t>
      </w:r>
      <w:r w:rsidR="00FD35AE">
        <w:t xml:space="preserve">resubmitted </w:t>
      </w:r>
      <w:r w:rsidRPr="007D2AE9">
        <w:t>draft remediation plan could address the matters raised by the Significant Event</w:t>
      </w:r>
      <w:r>
        <w:t>. If this applies</w:t>
      </w:r>
      <w:r w:rsidRPr="007D2AE9">
        <w:t xml:space="preserve">, </w:t>
      </w:r>
      <w:r>
        <w:t xml:space="preserve">the Commonwealth </w:t>
      </w:r>
      <w:r w:rsidRPr="007D2AE9">
        <w:t xml:space="preserve">will notify </w:t>
      </w:r>
      <w:r w:rsidR="00710085">
        <w:t>Project Operator</w:t>
      </w:r>
      <w:r>
        <w:t xml:space="preserve"> in writing of that fact</w:t>
      </w:r>
      <w:r w:rsidRPr="007D2AE9">
        <w:t xml:space="preserve">, and </w:t>
      </w:r>
      <w:r>
        <w:t xml:space="preserve">that </w:t>
      </w:r>
      <w:r w:rsidRPr="007D2AE9">
        <w:t xml:space="preserve">the failure to provide a satisfactory remediation plan will be </w:t>
      </w:r>
      <w:r w:rsidR="00451D40">
        <w:t xml:space="preserve">a </w:t>
      </w:r>
      <w:r w:rsidR="008F0B7C" w:rsidRPr="008F0B7C">
        <w:t>failure to comply in a material respect with an obligatio</w:t>
      </w:r>
      <w:r w:rsidR="008F0B7C">
        <w:t xml:space="preserve">n </w:t>
      </w:r>
      <w:r w:rsidR="008F0B7C" w:rsidRPr="008F0B7C">
        <w:t xml:space="preserve">under this </w:t>
      </w:r>
      <w:r w:rsidR="007E14CF">
        <w:t>a</w:t>
      </w:r>
      <w:r w:rsidR="008F0B7C" w:rsidRPr="008F0B7C">
        <w:t>greement</w:t>
      </w:r>
      <w:r w:rsidRPr="00341C42">
        <w:t xml:space="preserve"> for the purposes of </w:t>
      </w:r>
      <w:r>
        <w:t xml:space="preserve">clause </w:t>
      </w:r>
      <w:r w:rsidR="00607644">
        <w:fldChar w:fldCharType="begin"/>
      </w:r>
      <w:r w:rsidR="00607644">
        <w:instrText xml:space="preserve"> REF _Ref159420790 \w \h </w:instrText>
      </w:r>
      <w:r w:rsidR="00607644">
        <w:fldChar w:fldCharType="separate"/>
      </w:r>
      <w:r w:rsidR="002E5C6A">
        <w:t>22.3</w:t>
      </w:r>
      <w:r w:rsidR="00607644">
        <w:fldChar w:fldCharType="end"/>
      </w:r>
      <w:r w:rsidR="00607644">
        <w:t xml:space="preserve"> (“</w:t>
      </w:r>
      <w:r w:rsidR="002D6A97" w:rsidRPr="008F0B7C">
        <w:rPr>
          <w:szCs w:val="18"/>
        </w:rPr>
        <w:fldChar w:fldCharType="begin"/>
      </w:r>
      <w:r w:rsidR="002D6A97" w:rsidRPr="008F0B7C">
        <w:rPr>
          <w:szCs w:val="18"/>
        </w:rPr>
        <w:instrText xml:space="preserve"> REF _Ref159420790 \h </w:instrText>
      </w:r>
      <w:r w:rsidR="002D6A97" w:rsidRPr="008F0B7C">
        <w:rPr>
          <w:szCs w:val="18"/>
        </w:rPr>
      </w:r>
      <w:r w:rsidR="002D6A97" w:rsidRPr="008F0B7C">
        <w:rPr>
          <w:szCs w:val="18"/>
        </w:rPr>
        <w:fldChar w:fldCharType="separate"/>
      </w:r>
      <w:r w:rsidR="002E5C6A" w:rsidRPr="00847C21">
        <w:t>Termination by the Commonwealth for default</w:t>
      </w:r>
      <w:r w:rsidR="002D6A97" w:rsidRPr="008F0B7C">
        <w:rPr>
          <w:szCs w:val="18"/>
        </w:rPr>
        <w:fldChar w:fldCharType="end"/>
      </w:r>
      <w:r w:rsidR="00607644">
        <w:t>”)</w:t>
      </w:r>
      <w:r>
        <w:t>.</w:t>
      </w:r>
      <w:bookmarkEnd w:id="5577"/>
      <w:r w:rsidRPr="007F0E84">
        <w:t xml:space="preserve"> </w:t>
      </w:r>
    </w:p>
    <w:p w14:paraId="79B807A6" w14:textId="1BEA5838" w:rsidR="00C15C21" w:rsidRPr="00890EF1" w:rsidRDefault="00C15C21" w:rsidP="00EF4D4D">
      <w:pPr>
        <w:pStyle w:val="SchedH3"/>
      </w:pPr>
      <w:r w:rsidRPr="00890EF1">
        <w:t xml:space="preserve">Without limiting its other obligations under </w:t>
      </w:r>
      <w:r>
        <w:t xml:space="preserve">this </w:t>
      </w:r>
      <w:r w:rsidR="00710085">
        <w:t>agreement</w:t>
      </w:r>
      <w:r w:rsidRPr="00890EF1">
        <w:t xml:space="preserve">, </w:t>
      </w:r>
      <w:r w:rsidR="00710085">
        <w:t>Project Operator</w:t>
      </w:r>
      <w:r w:rsidRPr="00890EF1">
        <w:t xml:space="preserve"> must comply with the approved remediation plan</w:t>
      </w:r>
      <w:r w:rsidR="00451D40">
        <w:t xml:space="preserve"> or </w:t>
      </w:r>
      <w:r w:rsidR="00FD35AE">
        <w:t xml:space="preserve">any </w:t>
      </w:r>
      <w:r w:rsidR="00451D40">
        <w:t>approved resubmitted remediation plan</w:t>
      </w:r>
      <w:r w:rsidRPr="00890EF1">
        <w:t xml:space="preserve">. </w:t>
      </w:r>
    </w:p>
    <w:p w14:paraId="240A58C7" w14:textId="77777777" w:rsidR="00C15C21" w:rsidRPr="00890EF1" w:rsidRDefault="00710085" w:rsidP="00EF4D4D">
      <w:pPr>
        <w:pStyle w:val="SchedH3"/>
      </w:pPr>
      <w:r>
        <w:t>Project Operator</w:t>
      </w:r>
      <w:r w:rsidR="00C15C21" w:rsidRPr="00890EF1">
        <w:t xml:space="preserve"> must provide reports and other information about </w:t>
      </w:r>
      <w:r>
        <w:t>Project Operator</w:t>
      </w:r>
      <w:r w:rsidR="00C15C21">
        <w:t>'s</w:t>
      </w:r>
      <w:r w:rsidR="00C15C21" w:rsidRPr="00890EF1">
        <w:t xml:space="preserve"> progress in implementing the approved remediation plan as reasonably requested by </w:t>
      </w:r>
      <w:r w:rsidR="00C15C21">
        <w:t>the Commonwealth and within the time reasonably requested by the Commonwealth</w:t>
      </w:r>
      <w:r w:rsidR="00C15C21" w:rsidRPr="00890EF1">
        <w:t>.</w:t>
      </w:r>
    </w:p>
    <w:p w14:paraId="3BFC8C4E" w14:textId="46C342B1" w:rsidR="00C15C21" w:rsidRPr="00341C42" w:rsidRDefault="00C15C21" w:rsidP="00EF4D4D">
      <w:pPr>
        <w:pStyle w:val="SchedH3"/>
      </w:pPr>
      <w:r w:rsidRPr="00341C42">
        <w:t xml:space="preserve">A failure by </w:t>
      </w:r>
      <w:r w:rsidR="00710085">
        <w:t>Project Operator</w:t>
      </w:r>
      <w:r w:rsidRPr="00341C42">
        <w:t xml:space="preserve"> to comply with its obligations </w:t>
      </w:r>
      <w:r w:rsidR="00FD35AE">
        <w:t xml:space="preserve">in respect of a remediation plan approved </w:t>
      </w:r>
      <w:r w:rsidRPr="00341C42">
        <w:t xml:space="preserve">under this </w:t>
      </w:r>
      <w:r>
        <w:t xml:space="preserve">section </w:t>
      </w:r>
      <w:r>
        <w:fldChar w:fldCharType="begin" w:fldLock="1"/>
      </w:r>
      <w:r>
        <w:instrText xml:space="preserve"> REF _Ref152529829 \w \h </w:instrText>
      </w:r>
      <w:r>
        <w:fldChar w:fldCharType="separate"/>
      </w:r>
      <w:r>
        <w:t>5</w:t>
      </w:r>
      <w:r>
        <w:fldChar w:fldCharType="end"/>
      </w:r>
      <w:r>
        <w:t xml:space="preserve"> </w:t>
      </w:r>
      <w:r w:rsidRPr="00341C42">
        <w:t xml:space="preserve">will be a </w:t>
      </w:r>
      <w:r>
        <w:t xml:space="preserve">failure to comply in a material respect with an obligation under this </w:t>
      </w:r>
      <w:r w:rsidR="00710085">
        <w:t>agreement</w:t>
      </w:r>
      <w:r>
        <w:t xml:space="preserve"> </w:t>
      </w:r>
      <w:r w:rsidRPr="00341C42">
        <w:t>for the purposes of clause </w:t>
      </w:r>
      <w:r w:rsidR="00FD35AE">
        <w:fldChar w:fldCharType="begin"/>
      </w:r>
      <w:r w:rsidR="00FD35AE">
        <w:instrText xml:space="preserve"> REF _Ref166078687 \r \h </w:instrText>
      </w:r>
      <w:r w:rsidR="00FD35AE">
        <w:fldChar w:fldCharType="separate"/>
      </w:r>
      <w:r w:rsidR="002E5C6A">
        <w:t>22.3(b)</w:t>
      </w:r>
      <w:r w:rsidR="00FD35AE">
        <w:fldChar w:fldCharType="end"/>
      </w:r>
      <w:r w:rsidR="0024371D">
        <w:t>.</w:t>
      </w:r>
    </w:p>
    <w:p w14:paraId="629F6726" w14:textId="77777777" w:rsidR="00C15C21" w:rsidRDefault="00C15C21" w:rsidP="00EF4D4D">
      <w:pPr>
        <w:pStyle w:val="SchedH2"/>
      </w:pPr>
      <w:bookmarkStart w:id="5578" w:name="_Toc151272787"/>
      <w:bookmarkStart w:id="5579" w:name="_Toc153945312"/>
      <w:bookmarkStart w:id="5580" w:name="_Ref176543535"/>
      <w:r>
        <w:t>General</w:t>
      </w:r>
      <w:bookmarkEnd w:id="5578"/>
      <w:bookmarkEnd w:id="5579"/>
      <w:bookmarkEnd w:id="5580"/>
    </w:p>
    <w:p w14:paraId="1844FC57" w14:textId="77777777" w:rsidR="00C15C21" w:rsidRDefault="00C15C21" w:rsidP="00EF4D4D">
      <w:pPr>
        <w:pStyle w:val="SchedH3"/>
      </w:pPr>
      <w:r>
        <w:t xml:space="preserve">The Commonwealth's rights under this section </w:t>
      </w:r>
      <w:r>
        <w:fldChar w:fldCharType="begin" w:fldLock="1"/>
      </w:r>
      <w:r>
        <w:instrText xml:space="preserve"> REF _Ref152529829 \w \h </w:instrText>
      </w:r>
      <w:r w:rsidR="009E1640">
        <w:instrText xml:space="preserve"> \* MERGEFORMAT </w:instrText>
      </w:r>
      <w:r>
        <w:fldChar w:fldCharType="separate"/>
      </w:r>
      <w:r>
        <w:t>5</w:t>
      </w:r>
      <w:r>
        <w:fldChar w:fldCharType="end"/>
      </w:r>
      <w:r>
        <w:t xml:space="preserve"> are in addition to and do not otherwise limit or affect any other rights the Commonwealth may have under this </w:t>
      </w:r>
      <w:r w:rsidR="00710085">
        <w:t>agreement</w:t>
      </w:r>
      <w:r>
        <w:t xml:space="preserve"> or otherwise at Law. </w:t>
      </w:r>
    </w:p>
    <w:p w14:paraId="29915FC9" w14:textId="77777777" w:rsidR="00C15C21" w:rsidRDefault="00C15C21" w:rsidP="00EF4D4D">
      <w:pPr>
        <w:pStyle w:val="SchedH3"/>
      </w:pPr>
      <w:r>
        <w:t xml:space="preserve">The performance by </w:t>
      </w:r>
      <w:r w:rsidR="00710085">
        <w:t>Project Operator</w:t>
      </w:r>
      <w:r>
        <w:t xml:space="preserve"> of its obligations under this section</w:t>
      </w:r>
      <w:r w:rsidR="004A2340">
        <w:t> </w:t>
      </w:r>
      <w:r>
        <w:fldChar w:fldCharType="begin" w:fldLock="1"/>
      </w:r>
      <w:r>
        <w:instrText xml:space="preserve"> REF _Ref152529829 \w \h </w:instrText>
      </w:r>
      <w:r w:rsidR="009E1640">
        <w:instrText xml:space="preserve"> \* MERGEFORMAT </w:instrText>
      </w:r>
      <w:r>
        <w:fldChar w:fldCharType="separate"/>
      </w:r>
      <w:r>
        <w:t>5</w:t>
      </w:r>
      <w:r>
        <w:fldChar w:fldCharType="end"/>
      </w:r>
      <w:r>
        <w:t xml:space="preserve"> will be at no additional cost to the Commonwealth.</w:t>
      </w:r>
    </w:p>
    <w:p w14:paraId="4914751D" w14:textId="77777777" w:rsidR="00C15C21" w:rsidRDefault="00C15C21" w:rsidP="00EF4D4D">
      <w:pPr>
        <w:pStyle w:val="SchedH3"/>
      </w:pPr>
      <w:bookmarkStart w:id="5581" w:name="_Ref176543513"/>
      <w:r>
        <w:t xml:space="preserve">The Commonwealth may, in addition to any of its other rights or remedies under this </w:t>
      </w:r>
      <w:r w:rsidR="00710085">
        <w:t>agreement</w:t>
      </w:r>
      <w:r>
        <w:t xml:space="preserve"> or otherwise at Law, take into account the occurrence of a Significant Event at any time, including when:</w:t>
      </w:r>
      <w:bookmarkEnd w:id="5581"/>
    </w:p>
    <w:p w14:paraId="30DDC43C" w14:textId="77777777" w:rsidR="00C15C21" w:rsidRDefault="00C15C21" w:rsidP="00EF4D4D">
      <w:pPr>
        <w:pStyle w:val="SchedH4"/>
      </w:pPr>
      <w:r>
        <w:t>conducting future tenders or procurement processes;</w:t>
      </w:r>
    </w:p>
    <w:p w14:paraId="46BDFE73" w14:textId="77777777" w:rsidR="00C15C21" w:rsidRDefault="00C15C21" w:rsidP="00EF4D4D">
      <w:pPr>
        <w:pStyle w:val="SchedH4"/>
      </w:pPr>
      <w:r>
        <w:t xml:space="preserve">exercising any rights of the Commonwealth in relation to access, audit, or the treatment of documentation under or in connection with this </w:t>
      </w:r>
      <w:r w:rsidR="00710085">
        <w:t>agreement</w:t>
      </w:r>
      <w:r>
        <w:t>; and</w:t>
      </w:r>
    </w:p>
    <w:p w14:paraId="01D754A7" w14:textId="77777777" w:rsidR="00C15C21" w:rsidRDefault="00C15C21" w:rsidP="00EF4D4D">
      <w:pPr>
        <w:pStyle w:val="SchedH4"/>
      </w:pPr>
      <w:r>
        <w:t xml:space="preserve">deciding whether to exercise any rights in relation to termination of this </w:t>
      </w:r>
      <w:r w:rsidR="00710085">
        <w:t>agreement</w:t>
      </w:r>
      <w:r>
        <w:t>.</w:t>
      </w:r>
    </w:p>
    <w:p w14:paraId="3CD73A19" w14:textId="1C26A6C0" w:rsidR="009F7522" w:rsidRDefault="009F7522" w:rsidP="007F1A89">
      <w:pPr>
        <w:pStyle w:val="SchedH3"/>
      </w:pPr>
      <w:r>
        <w:t>If Project Operator fails to comply with this section </w:t>
      </w:r>
      <w:r>
        <w:fldChar w:fldCharType="begin"/>
      </w:r>
      <w:r>
        <w:instrText xml:space="preserve"> REF _Ref151128268 \n \h </w:instrText>
      </w:r>
      <w:r>
        <w:fldChar w:fldCharType="separate"/>
      </w:r>
      <w:r w:rsidR="002E5C6A">
        <w:t>5</w:t>
      </w:r>
      <w:r>
        <w:fldChar w:fldCharType="end"/>
      </w:r>
      <w:r>
        <w:t xml:space="preserve">, </w:t>
      </w:r>
      <w:r w:rsidR="00FD35AE">
        <w:t xml:space="preserve">in addition to the rights of immediate termination set out in </w:t>
      </w:r>
      <w:r w:rsidR="003E3F57">
        <w:t>paragraph</w:t>
      </w:r>
      <w:r w:rsidR="00E557C5">
        <w:t xml:space="preserve"> </w:t>
      </w:r>
      <w:r w:rsidR="00504A63">
        <w:fldChar w:fldCharType="begin"/>
      </w:r>
      <w:r w:rsidR="00504A63">
        <w:instrText xml:space="preserve"> REF _Ref153778211 \r \h </w:instrText>
      </w:r>
      <w:r w:rsidR="00504A63">
        <w:fldChar w:fldCharType="separate"/>
      </w:r>
      <w:r w:rsidR="002E5C6A">
        <w:t>5.4(c)</w:t>
      </w:r>
      <w:r w:rsidR="00504A63">
        <w:fldChar w:fldCharType="end"/>
      </w:r>
      <w:r w:rsidR="001C2775">
        <w:t xml:space="preserve"> </w:t>
      </w:r>
      <w:r w:rsidR="00E557C5">
        <w:t xml:space="preserve">above, </w:t>
      </w:r>
      <w:r>
        <w:t>the Commonwealth may terminate this agreement pursuant to clause</w:t>
      </w:r>
      <w:r w:rsidR="00005E10">
        <w:t xml:space="preserve"> </w:t>
      </w:r>
      <w:r w:rsidR="00005E10">
        <w:fldChar w:fldCharType="begin"/>
      </w:r>
      <w:r w:rsidR="00005E10">
        <w:instrText xml:space="preserve"> REF _Ref166078687 \r \h </w:instrText>
      </w:r>
      <w:r w:rsidR="00005E10">
        <w:fldChar w:fldCharType="separate"/>
      </w:r>
      <w:r w:rsidR="002E5C6A">
        <w:t>22.3(b)</w:t>
      </w:r>
      <w:r w:rsidR="00005E10">
        <w:fldChar w:fldCharType="end"/>
      </w:r>
      <w:r>
        <w:t xml:space="preserve">. </w:t>
      </w:r>
    </w:p>
    <w:p w14:paraId="27DCAA1A" w14:textId="77777777" w:rsidR="00C15C21" w:rsidRDefault="00C15C21" w:rsidP="00EE39BA">
      <w:pPr>
        <w:pStyle w:val="SchedH1"/>
      </w:pPr>
      <w:bookmarkStart w:id="5582" w:name="_Ref151129325"/>
      <w:bookmarkStart w:id="5583" w:name="_Toc151272789"/>
      <w:bookmarkStart w:id="5584" w:name="_Toc153945313"/>
      <w:bookmarkEnd w:id="5540"/>
      <w:bookmarkEnd w:id="5547"/>
      <w:r>
        <w:t>Archives Act</w:t>
      </w:r>
      <w:bookmarkEnd w:id="5582"/>
      <w:bookmarkEnd w:id="5583"/>
      <w:bookmarkEnd w:id="5584"/>
    </w:p>
    <w:p w14:paraId="577669D5" w14:textId="22A0D015" w:rsidR="00C15C21" w:rsidRDefault="00C15C21" w:rsidP="00EF4D4D">
      <w:pPr>
        <w:pStyle w:val="SchedH3"/>
      </w:pPr>
      <w:r>
        <w:t xml:space="preserve">In this section </w:t>
      </w:r>
      <w:r>
        <w:rPr>
          <w:b/>
          <w:bCs/>
        </w:rPr>
        <w:fldChar w:fldCharType="begin" w:fldLock="1"/>
      </w:r>
      <w:r>
        <w:instrText xml:space="preserve"> REF _Ref151129325 \w \h </w:instrText>
      </w:r>
      <w:r w:rsidR="009E1640">
        <w:rPr>
          <w:b/>
          <w:bCs/>
        </w:rPr>
        <w:instrText xml:space="preserve"> \* MERGEFORMAT </w:instrText>
      </w:r>
      <w:r>
        <w:rPr>
          <w:b/>
          <w:bCs/>
        </w:rPr>
      </w:r>
      <w:r>
        <w:rPr>
          <w:b/>
          <w:bCs/>
        </w:rPr>
        <w:fldChar w:fldCharType="separate"/>
      </w:r>
      <w:r>
        <w:t>6</w:t>
      </w:r>
      <w:r>
        <w:rPr>
          <w:b/>
          <w:bCs/>
        </w:rPr>
        <w:fldChar w:fldCharType="end"/>
      </w:r>
      <w:r>
        <w:t xml:space="preserve">, </w:t>
      </w:r>
      <w:r w:rsidRPr="00E45403">
        <w:rPr>
          <w:b/>
          <w:bCs/>
        </w:rPr>
        <w:t>Archives Act</w:t>
      </w:r>
      <w:r w:rsidRPr="00BA0C42">
        <w:t xml:space="preserve"> </w:t>
      </w:r>
      <w:r>
        <w:t xml:space="preserve">means the </w:t>
      </w:r>
      <w:r w:rsidRPr="008360B6">
        <w:rPr>
          <w:i/>
          <w:iCs/>
        </w:rPr>
        <w:t>Archives Act</w:t>
      </w:r>
      <w:r>
        <w:t xml:space="preserve"> </w:t>
      </w:r>
      <w:r w:rsidRPr="00DD110E">
        <w:rPr>
          <w:i/>
          <w:iCs/>
        </w:rPr>
        <w:t>1983</w:t>
      </w:r>
      <w:r>
        <w:t xml:space="preserve"> (Cth). </w:t>
      </w:r>
    </w:p>
    <w:p w14:paraId="74C6E7AB" w14:textId="77777777" w:rsidR="00C15C21" w:rsidRDefault="00710085" w:rsidP="00EF4D4D">
      <w:pPr>
        <w:pStyle w:val="SchedH3"/>
      </w:pPr>
      <w:r>
        <w:t>Project Operator</w:t>
      </w:r>
      <w:r w:rsidR="00C15C21" w:rsidRPr="00FA52E4">
        <w:t xml:space="preserve"> </w:t>
      </w:r>
      <w:r w:rsidR="00C15C21">
        <w:t xml:space="preserve">acknowledges that the Commonwealth is the owner of certain records relating to the Project (including those required to be delivered to the Commonwealth in accordance with this </w:t>
      </w:r>
      <w:r>
        <w:t>agreement</w:t>
      </w:r>
      <w:r w:rsidR="00C15C21">
        <w:t xml:space="preserve">) that are created or maintained by </w:t>
      </w:r>
      <w:r>
        <w:t>Project Operator</w:t>
      </w:r>
      <w:r w:rsidR="00C15C21">
        <w:t xml:space="preserve"> and that these records are to be dealt with in accordance with the Archives Act. </w:t>
      </w:r>
    </w:p>
    <w:p w14:paraId="0DB27C6B" w14:textId="0E5B80A3" w:rsidR="00C15C21" w:rsidRDefault="00710085" w:rsidP="00EF4D4D">
      <w:pPr>
        <w:pStyle w:val="SchedH3"/>
      </w:pPr>
      <w:r>
        <w:t>Project Operator</w:t>
      </w:r>
      <w:r w:rsidR="00C15C21">
        <w:t xml:space="preserve"> must not take any action </w:t>
      </w:r>
      <w:r w:rsidR="00246483">
        <w:t xml:space="preserve">that </w:t>
      </w:r>
      <w:r w:rsidR="00C15C21">
        <w:t xml:space="preserve">would cause the Commonwealth to be in breach of its obligations under the Archives Act. </w:t>
      </w:r>
    </w:p>
    <w:p w14:paraId="135BBA90" w14:textId="2C47F761" w:rsidR="00C15C21" w:rsidRDefault="00710085" w:rsidP="00EF4D4D">
      <w:pPr>
        <w:pStyle w:val="SchedH3"/>
      </w:pPr>
      <w:r>
        <w:t>Project Operator</w:t>
      </w:r>
      <w:r w:rsidR="00C15C21">
        <w:t xml:space="preserve"> must comply</w:t>
      </w:r>
      <w:r w:rsidR="00453CDA">
        <w:t>, and must ensure that its Related Bodies Corporate and its and their respective officers, employees, Subcontractors and agents comply,</w:t>
      </w:r>
      <w:r w:rsidR="00C15C21">
        <w:t xml:space="preserve"> with any reasonable request, policy or direction issued by the Commonwealth and otherwise cooperate with the Commonwealth in relation to any action taken by the Commonwealth required or authorised by the Archives Act</w:t>
      </w:r>
      <w:r w:rsidR="00246483">
        <w:t>,</w:t>
      </w:r>
      <w:r w:rsidR="00C15C21">
        <w:t xml:space="preserve"> at no cost to the Commonwealth. </w:t>
      </w:r>
    </w:p>
    <w:p w14:paraId="4110E7CD" w14:textId="0560FA03" w:rsidR="00C15C21" w:rsidRDefault="00710085" w:rsidP="00EF4D4D">
      <w:pPr>
        <w:pStyle w:val="SchedH3"/>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imposes on the </w:t>
      </w:r>
      <w:r w:rsidR="009C7B3B">
        <w:t>S</w:t>
      </w:r>
      <w:r w:rsidR="00C15C21">
        <w:t>ubcontractor</w:t>
      </w:r>
      <w:r w:rsidR="00453CDA">
        <w:t>, in respect of itself and its Related Bodies Corporate and its and their respective officers, employees, Subcontractors and agents,</w:t>
      </w:r>
      <w:r w:rsidR="00C15C21">
        <w:t xml:space="preserve"> the same obligations that </w:t>
      </w:r>
      <w:r>
        <w:t>Project Operator</w:t>
      </w:r>
      <w:r w:rsidR="00C15C21">
        <w:t xml:space="preserve"> has under this section </w:t>
      </w:r>
      <w:r w:rsidR="00C15C21">
        <w:rPr>
          <w:b/>
          <w:bCs/>
        </w:rPr>
        <w:fldChar w:fldCharType="begin" w:fldLock="1"/>
      </w:r>
      <w:r w:rsidR="00C15C21">
        <w:instrText xml:space="preserve"> REF _Ref151129325 \w \h </w:instrText>
      </w:r>
      <w:r w:rsidR="009E1640">
        <w:rPr>
          <w:b/>
          <w:bCs/>
        </w:rPr>
        <w:instrText xml:space="preserve"> \* MERGEFORMAT </w:instrText>
      </w:r>
      <w:r w:rsidR="00C15C21">
        <w:rPr>
          <w:b/>
          <w:bCs/>
        </w:rPr>
      </w:r>
      <w:r w:rsidR="00C15C21">
        <w:rPr>
          <w:b/>
          <w:bCs/>
        </w:rPr>
        <w:fldChar w:fldCharType="separate"/>
      </w:r>
      <w:r w:rsidR="00C15C21">
        <w:t>6</w:t>
      </w:r>
      <w:r w:rsidR="00C15C21">
        <w:rPr>
          <w:b/>
          <w:bCs/>
        </w:rPr>
        <w:fldChar w:fldCharType="end"/>
      </w:r>
      <w:r w:rsidR="00C15C21">
        <w:t xml:space="preserve">, including this requirement to impose obligations on any further </w:t>
      </w:r>
      <w:r w:rsidR="009C7B3B">
        <w:t>S</w:t>
      </w:r>
      <w:r w:rsidR="00C15C21">
        <w:t>ubcontractor.</w:t>
      </w:r>
    </w:p>
    <w:p w14:paraId="409973DF" w14:textId="77777777" w:rsidR="00C15C21" w:rsidRDefault="00710085" w:rsidP="00EF4D4D">
      <w:pPr>
        <w:pStyle w:val="SchedH3"/>
      </w:pPr>
      <w:r>
        <w:t>Project Operator</w:t>
      </w:r>
      <w:r w:rsidR="00C15C21">
        <w:t>'s o</w:t>
      </w:r>
      <w:r w:rsidR="00C15C21" w:rsidRPr="00794A90">
        <w:t xml:space="preserve">bligations under this </w:t>
      </w:r>
      <w:r w:rsidR="00C15C21">
        <w:t xml:space="preserve">section </w:t>
      </w:r>
      <w:r w:rsidR="00C15C21">
        <w:rPr>
          <w:b/>
          <w:bCs/>
        </w:rPr>
        <w:fldChar w:fldCharType="begin" w:fldLock="1"/>
      </w:r>
      <w:r w:rsidR="00C15C21">
        <w:instrText xml:space="preserve"> REF _Ref151129325 \w \h </w:instrText>
      </w:r>
      <w:r w:rsidR="00EF4D4D">
        <w:rPr>
          <w:b/>
          <w:bCs/>
        </w:rPr>
        <w:instrText xml:space="preserve"> \* MERGEFORMAT </w:instrText>
      </w:r>
      <w:r w:rsidR="00C15C21">
        <w:rPr>
          <w:b/>
          <w:bCs/>
        </w:rPr>
      </w:r>
      <w:r w:rsidR="00C15C21">
        <w:rPr>
          <w:b/>
          <w:bCs/>
        </w:rPr>
        <w:fldChar w:fldCharType="separate"/>
      </w:r>
      <w:r w:rsidR="00C15C21">
        <w:t>6</w:t>
      </w:r>
      <w:r w:rsidR="00C15C21">
        <w:rPr>
          <w:b/>
          <w:bCs/>
        </w:rPr>
        <w:fldChar w:fldCharType="end"/>
      </w:r>
      <w:r w:rsidR="00C15C21" w:rsidRPr="00794A90">
        <w:t xml:space="preserve"> </w:t>
      </w:r>
      <w:r w:rsidR="009F7522">
        <w:t>will</w:t>
      </w:r>
      <w:r w:rsidR="00C15C21" w:rsidRPr="00794A90">
        <w:t xml:space="preserve"> survive termination or expiry of </w:t>
      </w:r>
      <w:r w:rsidR="00C15C21">
        <w:t xml:space="preserve">this </w:t>
      </w:r>
      <w:r>
        <w:t>agreement</w:t>
      </w:r>
      <w:r w:rsidR="00C15C21" w:rsidRPr="00794A90">
        <w:t>.</w:t>
      </w:r>
    </w:p>
    <w:p w14:paraId="59FF0807" w14:textId="69B3F70B" w:rsidR="009F7522" w:rsidRPr="00794A90" w:rsidRDefault="009F7522" w:rsidP="007F1A89">
      <w:pPr>
        <w:pStyle w:val="SchedH3"/>
      </w:pPr>
      <w:r>
        <w:t xml:space="preserve">A failure by Project Operator to comply with this section </w:t>
      </w:r>
      <w:r w:rsidRPr="009F7522">
        <w:rPr>
          <w:b/>
          <w:bCs/>
        </w:rPr>
        <w:fldChar w:fldCharType="begin" w:fldLock="1"/>
      </w:r>
      <w:r>
        <w:instrText xml:space="preserve"> REF _Ref151129325 \w \h </w:instrText>
      </w:r>
      <w:r w:rsidRPr="009F7522">
        <w:rPr>
          <w:b/>
          <w:bCs/>
        </w:rPr>
        <w:instrText xml:space="preserve"> \* MERGEFORMAT </w:instrText>
      </w:r>
      <w:r w:rsidRPr="009F7522">
        <w:rPr>
          <w:b/>
          <w:bCs/>
        </w:rPr>
      </w:r>
      <w:r w:rsidRPr="009F7522">
        <w:rPr>
          <w:b/>
          <w:bCs/>
        </w:rPr>
        <w:fldChar w:fldCharType="separate"/>
      </w:r>
      <w:r>
        <w:t>6</w:t>
      </w:r>
      <w:r w:rsidRPr="009F7522">
        <w:rPr>
          <w:b/>
          <w:bCs/>
        </w:rPr>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rsidR="003E35B3">
        <w:fldChar w:fldCharType="begin"/>
      </w:r>
      <w:r w:rsidR="003E35B3">
        <w:instrText xml:space="preserve"> REF _Ref166078687 \r \h </w:instrText>
      </w:r>
      <w:r w:rsidR="003E35B3">
        <w:fldChar w:fldCharType="separate"/>
      </w:r>
      <w:r w:rsidR="002E5C6A">
        <w:t>22.3(b)</w:t>
      </w:r>
      <w:r w:rsidR="003E35B3">
        <w:fldChar w:fldCharType="end"/>
      </w:r>
      <w:r>
        <w:t xml:space="preserve"> (“</w:t>
      </w:r>
      <w:r>
        <w:fldChar w:fldCharType="begin"/>
      </w:r>
      <w:r>
        <w:instrText xml:space="preserve"> REF _Ref159420790 \h </w:instrText>
      </w:r>
      <w:r>
        <w:fldChar w:fldCharType="separate"/>
      </w:r>
      <w:r w:rsidR="002E5C6A" w:rsidRPr="00847C21">
        <w:t>Termination by the Commonwealth for default</w:t>
      </w:r>
      <w:r>
        <w:fldChar w:fldCharType="end"/>
      </w:r>
      <w:r>
        <w:t>”).</w:t>
      </w:r>
    </w:p>
    <w:p w14:paraId="27E3E277" w14:textId="77777777" w:rsidR="00C15C21" w:rsidRDefault="00C15C21" w:rsidP="00EE39BA">
      <w:pPr>
        <w:pStyle w:val="SchedH1"/>
      </w:pPr>
      <w:bookmarkStart w:id="5585" w:name="_Ref151130228"/>
      <w:bookmarkStart w:id="5586" w:name="_Toc151272790"/>
      <w:bookmarkStart w:id="5587" w:name="_Toc153945314"/>
      <w:r>
        <w:t>National Anti-Corruption Commission</w:t>
      </w:r>
      <w:bookmarkEnd w:id="5585"/>
      <w:bookmarkEnd w:id="5586"/>
      <w:bookmarkEnd w:id="5587"/>
      <w:r>
        <w:t xml:space="preserve"> </w:t>
      </w:r>
    </w:p>
    <w:p w14:paraId="6C73B49D" w14:textId="4CB5E3BE" w:rsidR="00C15C21" w:rsidRDefault="00C15C21" w:rsidP="00EF4D4D">
      <w:pPr>
        <w:pStyle w:val="SchedH3"/>
      </w:pPr>
      <w:r>
        <w:t xml:space="preserve">In this section </w:t>
      </w:r>
      <w:r>
        <w:fldChar w:fldCharType="begin" w:fldLock="1"/>
      </w:r>
      <w:r>
        <w:instrText xml:space="preserve"> REF _Ref151130228 \w \h </w:instrText>
      </w:r>
      <w:r w:rsidR="00EF4D4D">
        <w:instrText xml:space="preserve"> \* MERGEFORMAT </w:instrText>
      </w:r>
      <w:r>
        <w:fldChar w:fldCharType="separate"/>
      </w:r>
      <w:r>
        <w:t>7</w:t>
      </w:r>
      <w:r>
        <w:fldChar w:fldCharType="end"/>
      </w:r>
      <w:r>
        <w:t xml:space="preserve">, </w:t>
      </w:r>
      <w:r w:rsidRPr="00E45403">
        <w:rPr>
          <w:b/>
          <w:bCs/>
        </w:rPr>
        <w:t>NACC Act</w:t>
      </w:r>
      <w:r w:rsidRPr="00BA0C42">
        <w:t xml:space="preserve"> </w:t>
      </w:r>
      <w:r>
        <w:t xml:space="preserve">means the </w:t>
      </w:r>
      <w:r w:rsidRPr="00607644">
        <w:rPr>
          <w:i/>
          <w:iCs/>
        </w:rPr>
        <w:t>National Anti</w:t>
      </w:r>
      <w:r w:rsidRPr="00607644">
        <w:rPr>
          <w:i/>
          <w:iCs/>
        </w:rPr>
        <w:noBreakHyphen/>
        <w:t>Corruption Commission Act 2022</w:t>
      </w:r>
      <w:r>
        <w:t xml:space="preserve"> (Cth). </w:t>
      </w:r>
    </w:p>
    <w:p w14:paraId="2DE4CC85" w14:textId="3EC16993" w:rsidR="00C15C21" w:rsidRDefault="00710085" w:rsidP="00EF4D4D">
      <w:pPr>
        <w:pStyle w:val="SchedH3"/>
      </w:pPr>
      <w:r>
        <w:t>Project Operator</w:t>
      </w:r>
      <w:r w:rsidR="00C15C21">
        <w:t xml:space="preserve"> must comply</w:t>
      </w:r>
      <w:r w:rsidR="00453CDA">
        <w:t>,</w:t>
      </w:r>
      <w:r w:rsidR="00453CDA" w:rsidRPr="00DE3C1E">
        <w:t xml:space="preserve"> and must ensure that its Related Bodies Corporate and its and their respective officers, employees, Subcontractors and agents comply</w:t>
      </w:r>
      <w:r w:rsidR="00453CDA">
        <w:t>,</w:t>
      </w:r>
      <w:r w:rsidR="00C15C21">
        <w:t xml:space="preserve"> with any reasonable request, policy or direction issued by the Commonwealth</w:t>
      </w:r>
      <w:r w:rsidR="001C2775">
        <w:t xml:space="preserve"> </w:t>
      </w:r>
      <w:bookmarkStart w:id="5588" w:name="_Hlk174445879"/>
      <w:r w:rsidR="001C2775">
        <w:t xml:space="preserve">(including the </w:t>
      </w:r>
      <w:r w:rsidR="001C2775" w:rsidRPr="00715F8E">
        <w:t>Commonwealth Fraud and Corruption Control Framework</w:t>
      </w:r>
      <w:r w:rsidR="001C2775">
        <w:t xml:space="preserve"> available at: </w:t>
      </w:r>
      <w:hyperlink r:id="rId64" w:history="1">
        <w:r w:rsidR="001C2775" w:rsidRPr="00D10F74">
          <w:rPr>
            <w:rStyle w:val="Hyperlink"/>
          </w:rPr>
          <w:t>https://www.counterfraud.gov.au/library/framework-2024</w:t>
        </w:r>
      </w:hyperlink>
      <w:r w:rsidR="001C2775">
        <w:t>)</w:t>
      </w:r>
      <w:bookmarkEnd w:id="5588"/>
      <w:r w:rsidR="00246483">
        <w:t>,</w:t>
      </w:r>
      <w:r w:rsidR="00C15C21">
        <w:t xml:space="preserve"> and otherwise cooperate with the Commonwealth</w:t>
      </w:r>
      <w:r w:rsidR="00246483">
        <w:t>,</w:t>
      </w:r>
      <w:r w:rsidR="00C15C21">
        <w:t xml:space="preserve"> in relation to any action taken by the Commonwealth required or authorised by the NACC Act. </w:t>
      </w:r>
    </w:p>
    <w:p w14:paraId="3D86C9EE" w14:textId="0ADD00A1" w:rsidR="00C15C21" w:rsidRDefault="00710085" w:rsidP="00EF4D4D">
      <w:pPr>
        <w:pStyle w:val="SchedH3"/>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imposes on the </w:t>
      </w:r>
      <w:r w:rsidR="009C7B3B">
        <w:t>S</w:t>
      </w:r>
      <w:r w:rsidR="00C15C21">
        <w:t>ubcontractor</w:t>
      </w:r>
      <w:r w:rsidR="00453CDA">
        <w:t xml:space="preserve">, </w:t>
      </w:r>
      <w:r w:rsidR="00453CDA" w:rsidRPr="00DE3C1E">
        <w:t>in respect of itself and its Related Bodies Corporate and its and their respective officers, employees, Subcontractors and agents</w:t>
      </w:r>
      <w:r w:rsidR="00453CDA">
        <w:t>,</w:t>
      </w:r>
      <w:r w:rsidR="00C15C21">
        <w:t xml:space="preserve"> the same obligations that </w:t>
      </w:r>
      <w:r>
        <w:t>Project Operator</w:t>
      </w:r>
      <w:r w:rsidR="00C15C21">
        <w:t xml:space="preserve"> has under this section </w:t>
      </w:r>
      <w:r w:rsidR="004622A0">
        <w:fldChar w:fldCharType="begin" w:fldLock="1"/>
      </w:r>
      <w:r w:rsidR="004622A0">
        <w:instrText xml:space="preserve"> REF _Ref151130228 \w \h  \* MERGEFORMAT </w:instrText>
      </w:r>
      <w:r w:rsidR="004622A0">
        <w:fldChar w:fldCharType="separate"/>
      </w:r>
      <w:r w:rsidR="004622A0">
        <w:t>7</w:t>
      </w:r>
      <w:r w:rsidR="004622A0">
        <w:fldChar w:fldCharType="end"/>
      </w:r>
      <w:r w:rsidR="00C15C21">
        <w:t xml:space="preserve">, including this requirement to impose obligations on any further </w:t>
      </w:r>
      <w:r w:rsidR="009C7B3B">
        <w:t>S</w:t>
      </w:r>
      <w:r w:rsidR="00C15C21">
        <w:t>ubcontractor.</w:t>
      </w:r>
    </w:p>
    <w:p w14:paraId="76FD9177" w14:textId="77777777" w:rsidR="00C15C21" w:rsidRDefault="00710085" w:rsidP="00EF4D4D">
      <w:pPr>
        <w:pStyle w:val="SchedH3"/>
      </w:pPr>
      <w:r>
        <w:t>Project Operator</w:t>
      </w:r>
      <w:r w:rsidR="00C15C21">
        <w:t>'s</w:t>
      </w:r>
      <w:r w:rsidR="00C15C21" w:rsidRPr="00794A90">
        <w:t xml:space="preserve"> obligations under this </w:t>
      </w:r>
      <w:r w:rsidR="00C15C21">
        <w:t xml:space="preserve">section </w:t>
      </w:r>
      <w:r w:rsidR="004622A0">
        <w:fldChar w:fldCharType="begin" w:fldLock="1"/>
      </w:r>
      <w:r w:rsidR="004622A0">
        <w:instrText xml:space="preserve"> REF _Ref151130228 \w \h  \* MERGEFORMAT </w:instrText>
      </w:r>
      <w:r w:rsidR="004622A0">
        <w:fldChar w:fldCharType="separate"/>
      </w:r>
      <w:r w:rsidR="004622A0">
        <w:t>7</w:t>
      </w:r>
      <w:r w:rsidR="004622A0">
        <w:fldChar w:fldCharType="end"/>
      </w:r>
      <w:r w:rsidR="00C15C21" w:rsidRPr="00794A90">
        <w:t xml:space="preserve"> </w:t>
      </w:r>
      <w:r w:rsidR="009F7522">
        <w:t>will</w:t>
      </w:r>
      <w:r w:rsidR="00C15C21" w:rsidRPr="00794A90">
        <w:t xml:space="preserve"> survive termination or expiry of </w:t>
      </w:r>
      <w:r w:rsidR="00C15C21">
        <w:t xml:space="preserve">this </w:t>
      </w:r>
      <w:r>
        <w:t>agreement</w:t>
      </w:r>
      <w:r w:rsidR="00C15C21" w:rsidRPr="00794A90">
        <w:t>.</w:t>
      </w:r>
    </w:p>
    <w:p w14:paraId="78C2728B" w14:textId="5720E455" w:rsidR="009F7522" w:rsidRDefault="009F7522" w:rsidP="007F1A89">
      <w:pPr>
        <w:pStyle w:val="SchedH3"/>
      </w:pPr>
      <w:r>
        <w:t xml:space="preserve">A failure by Project Operator to comply with this section </w:t>
      </w:r>
      <w:r>
        <w:fldChar w:fldCharType="begin"/>
      </w:r>
      <w:r>
        <w:instrText xml:space="preserve"> REF _Ref151130228 \r \h </w:instrText>
      </w:r>
      <w:r>
        <w:fldChar w:fldCharType="separate"/>
      </w:r>
      <w:r w:rsidR="002E5C6A">
        <w:t>7</w:t>
      </w:r>
      <w:r>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fldChar w:fldCharType="begin"/>
      </w:r>
      <w:r>
        <w:instrText xml:space="preserve"> REF _Ref159420790 \w \h </w:instrText>
      </w:r>
      <w:r>
        <w:fldChar w:fldCharType="separate"/>
      </w:r>
      <w:r w:rsidR="002E5C6A">
        <w:t>22.3</w:t>
      </w:r>
      <w:r>
        <w:fldChar w:fldCharType="end"/>
      </w:r>
      <w:r>
        <w:t xml:space="preserve"> (“</w:t>
      </w:r>
      <w:r>
        <w:fldChar w:fldCharType="begin"/>
      </w:r>
      <w:r>
        <w:instrText xml:space="preserve"> REF _Ref159420790 \h </w:instrText>
      </w:r>
      <w:r>
        <w:fldChar w:fldCharType="separate"/>
      </w:r>
      <w:r w:rsidR="002E5C6A" w:rsidRPr="00847C21">
        <w:t>Termination by the Commonwealth for default</w:t>
      </w:r>
      <w:r>
        <w:fldChar w:fldCharType="end"/>
      </w:r>
      <w:r>
        <w:t>”).</w:t>
      </w:r>
    </w:p>
    <w:p w14:paraId="56B1497D" w14:textId="77777777" w:rsidR="00C15C21" w:rsidRDefault="00C15C21" w:rsidP="00EE39BA">
      <w:pPr>
        <w:pStyle w:val="SchedH1"/>
      </w:pPr>
      <w:bookmarkStart w:id="5589" w:name="_Toc151272791"/>
      <w:bookmarkStart w:id="5590" w:name="_Toc153945315"/>
      <w:bookmarkStart w:id="5591" w:name="_Ref204188734"/>
      <w:bookmarkStart w:id="5592" w:name="_Ref204188740"/>
      <w:bookmarkStart w:id="5593" w:name="_Ref151141160"/>
      <w:bookmarkStart w:id="5594" w:name="_Hlk165986744"/>
      <w:bookmarkStart w:id="5595" w:name="_Ref151130198"/>
      <w:r>
        <w:t>Public Interest Disclosure</w:t>
      </w:r>
      <w:bookmarkEnd w:id="5589"/>
      <w:bookmarkEnd w:id="5590"/>
      <w:bookmarkEnd w:id="5591"/>
      <w:bookmarkEnd w:id="5592"/>
      <w:r>
        <w:t xml:space="preserve"> </w:t>
      </w:r>
      <w:bookmarkEnd w:id="5593"/>
    </w:p>
    <w:p w14:paraId="6A5D1826" w14:textId="7A67249A" w:rsidR="00C15C21" w:rsidRDefault="00C15C21" w:rsidP="00EF4D4D">
      <w:pPr>
        <w:pStyle w:val="SchedH3"/>
      </w:pPr>
      <w:r>
        <w:t xml:space="preserve">In this section </w:t>
      </w:r>
      <w:r>
        <w:fldChar w:fldCharType="begin" w:fldLock="1"/>
      </w:r>
      <w:r>
        <w:instrText xml:space="preserve"> REF _Ref151141160 \w \h </w:instrText>
      </w:r>
      <w:r w:rsidR="009E1640">
        <w:instrText xml:space="preserve"> \* MERGEFORMAT </w:instrText>
      </w:r>
      <w:r>
        <w:fldChar w:fldCharType="separate"/>
      </w:r>
      <w:r>
        <w:t>8</w:t>
      </w:r>
      <w:r>
        <w:fldChar w:fldCharType="end"/>
      </w:r>
      <w:r>
        <w:t xml:space="preserve">, </w:t>
      </w:r>
      <w:r w:rsidRPr="00E45403">
        <w:rPr>
          <w:b/>
          <w:bCs/>
        </w:rPr>
        <w:t>PID Act</w:t>
      </w:r>
      <w:r w:rsidRPr="00BA0C42">
        <w:t xml:space="preserve"> </w:t>
      </w:r>
      <w:r>
        <w:t xml:space="preserve">means the </w:t>
      </w:r>
      <w:r w:rsidRPr="00DD110E">
        <w:rPr>
          <w:i/>
          <w:iCs/>
        </w:rPr>
        <w:t>Public Interest Disclosure Act 2013</w:t>
      </w:r>
      <w:r>
        <w:t xml:space="preserve"> (Cth). </w:t>
      </w:r>
    </w:p>
    <w:p w14:paraId="10745E8C" w14:textId="4B9D1DDE" w:rsidR="00C15C21" w:rsidRDefault="00710085" w:rsidP="00EF4D4D">
      <w:pPr>
        <w:pStyle w:val="SchedH3"/>
      </w:pPr>
      <w:r>
        <w:t>Project Operator</w:t>
      </w:r>
      <w:r w:rsidR="00C15C21">
        <w:t xml:space="preserve"> must comply</w:t>
      </w:r>
      <w:r w:rsidR="00453CDA">
        <w:t xml:space="preserve">, </w:t>
      </w:r>
      <w:r w:rsidR="00453CDA" w:rsidRPr="00DE3C1E">
        <w:t>and must ensure that its Related Bodies Corporate and its and their respective officers, employees, Subcontractors and agents comply</w:t>
      </w:r>
      <w:r w:rsidR="00453CDA">
        <w:t>,</w:t>
      </w:r>
      <w:r w:rsidR="00C15C21">
        <w:t xml:space="preserve"> with any reasonable request, policy or direction issued by the Commonwealth and otherwise cooperate with the Commonwealth in relation to any action taken by the Commonwealth required or authorised by the PID Act. </w:t>
      </w:r>
    </w:p>
    <w:p w14:paraId="5B5BD42F" w14:textId="787B9A25" w:rsidR="00C15C21" w:rsidRDefault="00710085" w:rsidP="00EF4D4D">
      <w:pPr>
        <w:pStyle w:val="SchedH3"/>
      </w:pPr>
      <w:r>
        <w:t>Project Operator</w:t>
      </w:r>
      <w:r w:rsidR="00C15C21">
        <w:t xml:space="preserve"> must ensure that any </w:t>
      </w:r>
      <w:r w:rsidR="009C7B3B">
        <w:t>S</w:t>
      </w:r>
      <w:r w:rsidR="00C15C21">
        <w:t xml:space="preserve">ubcontract entered into by </w:t>
      </w:r>
      <w:r>
        <w:t>Project Operator</w:t>
      </w:r>
      <w:r w:rsidR="00C15C21">
        <w:t xml:space="preserve"> after the Signing Date for the purposes of fulfilling its obligations under this </w:t>
      </w:r>
      <w:r>
        <w:t>agreement</w:t>
      </w:r>
      <w:r w:rsidR="00C15C21">
        <w:t xml:space="preserve"> imposes on the </w:t>
      </w:r>
      <w:r w:rsidR="009C7B3B">
        <w:t>S</w:t>
      </w:r>
      <w:r w:rsidR="00C15C21">
        <w:t>ubcontractor</w:t>
      </w:r>
      <w:r w:rsidR="00453CDA">
        <w:t xml:space="preserve">, </w:t>
      </w:r>
      <w:r w:rsidR="00453CDA" w:rsidRPr="00DE3C1E">
        <w:t>, in respect of itself and its Related Bodies Corporate and its and their respective officers, employees, Subcontractors and agents</w:t>
      </w:r>
      <w:r w:rsidR="00453CDA">
        <w:t>,</w:t>
      </w:r>
      <w:r w:rsidR="00C15C21">
        <w:t xml:space="preserve"> the same obligations that </w:t>
      </w:r>
      <w:r>
        <w:t>Project Operator</w:t>
      </w:r>
      <w:r w:rsidR="00C15C21">
        <w:t xml:space="preserve"> has under this section </w:t>
      </w:r>
      <w:r w:rsidR="00C15C21">
        <w:fldChar w:fldCharType="begin" w:fldLock="1"/>
      </w:r>
      <w:r w:rsidR="00C15C21">
        <w:instrText xml:space="preserve"> REF _Ref151141160 \w \h </w:instrText>
      </w:r>
      <w:r w:rsidR="009E1640">
        <w:instrText xml:space="preserve"> \* MERGEFORMAT </w:instrText>
      </w:r>
      <w:r w:rsidR="00C15C21">
        <w:fldChar w:fldCharType="separate"/>
      </w:r>
      <w:r w:rsidR="00C15C21">
        <w:t>8</w:t>
      </w:r>
      <w:r w:rsidR="00C15C21">
        <w:fldChar w:fldCharType="end"/>
      </w:r>
      <w:r w:rsidR="00C15C21">
        <w:t xml:space="preserve">, </w:t>
      </w:r>
      <w:r w:rsidR="00AB2BDC">
        <w:t>other than this requirement to impose</w:t>
      </w:r>
      <w:r w:rsidR="00C15C21">
        <w:t xml:space="preserve"> obligations on any further </w:t>
      </w:r>
      <w:r w:rsidR="009C7B3B">
        <w:t>S</w:t>
      </w:r>
      <w:r w:rsidR="00C15C21">
        <w:t>ubcontractor.</w:t>
      </w:r>
    </w:p>
    <w:p w14:paraId="6CE7F92C" w14:textId="77777777" w:rsidR="00C15C21" w:rsidRDefault="00710085" w:rsidP="00EF4D4D">
      <w:pPr>
        <w:pStyle w:val="SchedH3"/>
      </w:pPr>
      <w:r>
        <w:t>Project Operator</w:t>
      </w:r>
      <w:r w:rsidR="00C15C21">
        <w:t>'s</w:t>
      </w:r>
      <w:r w:rsidR="00C15C21" w:rsidRPr="00794A90">
        <w:t xml:space="preserve"> obligations under this </w:t>
      </w:r>
      <w:r w:rsidR="00C15C21">
        <w:t xml:space="preserve">section </w:t>
      </w:r>
      <w:r w:rsidR="00C15C21">
        <w:fldChar w:fldCharType="begin" w:fldLock="1"/>
      </w:r>
      <w:r w:rsidR="00C15C21">
        <w:instrText xml:space="preserve"> REF _Ref151141160 \w \h </w:instrText>
      </w:r>
      <w:r w:rsidR="009E1640">
        <w:instrText xml:space="preserve"> \* MERGEFORMAT </w:instrText>
      </w:r>
      <w:r w:rsidR="00C15C21">
        <w:fldChar w:fldCharType="separate"/>
      </w:r>
      <w:r w:rsidR="00C15C21">
        <w:t>8</w:t>
      </w:r>
      <w:r w:rsidR="00C15C21">
        <w:fldChar w:fldCharType="end"/>
      </w:r>
      <w:r w:rsidR="00C15C21" w:rsidRPr="00794A90">
        <w:t xml:space="preserve"> </w:t>
      </w:r>
      <w:r w:rsidR="0075721F">
        <w:t>will</w:t>
      </w:r>
      <w:r w:rsidR="00C15C21" w:rsidRPr="00794A90">
        <w:t xml:space="preserve"> survive termination or expiry of </w:t>
      </w:r>
      <w:r w:rsidR="00C15C21">
        <w:t xml:space="preserve">this </w:t>
      </w:r>
      <w:r>
        <w:t>agreement</w:t>
      </w:r>
      <w:r w:rsidR="00C15C21" w:rsidRPr="00794A90">
        <w:t>.</w:t>
      </w:r>
    </w:p>
    <w:p w14:paraId="1A4EEE9E" w14:textId="44762701" w:rsidR="0075721F" w:rsidRPr="00794A90" w:rsidRDefault="0075721F" w:rsidP="007F1A89">
      <w:pPr>
        <w:pStyle w:val="SchedH3"/>
      </w:pPr>
      <w:r>
        <w:t>A failure by Project Operator to comply</w:t>
      </w:r>
      <w:r w:rsidR="00246483">
        <w:t xml:space="preserve"> with</w:t>
      </w:r>
      <w:r>
        <w:t xml:space="preserve"> this section </w:t>
      </w:r>
      <w:r>
        <w:fldChar w:fldCharType="begin" w:fldLock="1"/>
      </w:r>
      <w:r>
        <w:instrText xml:space="preserve"> REF _Ref151141160 \w \h  \* MERGEFORMAT </w:instrText>
      </w:r>
      <w:r>
        <w:fldChar w:fldCharType="separate"/>
      </w:r>
      <w:r>
        <w:t>8</w:t>
      </w:r>
      <w:r>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fldChar w:fldCharType="begin"/>
      </w:r>
      <w:r>
        <w:instrText xml:space="preserve"> REF _Ref159420790 \w \h </w:instrText>
      </w:r>
      <w:r>
        <w:fldChar w:fldCharType="separate"/>
      </w:r>
      <w:r w:rsidR="002E5C6A">
        <w:t>22.3</w:t>
      </w:r>
      <w:r>
        <w:fldChar w:fldCharType="end"/>
      </w:r>
      <w:r>
        <w:t xml:space="preserve"> (“</w:t>
      </w:r>
      <w:r>
        <w:fldChar w:fldCharType="begin"/>
      </w:r>
      <w:r>
        <w:instrText xml:space="preserve"> REF _Ref159420790 \h </w:instrText>
      </w:r>
      <w:r>
        <w:fldChar w:fldCharType="separate"/>
      </w:r>
      <w:r w:rsidR="002E5C6A" w:rsidRPr="00847C21">
        <w:t>Termination by the Commonwealth for default</w:t>
      </w:r>
      <w:r>
        <w:fldChar w:fldCharType="end"/>
      </w:r>
      <w:r>
        <w:t>”).</w:t>
      </w:r>
    </w:p>
    <w:p w14:paraId="6124F0F3" w14:textId="77777777" w:rsidR="00C15C21" w:rsidRDefault="00C15C21" w:rsidP="00EE39BA">
      <w:pPr>
        <w:pStyle w:val="SchedH1"/>
      </w:pPr>
      <w:bookmarkStart w:id="5596" w:name="_Toc151272792"/>
      <w:bookmarkStart w:id="5597" w:name="_Toc153945316"/>
      <w:bookmarkStart w:id="5598" w:name="_Ref165040667"/>
      <w:bookmarkStart w:id="5599" w:name="_Ref165040671"/>
      <w:bookmarkStart w:id="5600" w:name="_Ref165040673"/>
      <w:bookmarkStart w:id="5601" w:name="_Ref165040686"/>
      <w:bookmarkStart w:id="5602" w:name="_Ref167311754"/>
      <w:bookmarkStart w:id="5603" w:name="_Ref204188749"/>
      <w:bookmarkStart w:id="5604" w:name="_Ref204188756"/>
      <w:bookmarkStart w:id="5605" w:name="_Ref151142169"/>
      <w:bookmarkEnd w:id="5594"/>
      <w:r>
        <w:t>Criminal Code</w:t>
      </w:r>
      <w:bookmarkEnd w:id="5596"/>
      <w:bookmarkEnd w:id="5597"/>
      <w:bookmarkEnd w:id="5598"/>
      <w:bookmarkEnd w:id="5599"/>
      <w:bookmarkEnd w:id="5600"/>
      <w:bookmarkEnd w:id="5601"/>
      <w:bookmarkEnd w:id="5602"/>
      <w:bookmarkEnd w:id="5603"/>
      <w:bookmarkEnd w:id="5604"/>
      <w:r>
        <w:t xml:space="preserve"> </w:t>
      </w:r>
      <w:bookmarkEnd w:id="5595"/>
      <w:bookmarkEnd w:id="5605"/>
    </w:p>
    <w:p w14:paraId="613C740A" w14:textId="6EA3CC53" w:rsidR="00C15C21" w:rsidRDefault="00C15C21" w:rsidP="00EF4D4D">
      <w:pPr>
        <w:pStyle w:val="SchedH3"/>
      </w:pPr>
      <w:r>
        <w:t xml:space="preserve">In this section </w:t>
      </w:r>
      <w:r>
        <w:fldChar w:fldCharType="begin" w:fldLock="1"/>
      </w:r>
      <w:r>
        <w:instrText xml:space="preserve"> REF _Ref151142169 \w \h </w:instrText>
      </w:r>
      <w:r w:rsidR="009E1640">
        <w:instrText xml:space="preserve"> \* MERGEFORMAT </w:instrText>
      </w:r>
      <w:r>
        <w:fldChar w:fldCharType="separate"/>
      </w:r>
      <w:r>
        <w:t>9</w:t>
      </w:r>
      <w:r>
        <w:fldChar w:fldCharType="end"/>
      </w:r>
      <w:r>
        <w:t xml:space="preserve">, </w:t>
      </w:r>
      <w:r>
        <w:rPr>
          <w:b/>
          <w:bCs/>
        </w:rPr>
        <w:t>Criminal Code</w:t>
      </w:r>
      <w:r w:rsidRPr="00BA0C42">
        <w:t xml:space="preserve"> </w:t>
      </w:r>
      <w:r>
        <w:t>means</w:t>
      </w:r>
      <w:r w:rsidR="00246483">
        <w:t xml:space="preserve"> the</w:t>
      </w:r>
      <w:r>
        <w:t xml:space="preserve"> </w:t>
      </w:r>
      <w:r w:rsidRPr="00C15ADE">
        <w:rPr>
          <w:i/>
          <w:iCs/>
        </w:rPr>
        <w:t>Criminal Code Act</w:t>
      </w:r>
      <w:r>
        <w:t xml:space="preserve"> </w:t>
      </w:r>
      <w:r w:rsidRPr="00C15ADE">
        <w:rPr>
          <w:i/>
          <w:iCs/>
        </w:rPr>
        <w:t xml:space="preserve">1995 </w:t>
      </w:r>
      <w:r>
        <w:t xml:space="preserve">(Cth). </w:t>
      </w:r>
    </w:p>
    <w:p w14:paraId="673C94B3" w14:textId="17A5A761" w:rsidR="00C15C21" w:rsidRDefault="001C0B22" w:rsidP="00EF4D4D">
      <w:pPr>
        <w:pStyle w:val="SchedH3"/>
      </w:pPr>
      <w:r>
        <w:t xml:space="preserve">Project Operator acknowledges, </w:t>
      </w:r>
      <w:r w:rsidRPr="00DE3C1E">
        <w:t>and must ensure that its Related Bodies Corporate and its and their respective officers, employees, Subcontractors and agents involved in the performance of the Project acknowledge</w:t>
      </w:r>
      <w:r>
        <w:t xml:space="preserve"> </w:t>
      </w:r>
      <w:r w:rsidR="00C15C21">
        <w:t>that the giving of false or misleading information to the Commonwealth is a serious offence under section</w:t>
      </w:r>
      <w:r w:rsidR="00E86ACC">
        <w:t> </w:t>
      </w:r>
      <w:r w:rsidR="00C15C21">
        <w:t xml:space="preserve">137.1 of the schedule to the Criminal Code. </w:t>
      </w:r>
    </w:p>
    <w:p w14:paraId="1A21748A" w14:textId="77B74D79" w:rsidR="00C15C21" w:rsidRDefault="001C0B22" w:rsidP="00EF4D4D">
      <w:pPr>
        <w:pStyle w:val="SchedH3"/>
      </w:pPr>
      <w:r>
        <w:t xml:space="preserve">Project Operator acknowledges, </w:t>
      </w:r>
      <w:r w:rsidRPr="00DE3C1E">
        <w:t>and must ensure that its Related Bodies Corporate and its and their respective officers, employees, Subcontractors and agents involved in the performance of the Project acknowledge</w:t>
      </w:r>
      <w:r>
        <w:t xml:space="preserve"> </w:t>
      </w:r>
      <w:r w:rsidR="00C15C21">
        <w:t>that unauthorised disclosure of security-classified information is an offence and that there are Laws, including the Criminal Code</w:t>
      </w:r>
      <w:r w:rsidR="00246483">
        <w:t>,</w:t>
      </w:r>
      <w:r w:rsidR="00C15C21">
        <w:t xml:space="preserve"> </w:t>
      </w:r>
      <w:r w:rsidR="00246483">
        <w:t xml:space="preserve">that </w:t>
      </w:r>
      <w:r w:rsidR="00C15C21">
        <w:t>contain provisions relating to the protection of certain information and set out the penalties for the unauthorised disclosure of that information.</w:t>
      </w:r>
    </w:p>
    <w:p w14:paraId="10809FFD" w14:textId="10BD73DB" w:rsidR="00C15C21" w:rsidRDefault="00710085" w:rsidP="00EF4D4D">
      <w:pPr>
        <w:pStyle w:val="SchedH3"/>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imposes on the </w:t>
      </w:r>
      <w:r w:rsidR="009C7B3B">
        <w:t>S</w:t>
      </w:r>
      <w:r w:rsidR="00C15C21">
        <w:t>ubcontractor</w:t>
      </w:r>
      <w:r w:rsidR="001C0B22">
        <w:t xml:space="preserve">, </w:t>
      </w:r>
      <w:r w:rsidR="001C0B22" w:rsidRPr="00DE3C1E">
        <w:t>in respect of itself and its Related Bodies Corporate and its and their respective officers, employees, Subcontractors and agents involved in the performance of the Project</w:t>
      </w:r>
      <w:r w:rsidR="001C0B22">
        <w:t>,</w:t>
      </w:r>
      <w:r w:rsidR="00C15C21">
        <w:t xml:space="preserve"> the same obligations that </w:t>
      </w:r>
      <w:r>
        <w:t>Project Operator</w:t>
      </w:r>
      <w:r w:rsidR="00C15C21">
        <w:t xml:space="preserve"> has under this section </w:t>
      </w:r>
      <w:r w:rsidR="00C15C21">
        <w:fldChar w:fldCharType="begin" w:fldLock="1"/>
      </w:r>
      <w:r w:rsidR="00C15C21">
        <w:instrText xml:space="preserve"> REF _Ref151142169 \w \h </w:instrText>
      </w:r>
      <w:r w:rsidR="00EF4D4D">
        <w:instrText xml:space="preserve"> \* MERGEFORMAT </w:instrText>
      </w:r>
      <w:r w:rsidR="00C15C21">
        <w:fldChar w:fldCharType="separate"/>
      </w:r>
      <w:r w:rsidR="00C15C21">
        <w:t>9</w:t>
      </w:r>
      <w:r w:rsidR="00C15C21">
        <w:fldChar w:fldCharType="end"/>
      </w:r>
      <w:r w:rsidR="00C15C21">
        <w:t xml:space="preserve">, including this requirement to impose obligations on any further </w:t>
      </w:r>
      <w:r w:rsidR="009C7B3B">
        <w:t>S</w:t>
      </w:r>
      <w:r w:rsidR="00C15C21">
        <w:t>ubcontractor.</w:t>
      </w:r>
    </w:p>
    <w:p w14:paraId="318655D2" w14:textId="77777777" w:rsidR="00C15C21" w:rsidRDefault="00710085" w:rsidP="00EF4D4D">
      <w:pPr>
        <w:pStyle w:val="SchedH3"/>
      </w:pPr>
      <w:r>
        <w:t>Project Operator</w:t>
      </w:r>
      <w:r w:rsidR="00C15C21">
        <w:t>'s</w:t>
      </w:r>
      <w:r w:rsidR="00C15C21" w:rsidRPr="00794A90">
        <w:t xml:space="preserve"> obligations under this </w:t>
      </w:r>
      <w:r w:rsidR="00C15C21">
        <w:t xml:space="preserve">section </w:t>
      </w:r>
      <w:r w:rsidR="00C15C21">
        <w:fldChar w:fldCharType="begin" w:fldLock="1"/>
      </w:r>
      <w:r w:rsidR="00C15C21">
        <w:instrText xml:space="preserve"> REF _Ref151142169 \w \h </w:instrText>
      </w:r>
      <w:r w:rsidR="00EF4D4D">
        <w:instrText xml:space="preserve"> \* MERGEFORMAT </w:instrText>
      </w:r>
      <w:r w:rsidR="00C15C21">
        <w:fldChar w:fldCharType="separate"/>
      </w:r>
      <w:r w:rsidR="00C15C21">
        <w:t>9</w:t>
      </w:r>
      <w:r w:rsidR="00C15C21">
        <w:fldChar w:fldCharType="end"/>
      </w:r>
      <w:r w:rsidR="00C15C21" w:rsidRPr="00794A90">
        <w:t xml:space="preserve"> </w:t>
      </w:r>
      <w:r w:rsidR="0075721F">
        <w:t>will</w:t>
      </w:r>
      <w:r w:rsidR="00C15C21" w:rsidRPr="00794A90">
        <w:t xml:space="preserve"> survive termination or expiry of </w:t>
      </w:r>
      <w:r w:rsidR="00C15C21">
        <w:t xml:space="preserve">this </w:t>
      </w:r>
      <w:r>
        <w:t>agreement</w:t>
      </w:r>
      <w:r w:rsidR="00C15C21" w:rsidRPr="00794A90">
        <w:t>.</w:t>
      </w:r>
    </w:p>
    <w:p w14:paraId="099739E0" w14:textId="33F21C26" w:rsidR="0075721F" w:rsidRPr="004E4BC4" w:rsidRDefault="0075721F" w:rsidP="0075721F">
      <w:pPr>
        <w:pStyle w:val="SchedH3"/>
      </w:pPr>
      <w:bookmarkStart w:id="5606" w:name="_Ref167311758"/>
      <w:r w:rsidRPr="004E4BC4">
        <w:t xml:space="preserve">If </w:t>
      </w:r>
      <w:r w:rsidR="009772B8" w:rsidRPr="00792B2E">
        <w:t xml:space="preserve">proceedings are brought against </w:t>
      </w:r>
      <w:r w:rsidRPr="00792B2E">
        <w:t xml:space="preserve">Project Operator </w:t>
      </w:r>
      <w:r w:rsidR="009772B8" w:rsidRPr="00792B2E">
        <w:t>or any of its officers, employees</w:t>
      </w:r>
      <w:r w:rsidR="00E86ACC" w:rsidRPr="00792B2E">
        <w:t xml:space="preserve">, or any of its </w:t>
      </w:r>
      <w:r w:rsidR="009C7B3B" w:rsidRPr="00792B2E">
        <w:t xml:space="preserve">Subcontractors </w:t>
      </w:r>
      <w:r w:rsidR="009772B8" w:rsidRPr="00792B2E">
        <w:t xml:space="preserve">or agents </w:t>
      </w:r>
      <w:r w:rsidR="00E86ACC" w:rsidRPr="00792B2E">
        <w:t xml:space="preserve">who are involved in the Project, </w:t>
      </w:r>
      <w:r w:rsidR="009772B8" w:rsidRPr="00792B2E">
        <w:t>for a breach of the Criminal Code, or Project Operator otherwise</w:t>
      </w:r>
      <w:r w:rsidR="009772B8" w:rsidRPr="004E4BC4">
        <w:t xml:space="preserve"> </w:t>
      </w:r>
      <w:r w:rsidRPr="004E4BC4">
        <w:t xml:space="preserve">fails to comply with this section </w:t>
      </w:r>
      <w:r w:rsidRPr="004E4BC4">
        <w:fldChar w:fldCharType="begin" w:fldLock="1"/>
      </w:r>
      <w:r w:rsidRPr="004E4BC4">
        <w:instrText xml:space="preserve"> REF _Ref151142169 \w \h  \* MERGEFORMAT </w:instrText>
      </w:r>
      <w:r w:rsidRPr="004E4BC4">
        <w:fldChar w:fldCharType="separate"/>
      </w:r>
      <w:r w:rsidRPr="004E4BC4">
        <w:t>9</w:t>
      </w:r>
      <w:r w:rsidRPr="004E4BC4">
        <w:fldChar w:fldCharType="end"/>
      </w:r>
      <w:r w:rsidRPr="004E4BC4">
        <w:t>, the Commonwealth may terminate this agreement pursuant to clause </w:t>
      </w:r>
      <w:r w:rsidRPr="004E4BC4">
        <w:fldChar w:fldCharType="begin"/>
      </w:r>
      <w:r w:rsidRPr="004E4BC4">
        <w:instrText xml:space="preserve"> REF _Ref165017996 \w \h </w:instrText>
      </w:r>
      <w:r w:rsidR="004E4BC4">
        <w:instrText xml:space="preserve"> \* MERGEFORMAT </w:instrText>
      </w:r>
      <w:r w:rsidRPr="004E4BC4">
        <w:fldChar w:fldCharType="separate"/>
      </w:r>
      <w:r w:rsidR="002E5C6A">
        <w:t>22.3(r)</w:t>
      </w:r>
      <w:r w:rsidRPr="004E4BC4">
        <w:fldChar w:fldCharType="end"/>
      </w:r>
      <w:r w:rsidRPr="004E4BC4">
        <w:t xml:space="preserve"> (“</w:t>
      </w:r>
      <w:r w:rsidRPr="004E4BC4">
        <w:fldChar w:fldCharType="begin"/>
      </w:r>
      <w:r w:rsidRPr="004E4BC4">
        <w:instrText xml:space="preserve"> REF _Ref159420790 \h </w:instrText>
      </w:r>
      <w:r w:rsidR="004E4BC4">
        <w:instrText xml:space="preserve"> \* MERGEFORMAT </w:instrText>
      </w:r>
      <w:r w:rsidRPr="004E4BC4">
        <w:fldChar w:fldCharType="separate"/>
      </w:r>
      <w:r w:rsidR="002E5C6A" w:rsidRPr="00847C21">
        <w:t>Termination by the Commonwealth for default</w:t>
      </w:r>
      <w:r w:rsidRPr="004E4BC4">
        <w:fldChar w:fldCharType="end"/>
      </w:r>
      <w:r w:rsidRPr="004E4BC4">
        <w:t>”).</w:t>
      </w:r>
      <w:bookmarkEnd w:id="5606"/>
      <w:r w:rsidRPr="004E4BC4">
        <w:t xml:space="preserve"> </w:t>
      </w:r>
    </w:p>
    <w:p w14:paraId="0993FF06" w14:textId="77777777" w:rsidR="00C15C21" w:rsidRDefault="00C15C21" w:rsidP="00EE39BA">
      <w:pPr>
        <w:pStyle w:val="SchedH1"/>
      </w:pPr>
      <w:bookmarkStart w:id="5607" w:name="_Toc151272793"/>
      <w:bookmarkStart w:id="5608" w:name="_Toc153945317"/>
      <w:bookmarkStart w:id="5609" w:name="_Ref165040677"/>
      <w:bookmarkStart w:id="5610" w:name="_Ref165040695"/>
      <w:bookmarkStart w:id="5611" w:name="_Ref172207973"/>
      <w:bookmarkStart w:id="5612" w:name="_Ref151146366"/>
      <w:r>
        <w:t>Prohibited dealings</w:t>
      </w:r>
      <w:bookmarkEnd w:id="5607"/>
      <w:bookmarkEnd w:id="5608"/>
      <w:bookmarkEnd w:id="5609"/>
      <w:bookmarkEnd w:id="5610"/>
      <w:bookmarkEnd w:id="5611"/>
      <w:r>
        <w:t xml:space="preserve"> </w:t>
      </w:r>
      <w:bookmarkEnd w:id="5612"/>
    </w:p>
    <w:p w14:paraId="0DAB48F2" w14:textId="16DDB918" w:rsidR="00C15C21" w:rsidRDefault="00710085" w:rsidP="00EF4D4D">
      <w:pPr>
        <w:pStyle w:val="SchedH3"/>
      </w:pPr>
      <w:bookmarkStart w:id="5613" w:name="_Ref151146342"/>
      <w:r>
        <w:t>Project Operator</w:t>
      </w:r>
      <w:r w:rsidR="00C15C21">
        <w:t xml:space="preserve"> must ensure that </w:t>
      </w:r>
      <w:r>
        <w:t>Project Operator</w:t>
      </w:r>
      <w:r w:rsidR="00C15C21">
        <w:t xml:space="preserve"> and any individuals, persons, entities or organisations involved in the </w:t>
      </w:r>
      <w:r w:rsidR="001C0B22">
        <w:t xml:space="preserve">performance of the </w:t>
      </w:r>
      <w:r w:rsidR="00C15C21">
        <w:t xml:space="preserve">Project, including its </w:t>
      </w:r>
      <w:r w:rsidR="00D4097E" w:rsidRPr="00F75565">
        <w:t xml:space="preserve">officers, employees, </w:t>
      </w:r>
      <w:r w:rsidR="009C7B3B">
        <w:t>S</w:t>
      </w:r>
      <w:r w:rsidR="00D4097E" w:rsidRPr="00F75565">
        <w:t>ubcontractors or agents</w:t>
      </w:r>
      <w:r w:rsidR="00C15C21">
        <w:t>, are not:</w:t>
      </w:r>
      <w:bookmarkEnd w:id="5613"/>
    </w:p>
    <w:p w14:paraId="7F1A357D" w14:textId="77777777" w:rsidR="00C15C21" w:rsidRDefault="00C15C21" w:rsidP="00EF4D4D">
      <w:pPr>
        <w:pStyle w:val="SchedH4"/>
      </w:pPr>
      <w:bookmarkStart w:id="5614" w:name="_Ref151146254"/>
      <w:bookmarkStart w:id="5615" w:name="_Ref_ContractCompanion_9kb9Ur48A"/>
      <w:r>
        <w:t>directly or indirectly engaged in preparing, planning, assisting or fostering a terrorist act;</w:t>
      </w:r>
      <w:bookmarkEnd w:id="5614"/>
      <w:bookmarkEnd w:id="5615"/>
    </w:p>
    <w:p w14:paraId="2B830ADA" w14:textId="77777777" w:rsidR="00C15C21" w:rsidRDefault="00C15C21" w:rsidP="00EF4D4D">
      <w:pPr>
        <w:pStyle w:val="SchedH4"/>
      </w:pPr>
      <w:r>
        <w:t xml:space="preserve">listed terrorist organisations for the purposes of the </w:t>
      </w:r>
      <w:r w:rsidRPr="002752A9">
        <w:rPr>
          <w:i/>
          <w:iCs/>
        </w:rPr>
        <w:t>Criminal Code Act 1995</w:t>
      </w:r>
      <w:r>
        <w:t xml:space="preserve"> (Cth) (details of listed terrorist organisations are available at https://www.nationalsecurity.gov.au/what-australia-is-doing/terrorist-organisations/listed-terrorist-organisations);</w:t>
      </w:r>
    </w:p>
    <w:p w14:paraId="5D440C35" w14:textId="77777777" w:rsidR="00C15C21" w:rsidRDefault="00C15C21" w:rsidP="00EF4D4D">
      <w:pPr>
        <w:pStyle w:val="SchedH4"/>
      </w:pPr>
      <w:r>
        <w:t xml:space="preserve">subject to sanctions or similar measures under the </w:t>
      </w:r>
      <w:r w:rsidRPr="002752A9">
        <w:rPr>
          <w:i/>
          <w:iCs/>
        </w:rPr>
        <w:t xml:space="preserve">Charter of the United Nations Act 1945 </w:t>
      </w:r>
      <w:r>
        <w:t xml:space="preserve">(Cth) or the </w:t>
      </w:r>
      <w:r w:rsidRPr="002752A9">
        <w:rPr>
          <w:i/>
          <w:iCs/>
        </w:rPr>
        <w:t>Autonomous Sanctions Act 2011</w:t>
      </w:r>
      <w:r>
        <w:t xml:space="preserve"> (Cth) (details of individuals and entities are available at: https://dfat.gov.au/international-relations/security/sanctions/Pages/consolidated-list.aspx);</w:t>
      </w:r>
    </w:p>
    <w:p w14:paraId="1695443E" w14:textId="77777777" w:rsidR="00C15C21" w:rsidRDefault="00C15C21" w:rsidP="00EF4D4D">
      <w:pPr>
        <w:pStyle w:val="SchedH4"/>
      </w:pPr>
      <w:bookmarkStart w:id="5616" w:name="_Ref151146306"/>
      <w:bookmarkStart w:id="5617" w:name="_Ref_ContractCompanion_9kb9Ur48C"/>
      <w:r>
        <w:t>listed on the 'World Bank's Listing of Ineligible Firms and Individuals' posted at: https://www.worldbank.org/en/projects-operations/procurement/debarred-firms;</w:t>
      </w:r>
      <w:bookmarkEnd w:id="5616"/>
      <w:bookmarkEnd w:id="5617"/>
    </w:p>
    <w:p w14:paraId="7767C314" w14:textId="24BA750C" w:rsidR="00C15C21" w:rsidRDefault="00C15C21" w:rsidP="00EF4D4D">
      <w:pPr>
        <w:pStyle w:val="SchedH4"/>
      </w:pPr>
      <w:r>
        <w:t>owned, controlled by, acting on behalf of, or at the direction of individuals, persons, entities or organisations referred to in section</w:t>
      </w:r>
      <w:r w:rsidR="001C0B22">
        <w:t>s</w:t>
      </w:r>
      <w:r>
        <w:t xml:space="preserve"> </w:t>
      </w:r>
      <w:r w:rsidR="00CB2F66">
        <w:fldChar w:fldCharType="begin"/>
      </w:r>
      <w:r w:rsidR="00CB2F66">
        <w:instrText xml:space="preserve"> REF _Ref172207973 \r \h </w:instrText>
      </w:r>
      <w:r w:rsidR="00CB2F66">
        <w:fldChar w:fldCharType="separate"/>
      </w:r>
      <w:r w:rsidR="002E5C6A">
        <w:t>10</w:t>
      </w:r>
      <w:r w:rsidR="00CB2F66">
        <w:fldChar w:fldCharType="end"/>
      </w:r>
      <w:r w:rsidR="00CB2F66">
        <w:fldChar w:fldCharType="begin"/>
      </w:r>
      <w:r w:rsidR="00CB2F66">
        <w:instrText xml:space="preserve"> REF _Ref151146342 \r \h </w:instrText>
      </w:r>
      <w:r w:rsidR="00CB2F66">
        <w:fldChar w:fldCharType="separate"/>
      </w:r>
      <w:r w:rsidR="002E5C6A">
        <w:t>(a)</w:t>
      </w:r>
      <w:r w:rsidR="00CB2F66">
        <w:fldChar w:fldCharType="end"/>
      </w:r>
      <w:r w:rsidR="00CB2F66">
        <w:fldChar w:fldCharType="begin"/>
      </w:r>
      <w:r w:rsidR="00CB2F66">
        <w:instrText xml:space="preserve"> REF _Ref151146254 \r \h </w:instrText>
      </w:r>
      <w:r w:rsidR="00CB2F66">
        <w:fldChar w:fldCharType="separate"/>
      </w:r>
      <w:r w:rsidR="002E5C6A">
        <w:t>(i)</w:t>
      </w:r>
      <w:r w:rsidR="00CB2F66">
        <w:fldChar w:fldCharType="end"/>
      </w:r>
      <w:r w:rsidR="00CB2F66" w:rsidDel="00CB2F66">
        <w:t xml:space="preserve"> </w:t>
      </w:r>
      <w:r w:rsidRPr="002E7968">
        <w:t xml:space="preserve">to </w:t>
      </w:r>
      <w:r w:rsidR="00CB2F66">
        <w:fldChar w:fldCharType="begin"/>
      </w:r>
      <w:r w:rsidR="00CB2F66">
        <w:instrText xml:space="preserve"> REF _Ref172207973 \r \h </w:instrText>
      </w:r>
      <w:r w:rsidR="00CB2F66">
        <w:fldChar w:fldCharType="separate"/>
      </w:r>
      <w:r w:rsidR="002E5C6A">
        <w:t>10</w:t>
      </w:r>
      <w:r w:rsidR="00CB2F66">
        <w:fldChar w:fldCharType="end"/>
      </w:r>
      <w:r w:rsidR="00CB2F66">
        <w:fldChar w:fldCharType="begin"/>
      </w:r>
      <w:r w:rsidR="00CB2F66">
        <w:instrText xml:space="preserve"> REF _Ref151146342 \r \h </w:instrText>
      </w:r>
      <w:r w:rsidR="00CB2F66">
        <w:fldChar w:fldCharType="separate"/>
      </w:r>
      <w:r w:rsidR="002E5C6A">
        <w:t>(a)</w:t>
      </w:r>
      <w:r w:rsidR="00CB2F66">
        <w:fldChar w:fldCharType="end"/>
      </w:r>
      <w:r w:rsidR="00CB2F66">
        <w:fldChar w:fldCharType="begin"/>
      </w:r>
      <w:r w:rsidR="00CB2F66">
        <w:instrText xml:space="preserve"> REF _Ref151146306 \r \h </w:instrText>
      </w:r>
      <w:r w:rsidR="00CB2F66">
        <w:fldChar w:fldCharType="separate"/>
      </w:r>
      <w:r w:rsidR="002E5C6A">
        <w:t>(iv)</w:t>
      </w:r>
      <w:r w:rsidR="00CB2F66">
        <w:fldChar w:fldCharType="end"/>
      </w:r>
      <w:r w:rsidRPr="002E7968">
        <w:t>; or</w:t>
      </w:r>
    </w:p>
    <w:p w14:paraId="62B3DE2F" w14:textId="5F944918" w:rsidR="00C15C21" w:rsidRDefault="00C15C21" w:rsidP="00EF4D4D">
      <w:pPr>
        <w:pStyle w:val="SchedH4"/>
      </w:pPr>
      <w:r>
        <w:t xml:space="preserve">providing direct or indirect support, resources or assets (including any grant monies) to individuals, persons, entities or organisations referred to in section </w:t>
      </w:r>
      <w:r w:rsidR="00CB2F66">
        <w:fldChar w:fldCharType="begin"/>
      </w:r>
      <w:r w:rsidR="00CB2F66">
        <w:instrText xml:space="preserve"> REF _Ref172207973 \r \h </w:instrText>
      </w:r>
      <w:r w:rsidR="00CB2F66">
        <w:fldChar w:fldCharType="separate"/>
      </w:r>
      <w:r w:rsidR="002E5C6A">
        <w:t>10</w:t>
      </w:r>
      <w:r w:rsidR="00CB2F66">
        <w:fldChar w:fldCharType="end"/>
      </w:r>
      <w:r w:rsidR="00CB2F66">
        <w:fldChar w:fldCharType="begin"/>
      </w:r>
      <w:r w:rsidR="00CB2F66">
        <w:instrText xml:space="preserve"> REF _Ref151146342 \r \h </w:instrText>
      </w:r>
      <w:r w:rsidR="00CB2F66">
        <w:fldChar w:fldCharType="separate"/>
      </w:r>
      <w:r w:rsidR="002E5C6A">
        <w:t>(a)</w:t>
      </w:r>
      <w:r w:rsidR="00CB2F66">
        <w:fldChar w:fldCharType="end"/>
      </w:r>
      <w:r w:rsidR="00CB2F66">
        <w:fldChar w:fldCharType="begin"/>
      </w:r>
      <w:r w:rsidR="00CB2F66">
        <w:instrText xml:space="preserve"> REF _Ref151146254 \r \h </w:instrText>
      </w:r>
      <w:r w:rsidR="00CB2F66">
        <w:fldChar w:fldCharType="separate"/>
      </w:r>
      <w:r w:rsidR="002E5C6A">
        <w:t>(i)</w:t>
      </w:r>
      <w:r w:rsidR="00CB2F66">
        <w:fldChar w:fldCharType="end"/>
      </w:r>
      <w:r w:rsidRPr="002752A9">
        <w:rPr>
          <w:b/>
          <w:bCs/>
        </w:rPr>
        <w:t xml:space="preserve"> </w:t>
      </w:r>
      <w:r w:rsidRPr="002E7968">
        <w:t xml:space="preserve">to </w:t>
      </w:r>
      <w:r w:rsidR="00CB2F66">
        <w:fldChar w:fldCharType="begin"/>
      </w:r>
      <w:r w:rsidR="00CB2F66">
        <w:instrText xml:space="preserve"> REF _Ref172207973 \r \h </w:instrText>
      </w:r>
      <w:r w:rsidR="00CB2F66">
        <w:fldChar w:fldCharType="separate"/>
      </w:r>
      <w:r w:rsidR="002E5C6A">
        <w:t>10</w:t>
      </w:r>
      <w:r w:rsidR="00CB2F66">
        <w:fldChar w:fldCharType="end"/>
      </w:r>
      <w:r w:rsidR="00CB2F66">
        <w:fldChar w:fldCharType="begin"/>
      </w:r>
      <w:r w:rsidR="00CB2F66">
        <w:instrText xml:space="preserve"> REF _Ref151146342 \r \h </w:instrText>
      </w:r>
      <w:r w:rsidR="00CB2F66">
        <w:fldChar w:fldCharType="separate"/>
      </w:r>
      <w:r w:rsidR="002E5C6A">
        <w:t>(a)</w:t>
      </w:r>
      <w:r w:rsidR="00CB2F66">
        <w:fldChar w:fldCharType="end"/>
      </w:r>
      <w:r w:rsidR="00CB2F66">
        <w:fldChar w:fldCharType="begin"/>
      </w:r>
      <w:r w:rsidR="00CB2F66">
        <w:instrText xml:space="preserve"> REF _Ref151146306 \r \h </w:instrText>
      </w:r>
      <w:r w:rsidR="00CB2F66">
        <w:fldChar w:fldCharType="separate"/>
      </w:r>
      <w:r w:rsidR="002E5C6A">
        <w:t>(iv)</w:t>
      </w:r>
      <w:r w:rsidR="00CB2F66">
        <w:fldChar w:fldCharType="end"/>
      </w:r>
      <w:r>
        <w:t>.</w:t>
      </w:r>
    </w:p>
    <w:p w14:paraId="295F9E19" w14:textId="77777777" w:rsidR="00C15C21" w:rsidRDefault="00C15C21" w:rsidP="00EF4D4D">
      <w:pPr>
        <w:pStyle w:val="SchedH3"/>
      </w:pPr>
      <w:r>
        <w:t xml:space="preserve">If </w:t>
      </w:r>
      <w:r w:rsidR="00710085">
        <w:t>Project Operator</w:t>
      </w:r>
      <w:r>
        <w:t xml:space="preserve"> becomes aware that there are reasonable grounds to suspect it or any of its </w:t>
      </w:r>
      <w:r w:rsidR="00D4097E" w:rsidRPr="00F75565">
        <w:t xml:space="preserve">officers, employees, </w:t>
      </w:r>
      <w:r w:rsidR="009C7B3B">
        <w:t>S</w:t>
      </w:r>
      <w:r w:rsidR="00D4097E" w:rsidRPr="00F75565">
        <w:t xml:space="preserve">ubcontractors or agents </w:t>
      </w:r>
      <w:r>
        <w:t xml:space="preserve">has or may have contravened any part of section </w:t>
      </w:r>
      <w:r>
        <w:rPr>
          <w:b/>
          <w:bCs/>
        </w:rPr>
        <w:fldChar w:fldCharType="begin" w:fldLock="1"/>
      </w:r>
      <w:r>
        <w:instrText xml:space="preserve"> REF _Ref151146342 \w \h </w:instrText>
      </w:r>
      <w:r>
        <w:rPr>
          <w:b/>
          <w:bCs/>
        </w:rPr>
      </w:r>
      <w:r>
        <w:rPr>
          <w:b/>
          <w:bCs/>
        </w:rPr>
        <w:fldChar w:fldCharType="separate"/>
      </w:r>
      <w:r>
        <w:t>10(a)</w:t>
      </w:r>
      <w:r>
        <w:rPr>
          <w:b/>
          <w:bCs/>
        </w:rPr>
        <w:fldChar w:fldCharType="end"/>
      </w:r>
      <w:r>
        <w:t xml:space="preserve">, </w:t>
      </w:r>
      <w:r w:rsidR="00710085">
        <w:t>Project Operator</w:t>
      </w:r>
      <w:r>
        <w:t xml:space="preserve"> must:</w:t>
      </w:r>
    </w:p>
    <w:p w14:paraId="5440E392" w14:textId="51B3D7AF" w:rsidR="00C15C21" w:rsidRDefault="00C15C21" w:rsidP="00EF4D4D">
      <w:pPr>
        <w:pStyle w:val="SchedH4"/>
      </w:pPr>
      <w:r>
        <w:t>notify the Commonwealth and confirm that information in writing as soon as possible, which must be no later than within 24</w:t>
      </w:r>
      <w:r w:rsidR="0022514D">
        <w:t> </w:t>
      </w:r>
      <w:r>
        <w:t>hours;</w:t>
      </w:r>
    </w:p>
    <w:p w14:paraId="5867449C" w14:textId="77777777" w:rsidR="00C15C21" w:rsidRDefault="00C15C21" w:rsidP="00EF4D4D">
      <w:pPr>
        <w:pStyle w:val="SchedH4"/>
      </w:pPr>
      <w:r>
        <w:t>immediately take all reasonable action to mitigate the risks; and</w:t>
      </w:r>
    </w:p>
    <w:p w14:paraId="0CBFF615" w14:textId="77777777" w:rsidR="00C15C21" w:rsidRDefault="00C15C21" w:rsidP="00EF4D4D">
      <w:pPr>
        <w:pStyle w:val="SchedH4"/>
      </w:pPr>
      <w:r>
        <w:t>take any other action required by the Commonwealth.</w:t>
      </w:r>
    </w:p>
    <w:p w14:paraId="3B503C33" w14:textId="12136C86" w:rsidR="00C15C21" w:rsidRDefault="00710085" w:rsidP="00EF4D4D">
      <w:pPr>
        <w:pStyle w:val="SchedH3"/>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imposes on the </w:t>
      </w:r>
      <w:r w:rsidR="009C7B3B">
        <w:t>S</w:t>
      </w:r>
      <w:r w:rsidR="00C15C21">
        <w:t>ubcontractor</w:t>
      </w:r>
      <w:r w:rsidR="001C0B22">
        <w:t xml:space="preserve">, </w:t>
      </w:r>
      <w:r w:rsidR="001C0B22" w:rsidRPr="00DE3C1E">
        <w:t>in respect of itself and its Related Bodies Corporate and its and their respective officers, employees, Subcontractors and agents involved in the performance of the Project</w:t>
      </w:r>
      <w:r w:rsidR="001C0B22">
        <w:t>,</w:t>
      </w:r>
      <w:r w:rsidR="00C15C21">
        <w:t xml:space="preserve"> the same obligations that </w:t>
      </w:r>
      <w:r>
        <w:t>Project Operator</w:t>
      </w:r>
      <w:r w:rsidR="00C15C21">
        <w:t xml:space="preserve"> has under this section </w:t>
      </w:r>
      <w:r w:rsidR="00C15C21">
        <w:fldChar w:fldCharType="begin" w:fldLock="1"/>
      </w:r>
      <w:r w:rsidR="00C15C21">
        <w:instrText xml:space="preserve"> REF _Ref151146366 \w \h </w:instrText>
      </w:r>
      <w:r w:rsidR="00C15C21">
        <w:fldChar w:fldCharType="separate"/>
      </w:r>
      <w:r w:rsidR="00C15C21">
        <w:t>10</w:t>
      </w:r>
      <w:r w:rsidR="00C15C21">
        <w:fldChar w:fldCharType="end"/>
      </w:r>
      <w:r w:rsidR="00C15C21">
        <w:t xml:space="preserve">, including this requirement to impose obligations on any further </w:t>
      </w:r>
      <w:r w:rsidR="009C7B3B">
        <w:t>S</w:t>
      </w:r>
      <w:r w:rsidR="00C15C21">
        <w:t>ubcontractor.</w:t>
      </w:r>
    </w:p>
    <w:p w14:paraId="10224FB1" w14:textId="6A2EBBC3" w:rsidR="0075721F" w:rsidRDefault="0075721F" w:rsidP="0075721F">
      <w:pPr>
        <w:pStyle w:val="SchedH3"/>
      </w:pPr>
      <w:bookmarkStart w:id="5618" w:name="_Ref167311873"/>
      <w:r>
        <w:t xml:space="preserve">If Project Operator fails to comply with this section </w:t>
      </w:r>
      <w:r>
        <w:fldChar w:fldCharType="begin" w:fldLock="1"/>
      </w:r>
      <w:r>
        <w:instrText xml:space="preserve"> REF _Ref151146366 \w \h </w:instrText>
      </w:r>
      <w:r>
        <w:fldChar w:fldCharType="separate"/>
      </w:r>
      <w:r>
        <w:t>10</w:t>
      </w:r>
      <w:r>
        <w:fldChar w:fldCharType="end"/>
      </w:r>
      <w:r>
        <w:t>, the Commonwealth may terminate this agreement pursuant to clause </w:t>
      </w:r>
      <w:r>
        <w:fldChar w:fldCharType="begin"/>
      </w:r>
      <w:r>
        <w:instrText xml:space="preserve"> REF _Ref165018009 \w \h </w:instrText>
      </w:r>
      <w:r>
        <w:fldChar w:fldCharType="separate"/>
      </w:r>
      <w:r w:rsidR="002E5C6A">
        <w:t>22.3(s)</w:t>
      </w:r>
      <w:r>
        <w:fldChar w:fldCharType="end"/>
      </w:r>
      <w:r>
        <w:t xml:space="preserve"> (“</w:t>
      </w:r>
      <w:r>
        <w:fldChar w:fldCharType="begin"/>
      </w:r>
      <w:r>
        <w:instrText xml:space="preserve"> REF _Ref159420790 \h </w:instrText>
      </w:r>
      <w:r>
        <w:fldChar w:fldCharType="separate"/>
      </w:r>
      <w:r w:rsidR="002E5C6A" w:rsidRPr="00847C21">
        <w:t>Termination by the Commonwealth for default</w:t>
      </w:r>
      <w:r>
        <w:fldChar w:fldCharType="end"/>
      </w:r>
      <w:r>
        <w:t>”).</w:t>
      </w:r>
      <w:bookmarkEnd w:id="5618"/>
      <w:r>
        <w:t xml:space="preserve"> </w:t>
      </w:r>
    </w:p>
    <w:p w14:paraId="0F57E0A4" w14:textId="77777777" w:rsidR="00C15C21" w:rsidRDefault="00C15C21" w:rsidP="00EE39BA">
      <w:pPr>
        <w:pStyle w:val="SchedH1"/>
      </w:pPr>
      <w:bookmarkStart w:id="5619" w:name="_Ref151139938"/>
      <w:bookmarkStart w:id="5620" w:name="_Toc151272794"/>
      <w:bookmarkStart w:id="5621" w:name="_Toc153945318"/>
      <w:bookmarkStart w:id="5622" w:name="_Ref204188765"/>
      <w:bookmarkStart w:id="5623" w:name="_Ref_ContractCompanion_9kb9Ur48E"/>
      <w:r>
        <w:t>Environment</w:t>
      </w:r>
      <w:bookmarkEnd w:id="5619"/>
      <w:bookmarkEnd w:id="5620"/>
      <w:bookmarkEnd w:id="5621"/>
      <w:r w:rsidR="0075721F">
        <w:t>, native title and cultural heritage</w:t>
      </w:r>
      <w:bookmarkEnd w:id="5622"/>
      <w:r>
        <w:t xml:space="preserve"> </w:t>
      </w:r>
      <w:bookmarkEnd w:id="5623"/>
    </w:p>
    <w:p w14:paraId="3951B4EB" w14:textId="77777777" w:rsidR="0075721F" w:rsidRDefault="00710085" w:rsidP="00AF145F">
      <w:pPr>
        <w:pStyle w:val="SchedH3"/>
        <w:keepNext/>
      </w:pPr>
      <w:r>
        <w:t>Project Operator</w:t>
      </w:r>
      <w:r w:rsidR="00C15C21" w:rsidRPr="000C482A">
        <w:t xml:space="preserve"> </w:t>
      </w:r>
      <w:r w:rsidR="0075721F">
        <w:t>must</w:t>
      </w:r>
      <w:r w:rsidR="00C15C21" w:rsidRPr="000C482A">
        <w:t xml:space="preserve"> perform its obligations under </w:t>
      </w:r>
      <w:r w:rsidR="00C15C21">
        <w:t xml:space="preserve">this </w:t>
      </w:r>
      <w:r>
        <w:t>agreement</w:t>
      </w:r>
      <w:r w:rsidR="00C15C21" w:rsidRPr="000C482A">
        <w:t xml:space="preserve"> in such a way that</w:t>
      </w:r>
      <w:r w:rsidR="00C15C21">
        <w:t xml:space="preserve"> </w:t>
      </w:r>
      <w:r w:rsidR="0075721F">
        <w:t>it does not b</w:t>
      </w:r>
      <w:r w:rsidR="00763324">
        <w:t>r</w:t>
      </w:r>
      <w:r w:rsidR="0075721F">
        <w:t xml:space="preserve">each, and </w:t>
      </w:r>
      <w:r w:rsidR="00C15C21" w:rsidRPr="000C482A">
        <w:t>the Commonwealth is not placed in breach of</w:t>
      </w:r>
      <w:r w:rsidR="0075721F">
        <w:t>,</w:t>
      </w:r>
      <w:r w:rsidR="00C15C21">
        <w:t xml:space="preserve"> </w:t>
      </w:r>
      <w:r w:rsidR="00C15C21" w:rsidRPr="000C482A">
        <w:t>any applicable</w:t>
      </w:r>
      <w:r w:rsidR="0075721F">
        <w:t>:</w:t>
      </w:r>
      <w:r w:rsidR="00C15C21" w:rsidRPr="000C482A">
        <w:t xml:space="preserve"> </w:t>
      </w:r>
    </w:p>
    <w:p w14:paraId="0E965DD6" w14:textId="77777777" w:rsidR="0075721F" w:rsidRDefault="00C15C21" w:rsidP="0075721F">
      <w:pPr>
        <w:pStyle w:val="SchedH4"/>
      </w:pPr>
      <w:r w:rsidRPr="000C482A">
        <w:t xml:space="preserve">environmental </w:t>
      </w:r>
      <w:r>
        <w:t>Laws,</w:t>
      </w:r>
      <w:r w:rsidRPr="000C482A">
        <w:t xml:space="preserve"> including the </w:t>
      </w:r>
      <w:r w:rsidRPr="007F1A89">
        <w:rPr>
          <w:i/>
        </w:rPr>
        <w:t>Environment Protection and Biodiversity Conservation Act</w:t>
      </w:r>
      <w:r w:rsidRPr="002C2F19">
        <w:t xml:space="preserve"> </w:t>
      </w:r>
      <w:r w:rsidRPr="007F1A89">
        <w:rPr>
          <w:i/>
        </w:rPr>
        <w:t>1999</w:t>
      </w:r>
      <w:r>
        <w:t xml:space="preserve"> (Cth)</w:t>
      </w:r>
      <w:r w:rsidR="0075721F" w:rsidRPr="0075721F">
        <w:t xml:space="preserve"> </w:t>
      </w:r>
      <w:r w:rsidR="0075721F">
        <w:t xml:space="preserve">and any environmental laws of the Relevant Jurisdiction; </w:t>
      </w:r>
    </w:p>
    <w:p w14:paraId="399A92A4" w14:textId="77777777" w:rsidR="0075721F" w:rsidRDefault="0075721F" w:rsidP="0075721F">
      <w:pPr>
        <w:pStyle w:val="SchedH4"/>
      </w:pPr>
      <w:r>
        <w:t xml:space="preserve">native title Laws, including the </w:t>
      </w:r>
      <w:r w:rsidRPr="00C24B40">
        <w:rPr>
          <w:i/>
          <w:iCs/>
        </w:rPr>
        <w:t>Native Title Act 1993</w:t>
      </w:r>
      <w:r w:rsidRPr="00C24B40">
        <w:t xml:space="preserve"> (Cth)</w:t>
      </w:r>
      <w:r>
        <w:t xml:space="preserve"> and any native title legislation of the Relevant Jurisdiction; or </w:t>
      </w:r>
    </w:p>
    <w:p w14:paraId="79F86462" w14:textId="77777777" w:rsidR="00C15C21" w:rsidRDefault="0075721F" w:rsidP="007F1A89">
      <w:pPr>
        <w:pStyle w:val="SchedH4"/>
      </w:pPr>
      <w:r>
        <w:t xml:space="preserve">indigenous cultural heritage Laws, including the </w:t>
      </w:r>
      <w:r w:rsidRPr="0075721F">
        <w:rPr>
          <w:i/>
        </w:rPr>
        <w:t>Environment Protection and Biodiversity Conservation Act</w:t>
      </w:r>
      <w:r w:rsidRPr="002C2F19">
        <w:t xml:space="preserve"> </w:t>
      </w:r>
      <w:r w:rsidRPr="0075721F">
        <w:rPr>
          <w:i/>
        </w:rPr>
        <w:t>1999</w:t>
      </w:r>
      <w:r>
        <w:t xml:space="preserve"> (Cth), the </w:t>
      </w:r>
      <w:r w:rsidRPr="0075721F">
        <w:rPr>
          <w:i/>
          <w:iCs/>
        </w:rPr>
        <w:t>Aboriginal and Torres Strait Islander Heritage Protection Act 1984</w:t>
      </w:r>
      <w:r w:rsidRPr="001359E8">
        <w:t xml:space="preserve"> (Cth)</w:t>
      </w:r>
      <w:r>
        <w:t xml:space="preserve"> and any indigenous cultural heritage Laws of the Relevant Jurisdiction</w:t>
      </w:r>
      <w:r w:rsidR="00C15C21" w:rsidRPr="000C482A">
        <w:t xml:space="preserve">. </w:t>
      </w:r>
    </w:p>
    <w:p w14:paraId="492FF664" w14:textId="3C8DC75A" w:rsidR="0075721F" w:rsidRDefault="00710085" w:rsidP="00EF4D4D">
      <w:pPr>
        <w:pStyle w:val="SchedH3"/>
      </w:pPr>
      <w:r>
        <w:t>Project Operator</w:t>
      </w:r>
      <w:r w:rsidR="00C15C21">
        <w:t xml:space="preserve"> must comply</w:t>
      </w:r>
      <w:r w:rsidR="001C0B22">
        <w:t>,</w:t>
      </w:r>
      <w:r w:rsidR="001C0B22" w:rsidRPr="00DE3C1E">
        <w:t xml:space="preserve"> and must ensure that its Related Bodies Corporate and its and their respective officers, employees, Subcontractors and agents comply,</w:t>
      </w:r>
      <w:r w:rsidR="00C15C21">
        <w:t xml:space="preserve"> with any reasonable request, policy or direction issued by the Commonwealth and otherwise cooperate with the Commonwealth in relation to any action taken by the Commonwealth required or authorised by </w:t>
      </w:r>
      <w:r w:rsidR="00C15C21" w:rsidRPr="000C482A">
        <w:t>applicable</w:t>
      </w:r>
      <w:r w:rsidR="0075721F">
        <w:t>:</w:t>
      </w:r>
      <w:r w:rsidR="00C15C21" w:rsidRPr="000C482A">
        <w:t xml:space="preserve"> </w:t>
      </w:r>
    </w:p>
    <w:p w14:paraId="500C3EA8" w14:textId="77777777" w:rsidR="0075721F" w:rsidRDefault="00C15C21" w:rsidP="0075721F">
      <w:pPr>
        <w:pStyle w:val="SchedH4"/>
      </w:pPr>
      <w:r w:rsidRPr="000C482A">
        <w:t xml:space="preserve">environmental </w:t>
      </w:r>
      <w:r>
        <w:t>Laws,</w:t>
      </w:r>
      <w:r w:rsidRPr="000C482A">
        <w:t xml:space="preserve"> including the </w:t>
      </w:r>
      <w:r w:rsidRPr="0057498D">
        <w:rPr>
          <w:i/>
        </w:rPr>
        <w:t>Environment Protection and Biodiversity Conservation Act</w:t>
      </w:r>
      <w:r w:rsidRPr="002C2F19">
        <w:t xml:space="preserve"> </w:t>
      </w:r>
      <w:r w:rsidRPr="003637B9">
        <w:rPr>
          <w:i/>
        </w:rPr>
        <w:t>1999</w:t>
      </w:r>
      <w:r>
        <w:t xml:space="preserve"> (Cth)</w:t>
      </w:r>
      <w:r w:rsidR="0075721F" w:rsidRPr="0075721F">
        <w:t xml:space="preserve"> </w:t>
      </w:r>
      <w:r w:rsidR="0075721F">
        <w:t>and any environmental laws of the Relevant Jurisdiction;</w:t>
      </w:r>
    </w:p>
    <w:p w14:paraId="00CC9531" w14:textId="77777777" w:rsidR="0075721F" w:rsidRDefault="0075721F" w:rsidP="0075721F">
      <w:pPr>
        <w:pStyle w:val="SchedH4"/>
      </w:pPr>
      <w:r>
        <w:t xml:space="preserve">native title Laws, including the </w:t>
      </w:r>
      <w:r w:rsidRPr="00C24B40">
        <w:rPr>
          <w:i/>
          <w:iCs/>
        </w:rPr>
        <w:t>Native Title Act 1993</w:t>
      </w:r>
      <w:r w:rsidRPr="00C24B40">
        <w:t xml:space="preserve"> (Cth)</w:t>
      </w:r>
      <w:r>
        <w:t xml:space="preserve"> and any native title legislation of the Relevant Jurisdiction; or </w:t>
      </w:r>
    </w:p>
    <w:p w14:paraId="43842A54" w14:textId="77777777" w:rsidR="00C15C21" w:rsidRDefault="0075721F" w:rsidP="007F1A89">
      <w:pPr>
        <w:pStyle w:val="SchedH4"/>
      </w:pPr>
      <w:r>
        <w:t xml:space="preserve">indigenous cultural heritage Laws, including the </w:t>
      </w:r>
      <w:r w:rsidRPr="0075721F">
        <w:rPr>
          <w:i/>
        </w:rPr>
        <w:t>Environment Protection and Biodiversity Conservation Act</w:t>
      </w:r>
      <w:r w:rsidRPr="002C2F19">
        <w:t xml:space="preserve"> </w:t>
      </w:r>
      <w:r w:rsidRPr="0075721F">
        <w:rPr>
          <w:i/>
        </w:rPr>
        <w:t>1999</w:t>
      </w:r>
      <w:r>
        <w:t xml:space="preserve"> (Cth), the </w:t>
      </w:r>
      <w:r w:rsidRPr="0075721F">
        <w:rPr>
          <w:i/>
          <w:iCs/>
        </w:rPr>
        <w:t>Aboriginal and Torres Strait Islander Heritage Protection Act 1984</w:t>
      </w:r>
      <w:r w:rsidRPr="001359E8">
        <w:t xml:space="preserve"> (Cth)</w:t>
      </w:r>
      <w:r>
        <w:t xml:space="preserve"> and any indigenous cultural heritage Laws of the Relevant Jurisdiction</w:t>
      </w:r>
      <w:r w:rsidR="00C15C21" w:rsidRPr="000C482A">
        <w:t xml:space="preserve">. </w:t>
      </w:r>
    </w:p>
    <w:p w14:paraId="4058B4D4" w14:textId="590E4894" w:rsidR="00C15C21" w:rsidRDefault="00710085" w:rsidP="00EF4D4D">
      <w:pPr>
        <w:pStyle w:val="SchedH3"/>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imposes on the </w:t>
      </w:r>
      <w:r w:rsidR="009C7B3B">
        <w:t>S</w:t>
      </w:r>
      <w:r w:rsidR="00C15C21">
        <w:t>ubcontractor</w:t>
      </w:r>
      <w:r w:rsidR="001C0B22">
        <w:t>,</w:t>
      </w:r>
      <w:r w:rsidR="001C0B22" w:rsidRPr="00DE3C1E">
        <w:t xml:space="preserve"> in respect of itself and its Related Bodies Corporate and its and their respective officers, employees, Subcontractors and agents</w:t>
      </w:r>
      <w:r w:rsidR="001C0B22">
        <w:t>,</w:t>
      </w:r>
      <w:r w:rsidR="00C15C21">
        <w:t xml:space="preserve"> the same obligations that </w:t>
      </w:r>
      <w:r>
        <w:t>Project Operator</w:t>
      </w:r>
      <w:r w:rsidR="00C15C21">
        <w:t xml:space="preserve"> has under this section </w:t>
      </w:r>
      <w:r w:rsidR="00EF6FF8">
        <w:fldChar w:fldCharType="begin"/>
      </w:r>
      <w:r w:rsidR="00EF6FF8">
        <w:instrText xml:space="preserve"> REF _Ref_ContractCompanion_9kb9Ur48E \w \n \h \t \* MERGEFORMAT </w:instrText>
      </w:r>
      <w:r w:rsidR="00EF6FF8">
        <w:fldChar w:fldCharType="separate"/>
      </w:r>
      <w:r w:rsidR="002E5C6A">
        <w:t>11</w:t>
      </w:r>
      <w:r w:rsidR="00EF6FF8">
        <w:fldChar w:fldCharType="end"/>
      </w:r>
      <w:r w:rsidR="00C15C21">
        <w:t xml:space="preserve">, including this requirement to impose obligations on any further </w:t>
      </w:r>
      <w:r w:rsidR="009C7B3B">
        <w:t>S</w:t>
      </w:r>
      <w:r w:rsidR="00C15C21">
        <w:t>ubcontractor.</w:t>
      </w:r>
    </w:p>
    <w:p w14:paraId="261E05EE" w14:textId="5D9BAD0F" w:rsidR="00C15C21" w:rsidRDefault="00710085" w:rsidP="00EF4D4D">
      <w:pPr>
        <w:pStyle w:val="SchedH3"/>
      </w:pPr>
      <w:r>
        <w:t>Project Operator</w:t>
      </w:r>
      <w:r w:rsidR="00C15C21">
        <w:t>'s</w:t>
      </w:r>
      <w:r w:rsidR="00C15C21" w:rsidRPr="00794A90">
        <w:t xml:space="preserve"> obligations under this </w:t>
      </w:r>
      <w:r w:rsidR="00C15C21">
        <w:t xml:space="preserve">section </w:t>
      </w:r>
      <w:r w:rsidR="00EF6FF8">
        <w:fldChar w:fldCharType="begin"/>
      </w:r>
      <w:r w:rsidR="00EF6FF8">
        <w:instrText xml:space="preserve"> REF _Ref_ContractCompanion_9kb9Ur48E \w \n \h \t \* MERGEFORMAT </w:instrText>
      </w:r>
      <w:r w:rsidR="00EF6FF8">
        <w:fldChar w:fldCharType="separate"/>
      </w:r>
      <w:r w:rsidR="002E5C6A">
        <w:t>11</w:t>
      </w:r>
      <w:r w:rsidR="00EF6FF8">
        <w:fldChar w:fldCharType="end"/>
      </w:r>
      <w:r w:rsidR="00C15C21" w:rsidRPr="00794A90">
        <w:t xml:space="preserve"> </w:t>
      </w:r>
      <w:r w:rsidR="0075721F">
        <w:t>will</w:t>
      </w:r>
      <w:r w:rsidR="00C15C21" w:rsidRPr="00794A90">
        <w:t xml:space="preserve"> survive termination or expiry of </w:t>
      </w:r>
      <w:r w:rsidR="00C15C21">
        <w:t xml:space="preserve">this </w:t>
      </w:r>
      <w:r>
        <w:t>agreement</w:t>
      </w:r>
      <w:r w:rsidR="00C15C21" w:rsidRPr="00794A90">
        <w:t>.</w:t>
      </w:r>
    </w:p>
    <w:p w14:paraId="68D637ED" w14:textId="2C43EADF" w:rsidR="0075721F" w:rsidRPr="00794A90" w:rsidRDefault="0075721F" w:rsidP="007F1A89">
      <w:pPr>
        <w:pStyle w:val="SchedH3"/>
      </w:pPr>
      <w:r>
        <w:t xml:space="preserve">A failure by Project Operator to comply with this section </w:t>
      </w:r>
      <w:r w:rsidR="00EF6FF8">
        <w:fldChar w:fldCharType="begin"/>
      </w:r>
      <w:r w:rsidR="00EF6FF8">
        <w:instrText xml:space="preserve"> REF _Ref_ContractCompanion_9kb9Ur48E \w \n \h \t \* MERGEFORMAT </w:instrText>
      </w:r>
      <w:r w:rsidR="00EF6FF8">
        <w:fldChar w:fldCharType="separate"/>
      </w:r>
      <w:r w:rsidR="002E5C6A">
        <w:t>11</w:t>
      </w:r>
      <w:r w:rsidR="00EF6FF8">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fldChar w:fldCharType="begin"/>
      </w:r>
      <w:r>
        <w:instrText xml:space="preserve"> REF _Ref159420790 \w \h </w:instrText>
      </w:r>
      <w:r>
        <w:fldChar w:fldCharType="separate"/>
      </w:r>
      <w:r w:rsidR="002E5C6A">
        <w:t>22.3</w:t>
      </w:r>
      <w:r>
        <w:fldChar w:fldCharType="end"/>
      </w:r>
      <w:r>
        <w:t xml:space="preserve"> (“</w:t>
      </w:r>
      <w:r>
        <w:fldChar w:fldCharType="begin"/>
      </w:r>
      <w:r>
        <w:instrText xml:space="preserve"> REF _Ref159420790 \h </w:instrText>
      </w:r>
      <w:r>
        <w:fldChar w:fldCharType="separate"/>
      </w:r>
      <w:r w:rsidR="002E5C6A" w:rsidRPr="00847C21">
        <w:t>Termination by the Commonwealth for default</w:t>
      </w:r>
      <w:r>
        <w:fldChar w:fldCharType="end"/>
      </w:r>
      <w:r>
        <w:t>”).</w:t>
      </w:r>
    </w:p>
    <w:p w14:paraId="7D2C6F56" w14:textId="352CA294" w:rsidR="00C15C21" w:rsidRDefault="00C15C21" w:rsidP="00EE39BA">
      <w:pPr>
        <w:pStyle w:val="SchedH1"/>
      </w:pPr>
      <w:bookmarkStart w:id="5624" w:name="_Ref151140295"/>
      <w:bookmarkStart w:id="5625" w:name="_Toc151272795"/>
      <w:bookmarkStart w:id="5626" w:name="_Toc153945319"/>
      <w:bookmarkStart w:id="5627" w:name="_Ref_ContractCompanion_9kb9Ur497"/>
      <w:bookmarkStart w:id="5628" w:name="_Ref204188784"/>
      <w:r>
        <w:t>Privacy</w:t>
      </w:r>
      <w:bookmarkEnd w:id="5624"/>
      <w:bookmarkEnd w:id="5625"/>
      <w:bookmarkEnd w:id="5626"/>
      <w:r>
        <w:t xml:space="preserve"> </w:t>
      </w:r>
      <w:bookmarkEnd w:id="5627"/>
      <w:r w:rsidR="001C0B22">
        <w:t>and Mandatory Data Breach Notification</w:t>
      </w:r>
      <w:bookmarkEnd w:id="5628"/>
    </w:p>
    <w:p w14:paraId="48F11A71" w14:textId="1E3A0D55" w:rsidR="001C0B22" w:rsidRDefault="001C0B22" w:rsidP="00D315FD">
      <w:pPr>
        <w:pStyle w:val="SchedH2"/>
      </w:pPr>
      <w:r>
        <w:t>Privacy</w:t>
      </w:r>
    </w:p>
    <w:p w14:paraId="2CB83A31" w14:textId="4F5AA238" w:rsidR="00C15C21" w:rsidRDefault="00C15C21" w:rsidP="00607644">
      <w:pPr>
        <w:pStyle w:val="SchedH3"/>
      </w:pPr>
      <w:r>
        <w:t xml:space="preserve">In this section </w:t>
      </w:r>
      <w:r w:rsidR="00EF6FF8">
        <w:fldChar w:fldCharType="begin"/>
      </w:r>
      <w:r w:rsidR="00EF6FF8">
        <w:instrText xml:space="preserve"> REF _Ref_ContractCompanion_9kb9Ur497 \w \n \h \t \* MERGEFORMAT </w:instrText>
      </w:r>
      <w:r w:rsidR="00EF6FF8">
        <w:fldChar w:fldCharType="separate"/>
      </w:r>
      <w:r w:rsidR="002E5C6A">
        <w:t>12</w:t>
      </w:r>
      <w:r w:rsidR="00EF6FF8">
        <w:fldChar w:fldCharType="end"/>
      </w:r>
      <w:r>
        <w:rPr>
          <w:b/>
          <w:bCs/>
        </w:rPr>
        <w:t>,</w:t>
      </w:r>
      <w:r>
        <w:t xml:space="preserve"> </w:t>
      </w:r>
      <w:r w:rsidR="001C0B22" w:rsidRPr="001C0B22">
        <w:t>“</w:t>
      </w:r>
      <w:r w:rsidRPr="00C15ADE">
        <w:rPr>
          <w:b/>
          <w:bCs/>
        </w:rPr>
        <w:t>Privacy Act</w:t>
      </w:r>
      <w:r w:rsidR="001C0B22" w:rsidRPr="00D315FD">
        <w:t>”</w:t>
      </w:r>
      <w:r>
        <w:t xml:space="preserve"> means the </w:t>
      </w:r>
      <w:r>
        <w:rPr>
          <w:i/>
          <w:iCs/>
        </w:rPr>
        <w:t xml:space="preserve">Privacy Act </w:t>
      </w:r>
      <w:r w:rsidRPr="00947DD3">
        <w:rPr>
          <w:i/>
          <w:iCs/>
        </w:rPr>
        <w:t>198</w:t>
      </w:r>
      <w:r>
        <w:rPr>
          <w:i/>
          <w:iCs/>
        </w:rPr>
        <w:t>8</w:t>
      </w:r>
      <w:r w:rsidRPr="00947DD3">
        <w:rPr>
          <w:i/>
          <w:iCs/>
        </w:rPr>
        <w:t xml:space="preserve"> </w:t>
      </w:r>
      <w:r w:rsidRPr="00DD110E">
        <w:t>(Cth)</w:t>
      </w:r>
      <w:r w:rsidR="00317C1D">
        <w:t xml:space="preserve"> and </w:t>
      </w:r>
      <w:r w:rsidR="00317C1D" w:rsidRPr="00317C1D">
        <w:rPr>
          <w:b/>
          <w:bCs/>
        </w:rPr>
        <w:t>Australian Privacy Principles</w:t>
      </w:r>
      <w:r w:rsidR="00317C1D">
        <w:t xml:space="preserve"> has the meaning given in the Privacy Act</w:t>
      </w:r>
      <w:r w:rsidRPr="00DD110E">
        <w:t>.</w:t>
      </w:r>
      <w:r>
        <w:t xml:space="preserve"> </w:t>
      </w:r>
    </w:p>
    <w:p w14:paraId="329D3EB2" w14:textId="17C33594" w:rsidR="00C15C21" w:rsidRDefault="00710085" w:rsidP="00EF4D4D">
      <w:pPr>
        <w:pStyle w:val="SchedH3"/>
      </w:pPr>
      <w:r>
        <w:t>Project Operator</w:t>
      </w:r>
      <w:r w:rsidR="00C15C21" w:rsidRPr="000C482A">
        <w:t xml:space="preserve"> </w:t>
      </w:r>
      <w:r w:rsidR="0075721F">
        <w:t>must</w:t>
      </w:r>
      <w:r w:rsidR="00C15C21" w:rsidRPr="000C482A">
        <w:t xml:space="preserve"> perform its obligations under </w:t>
      </w:r>
      <w:r w:rsidR="00C15C21">
        <w:t xml:space="preserve">this </w:t>
      </w:r>
      <w:r>
        <w:t>agreement</w:t>
      </w:r>
      <w:r w:rsidR="00C15C21" w:rsidRPr="000C482A">
        <w:t xml:space="preserve"> in such a way that</w:t>
      </w:r>
      <w:r w:rsidR="00C15C21">
        <w:t xml:space="preserve"> </w:t>
      </w:r>
      <w:r w:rsidR="0075721F">
        <w:t xml:space="preserve">it does not breach, and </w:t>
      </w:r>
      <w:r w:rsidR="00C15C21" w:rsidRPr="000C482A">
        <w:t>the Commonwealth is not placed in breach of</w:t>
      </w:r>
      <w:r w:rsidR="0075721F">
        <w:t>,</w:t>
      </w:r>
      <w:r w:rsidR="00C15C21">
        <w:t xml:space="preserve"> </w:t>
      </w:r>
      <w:r w:rsidR="00C15C21" w:rsidRPr="000C482A">
        <w:t xml:space="preserve">any applicable </w:t>
      </w:r>
      <w:r w:rsidR="00C15C21">
        <w:t>privacy</w:t>
      </w:r>
      <w:r w:rsidR="00C15C21" w:rsidRPr="000C482A">
        <w:t xml:space="preserve"> </w:t>
      </w:r>
      <w:r w:rsidR="00C15C21">
        <w:t>Laws,</w:t>
      </w:r>
      <w:r w:rsidR="00C15C21" w:rsidRPr="000C482A">
        <w:t xml:space="preserve"> including the</w:t>
      </w:r>
      <w:r w:rsidR="00C15C21">
        <w:t xml:space="preserve"> Privacy Act and the Australian Privacy Principles. </w:t>
      </w:r>
    </w:p>
    <w:p w14:paraId="557B04C9" w14:textId="6BC91B7D" w:rsidR="00C15C21" w:rsidRDefault="00710085" w:rsidP="00EF4D4D">
      <w:pPr>
        <w:pStyle w:val="SchedH3"/>
      </w:pPr>
      <w:r>
        <w:t>Project Operator</w:t>
      </w:r>
      <w:r w:rsidR="00C15C21">
        <w:t xml:space="preserve"> must comply</w:t>
      </w:r>
      <w:r w:rsidR="001C0B22">
        <w:t xml:space="preserve">, </w:t>
      </w:r>
      <w:r w:rsidR="001C0B22" w:rsidRPr="00DE3C1E">
        <w:t>and must ensure that its Related Bodies Corporate and its and their respective officers, employees, Subcontractors and agents comply,</w:t>
      </w:r>
      <w:r w:rsidR="00C15C21">
        <w:t xml:space="preserve"> with any reasonable request, policy or direction issued by the Commonwealth and otherwise cooperate with the Commonwealth in relation to any action taken by the Commonwealth required or authorised by </w:t>
      </w:r>
      <w:r w:rsidR="00C15C21" w:rsidRPr="000C482A">
        <w:t xml:space="preserve">applicable </w:t>
      </w:r>
      <w:r w:rsidR="00C15C21">
        <w:t>privacy</w:t>
      </w:r>
      <w:r w:rsidR="00C15C21" w:rsidRPr="000C482A">
        <w:t xml:space="preserve"> </w:t>
      </w:r>
      <w:r w:rsidR="00C15C21">
        <w:t>Laws,</w:t>
      </w:r>
      <w:r w:rsidR="00C15C21" w:rsidRPr="000C482A">
        <w:t xml:space="preserve"> including the </w:t>
      </w:r>
      <w:r w:rsidR="00C15C21">
        <w:t>Privacy Act and the Australian Privacy Principles.</w:t>
      </w:r>
    </w:p>
    <w:p w14:paraId="6B736FDA" w14:textId="2E8ED713" w:rsidR="00C15C21" w:rsidRDefault="00710085" w:rsidP="00EF4D4D">
      <w:pPr>
        <w:pStyle w:val="SchedH3"/>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imposes on the </w:t>
      </w:r>
      <w:r w:rsidR="009C7B3B">
        <w:t>S</w:t>
      </w:r>
      <w:r w:rsidR="00C15C21">
        <w:t>ubcontractor</w:t>
      </w:r>
      <w:r w:rsidR="001C0B22">
        <w:t xml:space="preserve">, </w:t>
      </w:r>
      <w:r w:rsidR="001C0B22" w:rsidRPr="00DE3C1E">
        <w:t>in respect of itself and its Related Bodies Corporate and its and their respective officers, employees, Subcontractors and agents,</w:t>
      </w:r>
      <w:r w:rsidR="001C0B22">
        <w:t xml:space="preserve"> </w:t>
      </w:r>
      <w:r w:rsidR="00C15C21">
        <w:t xml:space="preserve">the same obligations that </w:t>
      </w:r>
      <w:r>
        <w:t>Project Operator</w:t>
      </w:r>
      <w:r w:rsidR="00C15C21">
        <w:t xml:space="preserve"> has under this section </w:t>
      </w:r>
      <w:r w:rsidR="00EF6FF8">
        <w:fldChar w:fldCharType="begin"/>
      </w:r>
      <w:r w:rsidR="00EF6FF8">
        <w:instrText xml:space="preserve"> REF _Ref_ContractCompanion_9kb9Ur497 \w \n \h \t \* MERGEFORMAT </w:instrText>
      </w:r>
      <w:r w:rsidR="00EF6FF8">
        <w:fldChar w:fldCharType="separate"/>
      </w:r>
      <w:r w:rsidR="002E5C6A">
        <w:t>12</w:t>
      </w:r>
      <w:r w:rsidR="00EF6FF8">
        <w:fldChar w:fldCharType="end"/>
      </w:r>
      <w:r w:rsidR="00C15C21">
        <w:t xml:space="preserve">, including this requirement to impose obligations on any further </w:t>
      </w:r>
      <w:r w:rsidR="009C7B3B">
        <w:t>S</w:t>
      </w:r>
      <w:r w:rsidR="00C15C21">
        <w:t>ubcontractor.</w:t>
      </w:r>
    </w:p>
    <w:p w14:paraId="4697006C" w14:textId="2FB7C8DF" w:rsidR="00C15C21" w:rsidRDefault="00710085" w:rsidP="00EF4D4D">
      <w:pPr>
        <w:pStyle w:val="SchedH3"/>
      </w:pPr>
      <w:r>
        <w:t>Project Operator</w:t>
      </w:r>
      <w:r w:rsidR="00C15C21">
        <w:t>'s</w:t>
      </w:r>
      <w:r w:rsidR="00C15C21" w:rsidRPr="00794A90">
        <w:t xml:space="preserve"> obligations under </w:t>
      </w:r>
      <w:r w:rsidR="00C15C21">
        <w:t xml:space="preserve">this section </w:t>
      </w:r>
      <w:r w:rsidR="00EF6FF8">
        <w:fldChar w:fldCharType="begin"/>
      </w:r>
      <w:r w:rsidR="00EF6FF8">
        <w:instrText xml:space="preserve"> REF _Ref_ContractCompanion_9kb9Ur497 \w \n \h \t \* MERGEFORMAT </w:instrText>
      </w:r>
      <w:r w:rsidR="00EF6FF8">
        <w:fldChar w:fldCharType="separate"/>
      </w:r>
      <w:r w:rsidR="002E5C6A">
        <w:t>12</w:t>
      </w:r>
      <w:r w:rsidR="00EF6FF8">
        <w:fldChar w:fldCharType="end"/>
      </w:r>
      <w:r w:rsidR="00C15C21" w:rsidRPr="00794A90">
        <w:t xml:space="preserve"> </w:t>
      </w:r>
      <w:r w:rsidR="0075721F">
        <w:t>will</w:t>
      </w:r>
      <w:r w:rsidR="00C15C21" w:rsidRPr="00794A90">
        <w:t xml:space="preserve"> survive termination or expiry of </w:t>
      </w:r>
      <w:r w:rsidR="00C15C21">
        <w:t xml:space="preserve">this </w:t>
      </w:r>
      <w:r>
        <w:t>agreement</w:t>
      </w:r>
      <w:r w:rsidR="00C15C21" w:rsidRPr="00794A90">
        <w:t>.</w:t>
      </w:r>
    </w:p>
    <w:p w14:paraId="29F7FD63" w14:textId="7DE6B2EE" w:rsidR="0075721F" w:rsidRDefault="0075721F" w:rsidP="0075721F">
      <w:pPr>
        <w:pStyle w:val="SchedH3"/>
      </w:pPr>
      <w:r>
        <w:t xml:space="preserve">A failure by Project Operator to comply with this section </w:t>
      </w:r>
      <w:r w:rsidR="00EF6FF8">
        <w:fldChar w:fldCharType="begin"/>
      </w:r>
      <w:r w:rsidR="00EF6FF8">
        <w:instrText xml:space="preserve"> REF _Ref_ContractCompanion_9kb9Ur497 \w \n \h \t \* MERGEFORMAT </w:instrText>
      </w:r>
      <w:r w:rsidR="00EF6FF8">
        <w:fldChar w:fldCharType="separate"/>
      </w:r>
      <w:r w:rsidR="002E5C6A">
        <w:t>12</w:t>
      </w:r>
      <w:r w:rsidR="00EF6FF8">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fldChar w:fldCharType="begin"/>
      </w:r>
      <w:r>
        <w:instrText xml:space="preserve"> REF _Ref159420790 \w \h </w:instrText>
      </w:r>
      <w:r>
        <w:fldChar w:fldCharType="separate"/>
      </w:r>
      <w:r w:rsidR="002E5C6A">
        <w:t>22.3</w:t>
      </w:r>
      <w:r>
        <w:fldChar w:fldCharType="end"/>
      </w:r>
      <w:r>
        <w:t xml:space="preserve"> (“</w:t>
      </w:r>
      <w:r>
        <w:fldChar w:fldCharType="begin"/>
      </w:r>
      <w:r>
        <w:instrText xml:space="preserve"> REF _Ref159420790 \h </w:instrText>
      </w:r>
      <w:r>
        <w:fldChar w:fldCharType="separate"/>
      </w:r>
      <w:r w:rsidR="002E5C6A" w:rsidRPr="00847C21">
        <w:t>Termination by the Commonwealth for default</w:t>
      </w:r>
      <w:r>
        <w:fldChar w:fldCharType="end"/>
      </w:r>
      <w:r>
        <w:t>”).</w:t>
      </w:r>
    </w:p>
    <w:p w14:paraId="6C6888A0" w14:textId="77777777" w:rsidR="001C0B22" w:rsidRPr="002E492B" w:rsidRDefault="001C0B22" w:rsidP="00D315FD">
      <w:pPr>
        <w:pStyle w:val="SchedH2"/>
        <w:rPr>
          <w:bCs/>
        </w:rPr>
      </w:pPr>
      <w:bookmarkStart w:id="5629" w:name="_Ref182167244"/>
      <w:r w:rsidRPr="001C0B22">
        <w:t>Mandatory Data Breach Notification</w:t>
      </w:r>
      <w:bookmarkEnd w:id="5629"/>
    </w:p>
    <w:p w14:paraId="014E4FD3" w14:textId="2FA89374" w:rsidR="001C0B22" w:rsidRPr="00DE3C1E" w:rsidRDefault="001C0B22" w:rsidP="008F660B">
      <w:pPr>
        <w:pStyle w:val="legalDefinition"/>
        <w:numPr>
          <w:ilvl w:val="0"/>
          <w:numId w:val="109"/>
        </w:numPr>
      </w:pPr>
      <w:r w:rsidRPr="00DE3C1E">
        <w:t xml:space="preserve">For the purpose of this section </w:t>
      </w:r>
      <w:r w:rsidRPr="00DE3C1E">
        <w:fldChar w:fldCharType="begin"/>
      </w:r>
      <w:r w:rsidRPr="00DE3C1E">
        <w:instrText xml:space="preserve"> REF _Ref182167244 \r \h  \* MERGEFORMAT </w:instrText>
      </w:r>
      <w:r w:rsidRPr="00DE3C1E">
        <w:fldChar w:fldCharType="separate"/>
      </w:r>
      <w:r w:rsidR="002E5C6A">
        <w:t>12.2</w:t>
      </w:r>
      <w:r w:rsidRPr="00DE3C1E">
        <w:fldChar w:fldCharType="end"/>
      </w:r>
      <w:r w:rsidRPr="00DE3C1E">
        <w:t xml:space="preserve"> “</w:t>
      </w:r>
      <w:r w:rsidRPr="0024371D">
        <w:rPr>
          <w:b/>
          <w:bCs/>
        </w:rPr>
        <w:t>Eligible Data Breach</w:t>
      </w:r>
      <w:r w:rsidRPr="00DE3C1E">
        <w:t xml:space="preserve">” has the meaning given in the </w:t>
      </w:r>
      <w:r w:rsidRPr="0024371D">
        <w:rPr>
          <w:i/>
          <w:iCs/>
        </w:rPr>
        <w:t>Privacy Amendment (Notifiable Data Breaches) Act 2017</w:t>
      </w:r>
      <w:r w:rsidRPr="00DE3C1E">
        <w:t xml:space="preserve"> (Cth).</w:t>
      </w:r>
    </w:p>
    <w:p w14:paraId="34590222" w14:textId="77777777" w:rsidR="001C0B22" w:rsidRPr="00DE3C1E" w:rsidRDefault="001C0B22" w:rsidP="001C0B22">
      <w:pPr>
        <w:pStyle w:val="legalDefinition"/>
      </w:pPr>
      <w:bookmarkStart w:id="5630" w:name="_Ref182167558"/>
      <w:r w:rsidRPr="00DE3C1E">
        <w:t>If Project Operator has reasonable grounds to suspect there may have been an event which amounts to an Eligible Data Breach:</w:t>
      </w:r>
      <w:bookmarkEnd w:id="5630"/>
    </w:p>
    <w:p w14:paraId="55B399D5" w14:textId="77777777" w:rsidR="001C0B22" w:rsidRPr="00DE3C1E" w:rsidRDefault="001C0B22" w:rsidP="008F660B">
      <w:pPr>
        <w:pStyle w:val="legalDefinition"/>
        <w:numPr>
          <w:ilvl w:val="1"/>
          <w:numId w:val="88"/>
        </w:numPr>
      </w:pPr>
      <w:r w:rsidRPr="00DE3C1E">
        <w:t xml:space="preserve">Project Operator must as soon as possible, but within no more than </w:t>
      </w:r>
      <w:r>
        <w:t>two (</w:t>
      </w:r>
      <w:r w:rsidRPr="00DE3C1E">
        <w:t>2</w:t>
      </w:r>
      <w:r>
        <w:t>)</w:t>
      </w:r>
      <w:r w:rsidRPr="00DE3C1E">
        <w:t xml:space="preserve"> Business Days, notify the Commonwealth;</w:t>
      </w:r>
    </w:p>
    <w:p w14:paraId="662170A8" w14:textId="77777777" w:rsidR="001C0B22" w:rsidRPr="00DE3C1E" w:rsidRDefault="001C0B22" w:rsidP="008F660B">
      <w:pPr>
        <w:pStyle w:val="legalDefinition"/>
        <w:numPr>
          <w:ilvl w:val="1"/>
          <w:numId w:val="88"/>
        </w:numPr>
      </w:pPr>
      <w:r w:rsidRPr="00DE3C1E">
        <w:t>comply with its obligations under the Privacy Act in relation to that event;</w:t>
      </w:r>
    </w:p>
    <w:p w14:paraId="2BEBD152" w14:textId="77777777" w:rsidR="001C0B22" w:rsidRPr="00DE3C1E" w:rsidRDefault="001C0B22" w:rsidP="008F660B">
      <w:pPr>
        <w:pStyle w:val="legalDefinition"/>
        <w:numPr>
          <w:ilvl w:val="1"/>
          <w:numId w:val="88"/>
        </w:numPr>
      </w:pPr>
      <w:r w:rsidRPr="00DE3C1E">
        <w:t>provide the Commonwealth with all information requested by the Commonwealth about the event; and</w:t>
      </w:r>
    </w:p>
    <w:p w14:paraId="10CA0D09" w14:textId="4364B0BA" w:rsidR="001C0B22" w:rsidRPr="00DE3C1E" w:rsidRDefault="001C0B22" w:rsidP="008F660B">
      <w:pPr>
        <w:pStyle w:val="legalDefinition"/>
        <w:numPr>
          <w:ilvl w:val="1"/>
          <w:numId w:val="88"/>
        </w:numPr>
      </w:pPr>
      <w:r w:rsidRPr="00DE3C1E">
        <w:t>if requested, allow the Commonwealth to participate in Project Operator’s assessment of the event and whether it amounts to an Eligible Data Breach.</w:t>
      </w:r>
      <w:r w:rsidR="00BC2BE9">
        <w:t xml:space="preserve"> </w:t>
      </w:r>
    </w:p>
    <w:p w14:paraId="3262C85E" w14:textId="7A519CB6" w:rsidR="001C0B22" w:rsidRPr="00DE3C1E" w:rsidRDefault="001C0B22" w:rsidP="001C0B22">
      <w:pPr>
        <w:pStyle w:val="legalDefinition"/>
      </w:pPr>
      <w:r w:rsidRPr="00DE3C1E">
        <w:t xml:space="preserve">If Project Operator, after complying with </w:t>
      </w:r>
      <w:r w:rsidR="0024371D">
        <w:t>paragraph</w:t>
      </w:r>
      <w:r w:rsidRPr="00DE3C1E">
        <w:t> </w:t>
      </w:r>
      <w:r w:rsidRPr="00DE3C1E">
        <w:fldChar w:fldCharType="begin"/>
      </w:r>
      <w:r w:rsidRPr="00DE3C1E">
        <w:instrText xml:space="preserve"> REF _Ref182167558 \r \h  \* MERGEFORMAT </w:instrText>
      </w:r>
      <w:r w:rsidRPr="00DE3C1E">
        <w:fldChar w:fldCharType="separate"/>
      </w:r>
      <w:r w:rsidR="002E5C6A">
        <w:t>(b)</w:t>
      </w:r>
      <w:r w:rsidRPr="00DE3C1E">
        <w:fldChar w:fldCharType="end"/>
      </w:r>
      <w:r w:rsidRPr="00DE3C1E">
        <w:t>, determines that an Eligible Data Breach has occurred and notification of that Eligible Data Breach is required under the Privacy Act:</w:t>
      </w:r>
    </w:p>
    <w:p w14:paraId="12AD9D89" w14:textId="77777777" w:rsidR="001C0B22" w:rsidRPr="00DE3C1E" w:rsidRDefault="001C0B22" w:rsidP="008F660B">
      <w:pPr>
        <w:pStyle w:val="legalDefinition"/>
        <w:numPr>
          <w:ilvl w:val="1"/>
          <w:numId w:val="88"/>
        </w:numPr>
      </w:pPr>
      <w:r w:rsidRPr="00DE3C1E">
        <w:t>if requested by the Commonwealth, the parties must meet to discuss and endeavour to agree who will issue the notification (but if the parties are unable to agree, then the Commonwealth will, acting reasonably, decide which party will issue that notification);</w:t>
      </w:r>
    </w:p>
    <w:p w14:paraId="29814D03" w14:textId="77777777" w:rsidR="001C0B22" w:rsidRPr="00DE3C1E" w:rsidRDefault="001C0B22" w:rsidP="008F660B">
      <w:pPr>
        <w:pStyle w:val="legalDefinition"/>
        <w:numPr>
          <w:ilvl w:val="1"/>
          <w:numId w:val="88"/>
        </w:numPr>
      </w:pPr>
      <w:r w:rsidRPr="00DE3C1E">
        <w:t>if Project Operator is to issue a notification, then:</w:t>
      </w:r>
    </w:p>
    <w:p w14:paraId="6074476D" w14:textId="77777777" w:rsidR="001C0B22" w:rsidRPr="00DE3C1E" w:rsidRDefault="001C0B22" w:rsidP="001C0B22">
      <w:pPr>
        <w:pStyle w:val="legalDefinition"/>
        <w:numPr>
          <w:ilvl w:val="0"/>
          <w:numId w:val="0"/>
        </w:numPr>
        <w:ind w:left="3402" w:hanging="850"/>
      </w:pPr>
      <w:r>
        <w:t>(A)</w:t>
      </w:r>
      <w:r>
        <w:tab/>
      </w:r>
      <w:r w:rsidRPr="00DE3C1E">
        <w:t xml:space="preserve">Project Operator must as soon as possible, but within no more than </w:t>
      </w:r>
      <w:r>
        <w:t>two (</w:t>
      </w:r>
      <w:r w:rsidRPr="00DE3C1E">
        <w:t>2</w:t>
      </w:r>
      <w:r>
        <w:t>)</w:t>
      </w:r>
      <w:r w:rsidRPr="00DE3C1E">
        <w:t xml:space="preserve"> Business Days, provide to the Commonwealth a draft of the notification;</w:t>
      </w:r>
    </w:p>
    <w:p w14:paraId="67E50A8B" w14:textId="77777777" w:rsidR="001C0B22" w:rsidRPr="00DE3C1E" w:rsidRDefault="001C0B22" w:rsidP="001C0B22">
      <w:pPr>
        <w:pStyle w:val="legalDefinition"/>
        <w:numPr>
          <w:ilvl w:val="0"/>
          <w:numId w:val="0"/>
        </w:numPr>
        <w:ind w:left="3402" w:hanging="850"/>
      </w:pPr>
      <w:r>
        <w:t>(B)</w:t>
      </w:r>
      <w:r>
        <w:tab/>
      </w:r>
      <w:r w:rsidRPr="00DE3C1E">
        <w:t>make any changes to the draft notification that are reasonably required by the Commonwealth; and</w:t>
      </w:r>
    </w:p>
    <w:p w14:paraId="58D2708E" w14:textId="77777777" w:rsidR="001C0B22" w:rsidRPr="00DE3C1E" w:rsidRDefault="001C0B22" w:rsidP="001C0B22">
      <w:pPr>
        <w:pStyle w:val="legalDefinition"/>
        <w:numPr>
          <w:ilvl w:val="0"/>
          <w:numId w:val="0"/>
        </w:numPr>
        <w:ind w:left="3402" w:hanging="850"/>
      </w:pPr>
      <w:r>
        <w:t>(C)</w:t>
      </w:r>
      <w:r>
        <w:tab/>
      </w:r>
      <w:r w:rsidRPr="00DE3C1E">
        <w:t>issue the notification in accordance with the requirements of the Privacy Act (including any applicable time periods);</w:t>
      </w:r>
    </w:p>
    <w:p w14:paraId="1C34CD4E" w14:textId="77777777" w:rsidR="001C0B22" w:rsidRPr="00DE3C1E" w:rsidRDefault="001C0B22" w:rsidP="008F660B">
      <w:pPr>
        <w:pStyle w:val="legalDefinition"/>
        <w:numPr>
          <w:ilvl w:val="1"/>
          <w:numId w:val="88"/>
        </w:numPr>
      </w:pPr>
      <w:r w:rsidRPr="00DE3C1E">
        <w:t>if the Commonwealth is to issue the notification, then:</w:t>
      </w:r>
    </w:p>
    <w:p w14:paraId="30B4FB62" w14:textId="77777777" w:rsidR="001C0B22" w:rsidRPr="00DE3C1E" w:rsidRDefault="001C0B22" w:rsidP="001C0B22">
      <w:pPr>
        <w:pStyle w:val="legalDefinition"/>
        <w:numPr>
          <w:ilvl w:val="0"/>
          <w:numId w:val="0"/>
        </w:numPr>
        <w:ind w:left="3402" w:hanging="850"/>
      </w:pPr>
      <w:r>
        <w:t>(A)</w:t>
      </w:r>
      <w:r>
        <w:tab/>
      </w:r>
      <w:r w:rsidRPr="00DE3C1E">
        <w:t xml:space="preserve">the Commonwealth must as soon as possible, but within no more than </w:t>
      </w:r>
      <w:r>
        <w:t>two (</w:t>
      </w:r>
      <w:r w:rsidRPr="00DE3C1E">
        <w:t>2</w:t>
      </w:r>
      <w:r>
        <w:t>)</w:t>
      </w:r>
      <w:r w:rsidRPr="00DE3C1E">
        <w:t xml:space="preserve"> Business Days, notify Project Operator and provide a draft of the notification;</w:t>
      </w:r>
    </w:p>
    <w:p w14:paraId="2A1CB479" w14:textId="77777777" w:rsidR="001C0B22" w:rsidRPr="00DE3C1E" w:rsidRDefault="001C0B22" w:rsidP="001C0B22">
      <w:pPr>
        <w:pStyle w:val="legalDefinition"/>
        <w:numPr>
          <w:ilvl w:val="0"/>
          <w:numId w:val="0"/>
        </w:numPr>
        <w:ind w:left="3402" w:hanging="850"/>
      </w:pPr>
      <w:r>
        <w:t>(B)</w:t>
      </w:r>
      <w:r>
        <w:tab/>
      </w:r>
      <w:r w:rsidRPr="00DE3C1E">
        <w:t>make any changes to the notification that are reasonably required by Project Operator for consistency with the Privacy Act; and</w:t>
      </w:r>
    </w:p>
    <w:p w14:paraId="2A443F94" w14:textId="77777777" w:rsidR="001C0B22" w:rsidRPr="00DE3C1E" w:rsidRDefault="001C0B22" w:rsidP="001C0B22">
      <w:pPr>
        <w:pStyle w:val="legalDefinition"/>
        <w:numPr>
          <w:ilvl w:val="0"/>
          <w:numId w:val="0"/>
        </w:numPr>
        <w:ind w:left="3402" w:hanging="850"/>
      </w:pPr>
      <w:r>
        <w:t>(C)</w:t>
      </w:r>
      <w:r>
        <w:tab/>
      </w:r>
      <w:r w:rsidRPr="00DE3C1E">
        <w:t>issue the notification in accordance with the requirements of the Privacy Act (including any applicable time periods).</w:t>
      </w:r>
    </w:p>
    <w:p w14:paraId="1747DE65" w14:textId="77777777" w:rsidR="001C0B22" w:rsidRPr="00DE3C1E" w:rsidRDefault="001C0B22" w:rsidP="001C0B22">
      <w:pPr>
        <w:pStyle w:val="legalDefinition"/>
      </w:pPr>
      <w:r w:rsidRPr="00DE3C1E">
        <w:t>Project Operator must ensure that:</w:t>
      </w:r>
    </w:p>
    <w:p w14:paraId="3B2B8310" w14:textId="77777777" w:rsidR="001C0B22" w:rsidRPr="00DE3C1E" w:rsidRDefault="001C0B22" w:rsidP="008F660B">
      <w:pPr>
        <w:pStyle w:val="legalDefinition"/>
        <w:numPr>
          <w:ilvl w:val="1"/>
          <w:numId w:val="88"/>
        </w:numPr>
      </w:pPr>
      <w:r w:rsidRPr="00DE3C1E">
        <w:t>the Commonwealth is promptly notified of any investigation or other action taken by the Privacy Commissioner in connection with any actual or suspected Eligible Data Breach, or notification in relation to that matter; and</w:t>
      </w:r>
    </w:p>
    <w:p w14:paraId="0F4FC366" w14:textId="77777777" w:rsidR="001C0B22" w:rsidRPr="00DE3C1E" w:rsidRDefault="001C0B22" w:rsidP="008F660B">
      <w:pPr>
        <w:pStyle w:val="legalDefinition"/>
        <w:numPr>
          <w:ilvl w:val="1"/>
          <w:numId w:val="88"/>
        </w:numPr>
      </w:pPr>
      <w:r w:rsidRPr="00DE3C1E">
        <w:t>the Commonwealth is kept informed in relation to that investigation or other action.</w:t>
      </w:r>
    </w:p>
    <w:p w14:paraId="0207D795" w14:textId="21BFC124" w:rsidR="001C0B22" w:rsidRDefault="001C0B22" w:rsidP="001C0B22">
      <w:pPr>
        <w:pStyle w:val="legalDefinition"/>
      </w:pPr>
      <w:r w:rsidRPr="00DE3C1E">
        <w:t xml:space="preserve">The parties acknowledge and agree that nothing in this section </w:t>
      </w:r>
      <w:r w:rsidRPr="00DE3C1E">
        <w:fldChar w:fldCharType="begin"/>
      </w:r>
      <w:r w:rsidRPr="00DE3C1E">
        <w:instrText xml:space="preserve"> REF _Ref182167244 \r \h  \* MERGEFORMAT </w:instrText>
      </w:r>
      <w:r w:rsidRPr="00DE3C1E">
        <w:fldChar w:fldCharType="separate"/>
      </w:r>
      <w:r w:rsidR="002E5C6A">
        <w:t>12.2</w:t>
      </w:r>
      <w:r w:rsidRPr="00DE3C1E">
        <w:fldChar w:fldCharType="end"/>
      </w:r>
      <w:r w:rsidRPr="00DE3C1E">
        <w:t xml:space="preserve"> affects their obligations under the Privacy Act and under this agreement, </w:t>
      </w:r>
      <w:r w:rsidRPr="000201B0">
        <w:t>unless otherwise agreed in writing by the parties.</w:t>
      </w:r>
    </w:p>
    <w:p w14:paraId="161A6D67" w14:textId="7DAA64AC" w:rsidR="001C0B22" w:rsidRPr="00794A90" w:rsidRDefault="001C0B22" w:rsidP="00D315FD">
      <w:pPr>
        <w:pStyle w:val="legalDefinition"/>
      </w:pPr>
      <w:r w:rsidRPr="000201B0">
        <w:t xml:space="preserve">A failure by Project Operator to comply with this section </w:t>
      </w:r>
      <w:r>
        <w:fldChar w:fldCharType="begin"/>
      </w:r>
      <w:r>
        <w:instrText xml:space="preserve"> REF _Ref182167244 \n \h </w:instrText>
      </w:r>
      <w:r>
        <w:fldChar w:fldCharType="separate"/>
      </w:r>
      <w:r w:rsidR="002E5C6A">
        <w:t>12.2</w:t>
      </w:r>
      <w:r>
        <w:fldChar w:fldCharType="end"/>
      </w:r>
      <w:r w:rsidRPr="000201B0">
        <w:t xml:space="preserve"> will constitute a failure to comply in a material respect with an obligation under this agreement for the purposes of clause </w:t>
      </w:r>
      <w:r>
        <w:fldChar w:fldCharType="begin"/>
      </w:r>
      <w:r>
        <w:instrText xml:space="preserve"> REF _Ref166078687 \r \h </w:instrText>
      </w:r>
      <w:r>
        <w:fldChar w:fldCharType="separate"/>
      </w:r>
      <w:r w:rsidR="002E5C6A">
        <w:t>22.3(b)</w:t>
      </w:r>
      <w:r>
        <w:fldChar w:fldCharType="end"/>
      </w:r>
      <w:r w:rsidRPr="000201B0">
        <w:t xml:space="preserve"> (“</w:t>
      </w:r>
      <w:r>
        <w:fldChar w:fldCharType="begin"/>
      </w:r>
      <w:r>
        <w:instrText xml:space="preserve"> REF _Ref159420790 \h </w:instrText>
      </w:r>
      <w:r>
        <w:fldChar w:fldCharType="separate"/>
      </w:r>
      <w:r w:rsidR="002E5C6A" w:rsidRPr="00847C21">
        <w:t>Termination by the Commonwealth for default</w:t>
      </w:r>
      <w:r>
        <w:fldChar w:fldCharType="end"/>
      </w:r>
      <w:r w:rsidRPr="000201B0">
        <w:t>”).</w:t>
      </w:r>
    </w:p>
    <w:p w14:paraId="29C083C0" w14:textId="77777777" w:rsidR="00C15C21" w:rsidRDefault="00C15C21" w:rsidP="00EE39BA">
      <w:pPr>
        <w:pStyle w:val="SchedH1"/>
      </w:pPr>
      <w:bookmarkStart w:id="5631" w:name="_Toc151272796"/>
      <w:bookmarkStart w:id="5632" w:name="_Toc153945320"/>
      <w:bookmarkStart w:id="5633" w:name="_Ref165040706"/>
      <w:bookmarkStart w:id="5634" w:name="_Ref165040710"/>
      <w:bookmarkStart w:id="5635" w:name="_Ref204188804"/>
      <w:bookmarkStart w:id="5636" w:name="_Ref204188812"/>
      <w:bookmarkStart w:id="5637" w:name="_Ref151142584"/>
      <w:bookmarkStart w:id="5638" w:name="_Ref_ContractCompanion_9kb9Ur499"/>
      <w:r>
        <w:t>Fraud</w:t>
      </w:r>
      <w:bookmarkEnd w:id="5631"/>
      <w:bookmarkEnd w:id="5632"/>
      <w:bookmarkEnd w:id="5633"/>
      <w:bookmarkEnd w:id="5634"/>
      <w:bookmarkEnd w:id="5635"/>
      <w:bookmarkEnd w:id="5636"/>
      <w:r>
        <w:t xml:space="preserve"> </w:t>
      </w:r>
      <w:bookmarkEnd w:id="5637"/>
      <w:bookmarkEnd w:id="5638"/>
    </w:p>
    <w:p w14:paraId="11921427" w14:textId="0200A49E" w:rsidR="001C2775" w:rsidRDefault="001C2775" w:rsidP="001C2775">
      <w:pPr>
        <w:pStyle w:val="SchedH3"/>
      </w:pPr>
      <w:r>
        <w:t xml:space="preserve">In this section </w:t>
      </w:r>
      <w:r>
        <w:fldChar w:fldCharType="begin" w:fldLock="1"/>
      </w:r>
      <w:r>
        <w:instrText xml:space="preserve"> REF _Ref151142584 \w \h  \* MERGEFORMAT </w:instrText>
      </w:r>
      <w:r>
        <w:fldChar w:fldCharType="separate"/>
      </w:r>
      <w:r>
        <w:t>13</w:t>
      </w:r>
      <w:r>
        <w:fldChar w:fldCharType="end"/>
      </w:r>
      <w:r>
        <w:t>, “</w:t>
      </w:r>
      <w:r w:rsidRPr="00C15ADE">
        <w:rPr>
          <w:b/>
          <w:bCs/>
        </w:rPr>
        <w:t>Fraud</w:t>
      </w:r>
      <w:r w:rsidRPr="007F1A89">
        <w:t>”</w:t>
      </w:r>
      <w:r>
        <w:t xml:space="preserve"> means dishonestly obtaining </w:t>
      </w:r>
      <w:bookmarkStart w:id="5639" w:name="_Hlk174448361"/>
      <w:r>
        <w:t xml:space="preserve">(including attempting to obtain) a gain or benefit from the Commonwealth or causing a loss or risk of loss to the Commonwealth by deception or other means. </w:t>
      </w:r>
      <w:r w:rsidRPr="00EC11E7">
        <w:t>A benefit or loss is not restricted to a material benefit or loss, and may be tangible or intangible. A benefit may also be obtained by a third party</w:t>
      </w:r>
      <w:bookmarkEnd w:id="5639"/>
      <w:r w:rsidRPr="00EC11E7">
        <w:t>.</w:t>
      </w:r>
    </w:p>
    <w:p w14:paraId="2C1BDBB5" w14:textId="4D8274FF" w:rsidR="001C2775" w:rsidRDefault="001C2775" w:rsidP="001C2775">
      <w:pPr>
        <w:pStyle w:val="SchedH3"/>
      </w:pPr>
      <w:r>
        <w:t xml:space="preserve">Project Operator must take all reasonable steps to prevent and detect Fraud in relation to the performance of this agreement and the Project </w:t>
      </w:r>
      <w:bookmarkStart w:id="5640" w:name="_Hlk174448375"/>
      <w:r>
        <w:t>and must otherwise comply</w:t>
      </w:r>
      <w:r w:rsidR="001C0B22">
        <w:t xml:space="preserve">, </w:t>
      </w:r>
      <w:r w:rsidR="001C0B22" w:rsidRPr="000201B0">
        <w:t>and must ensure that its Related Bodies Corporate and its and their respective officers, employees, Subcontractors and agents comply</w:t>
      </w:r>
      <w:r w:rsidR="001C0B22">
        <w:t>,</w:t>
      </w:r>
      <w:r>
        <w:t xml:space="preserve"> with any reasonable request, policy or direction issued by the Commonwealth (including complying with the </w:t>
      </w:r>
      <w:r w:rsidRPr="00715F8E">
        <w:t>Commonwealth Fraud and Corruption Control Framework</w:t>
      </w:r>
      <w:r>
        <w:t xml:space="preserve"> available at: </w:t>
      </w:r>
      <w:hyperlink r:id="rId65" w:history="1">
        <w:r w:rsidRPr="00D10F74">
          <w:rPr>
            <w:rStyle w:val="Hyperlink"/>
          </w:rPr>
          <w:t>https://www.counterfraud.gov.au/library/framework-2024</w:t>
        </w:r>
      </w:hyperlink>
      <w:r>
        <w:t>)</w:t>
      </w:r>
      <w:bookmarkEnd w:id="5640"/>
      <w:r>
        <w:t>.</w:t>
      </w:r>
    </w:p>
    <w:p w14:paraId="19571EA6" w14:textId="77777777" w:rsidR="00C15C21" w:rsidRDefault="00710085" w:rsidP="002D6D4F">
      <w:pPr>
        <w:pStyle w:val="SchedH3"/>
      </w:pPr>
      <w:r>
        <w:t>Project Operator</w:t>
      </w:r>
      <w:r w:rsidR="00C15C21">
        <w:t xml:space="preserve"> acknowledges the occurrence of Fraud </w:t>
      </w:r>
      <w:r w:rsidR="002A02B1" w:rsidRPr="002A02B1">
        <w:t>in relation to the performance of this</w:t>
      </w:r>
      <w:r w:rsidR="002A02B1">
        <w:t xml:space="preserve"> a</w:t>
      </w:r>
      <w:r w:rsidR="002A02B1" w:rsidRPr="002A02B1">
        <w:t>greement and the Project</w:t>
      </w:r>
      <w:r w:rsidR="002A02B1">
        <w:t xml:space="preserve"> </w:t>
      </w:r>
      <w:r w:rsidR="00C15C21">
        <w:t xml:space="preserve">will constitute a </w:t>
      </w:r>
      <w:r w:rsidR="0075721F">
        <w:t>failure to comply in a material respect with an obligation under</w:t>
      </w:r>
      <w:r w:rsidR="00C15C21">
        <w:t xml:space="preserve"> this </w:t>
      </w:r>
      <w:r>
        <w:t>agreement</w:t>
      </w:r>
      <w:r w:rsidR="00C15C21">
        <w:t xml:space="preserve">. </w:t>
      </w:r>
    </w:p>
    <w:p w14:paraId="3E3F8A31" w14:textId="08BFD57F" w:rsidR="0075721F" w:rsidRDefault="73E595EF" w:rsidP="009E1640">
      <w:pPr>
        <w:pStyle w:val="SchedH3"/>
      </w:pPr>
      <w:bookmarkStart w:id="5641" w:name="_Ref167311950"/>
      <w:r>
        <w:t xml:space="preserve">If an investigation finds that Project Operator or any of its officers, employees, Subcontractors or agents have committed Fraud, or that Project Operator has failed to take reasonable steps to prevent Fraud in relation to the performance of this agreement </w:t>
      </w:r>
      <w:r w:rsidR="00FC030B">
        <w:t>or</w:t>
      </w:r>
      <w:r w:rsidR="00B107FD">
        <w:t xml:space="preserve"> </w:t>
      </w:r>
      <w:r>
        <w:t>the Project:</w:t>
      </w:r>
      <w:bookmarkEnd w:id="5641"/>
      <w:r>
        <w:t xml:space="preserve"> </w:t>
      </w:r>
    </w:p>
    <w:p w14:paraId="26A54302" w14:textId="77777777" w:rsidR="0075721F" w:rsidRDefault="00710085" w:rsidP="0075721F">
      <w:pPr>
        <w:pStyle w:val="SchedH4"/>
      </w:pPr>
      <w:r>
        <w:t>Project Operator</w:t>
      </w:r>
      <w:r w:rsidR="00C15C21">
        <w:t xml:space="preserve"> must reimburse or compensate the Commonwealth in full</w:t>
      </w:r>
      <w:r w:rsidR="0075721F">
        <w:t xml:space="preserve">; and </w:t>
      </w:r>
    </w:p>
    <w:p w14:paraId="2D0868F6" w14:textId="1DE61F81" w:rsidR="00C15C21" w:rsidRDefault="00B107FD" w:rsidP="007F1A89">
      <w:pPr>
        <w:pStyle w:val="SchedH4"/>
      </w:pPr>
      <w:bookmarkStart w:id="5642" w:name="_Ref167311952"/>
      <w:r>
        <w:t>i</w:t>
      </w:r>
      <w:r w:rsidR="003E35B3">
        <w:t xml:space="preserve">n addition, or alternatively, </w:t>
      </w:r>
      <w:r w:rsidR="73E595EF">
        <w:t>the Commonwealth may terminate this agreement pursuant to clause </w:t>
      </w:r>
      <w:r w:rsidR="0075721F">
        <w:fldChar w:fldCharType="begin"/>
      </w:r>
      <w:r w:rsidR="0075721F">
        <w:instrText xml:space="preserve"> REF _Ref165018032 \w \h </w:instrText>
      </w:r>
      <w:r w:rsidR="0075721F">
        <w:fldChar w:fldCharType="separate"/>
      </w:r>
      <w:r w:rsidR="002E5C6A">
        <w:t>22.3(t)</w:t>
      </w:r>
      <w:r w:rsidR="0075721F">
        <w:fldChar w:fldCharType="end"/>
      </w:r>
      <w:r w:rsidR="73E595EF">
        <w:t xml:space="preserve"> (“</w:t>
      </w:r>
      <w:r w:rsidR="0075721F">
        <w:fldChar w:fldCharType="begin"/>
      </w:r>
      <w:r w:rsidR="0075721F">
        <w:instrText xml:space="preserve"> REF _Ref159420790 \h </w:instrText>
      </w:r>
      <w:r w:rsidR="0075721F">
        <w:fldChar w:fldCharType="separate"/>
      </w:r>
      <w:r w:rsidR="002E5C6A" w:rsidRPr="00847C21">
        <w:t>Termination by the Commonwealth for default</w:t>
      </w:r>
      <w:r w:rsidR="0075721F">
        <w:fldChar w:fldCharType="end"/>
      </w:r>
      <w:r w:rsidR="73E595EF">
        <w:t>”).</w:t>
      </w:r>
      <w:bookmarkEnd w:id="5642"/>
      <w:r w:rsidR="73E595EF">
        <w:t xml:space="preserve"> </w:t>
      </w:r>
    </w:p>
    <w:p w14:paraId="36AF78EA" w14:textId="1F1CE629" w:rsidR="00C15C21" w:rsidRDefault="00710085" w:rsidP="00AF145F">
      <w:pPr>
        <w:pStyle w:val="SchedH3"/>
        <w:keepNext/>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imposes on the </w:t>
      </w:r>
      <w:r w:rsidR="009C7B3B">
        <w:t>S</w:t>
      </w:r>
      <w:r w:rsidR="00C15C21">
        <w:t>ubcontractor</w:t>
      </w:r>
      <w:r w:rsidR="008B45EE">
        <w:t>,</w:t>
      </w:r>
      <w:r w:rsidR="008B45EE" w:rsidRPr="000201B0">
        <w:t xml:space="preserve"> in respect of itself and its Related Bodies Corporate and its and their respective officers, employees, Subcontractors and agents</w:t>
      </w:r>
      <w:r w:rsidR="008B45EE">
        <w:t>,</w:t>
      </w:r>
      <w:r w:rsidR="00C15C21">
        <w:t xml:space="preserve"> the same obligations that </w:t>
      </w:r>
      <w:r>
        <w:t>Project Operator</w:t>
      </w:r>
      <w:r w:rsidR="00C15C21">
        <w:t xml:space="preserve"> has under this section </w:t>
      </w:r>
      <w:r w:rsidR="00EF6FF8">
        <w:fldChar w:fldCharType="begin"/>
      </w:r>
      <w:r w:rsidR="00EF6FF8">
        <w:instrText xml:space="preserve"> REF _Ref_ContractCompanion_9kb9Ur499 \w \n \h \t \* MERGEFORMAT </w:instrText>
      </w:r>
      <w:r w:rsidR="00EF6FF8">
        <w:fldChar w:fldCharType="separate"/>
      </w:r>
      <w:r w:rsidR="002E5C6A">
        <w:t>13</w:t>
      </w:r>
      <w:r w:rsidR="00EF6FF8">
        <w:fldChar w:fldCharType="end"/>
      </w:r>
      <w:r w:rsidR="00C15C21">
        <w:t xml:space="preserve">, including this requirement to impose obligations on any further </w:t>
      </w:r>
      <w:r w:rsidR="009C7B3B">
        <w:t>S</w:t>
      </w:r>
      <w:r w:rsidR="00C15C21">
        <w:t>ubcontractor.</w:t>
      </w:r>
    </w:p>
    <w:p w14:paraId="04BE70CB" w14:textId="1BBB6E17" w:rsidR="00C15C21" w:rsidRDefault="00710085" w:rsidP="009E1640">
      <w:pPr>
        <w:pStyle w:val="SchedH3"/>
      </w:pPr>
      <w:r>
        <w:t>Project Operator</w:t>
      </w:r>
      <w:r w:rsidR="00C15C21">
        <w:t>'s</w:t>
      </w:r>
      <w:r w:rsidR="00C15C21" w:rsidRPr="00794A90">
        <w:t xml:space="preserve"> obligations under </w:t>
      </w:r>
      <w:r w:rsidR="00C15C21">
        <w:t xml:space="preserve">this section </w:t>
      </w:r>
      <w:r w:rsidR="00EF6FF8">
        <w:fldChar w:fldCharType="begin"/>
      </w:r>
      <w:r w:rsidR="00EF6FF8">
        <w:instrText xml:space="preserve"> REF _Ref_ContractCompanion_9kb9Ur499 \w \n \h \t \* MERGEFORMAT </w:instrText>
      </w:r>
      <w:r w:rsidR="00EF6FF8">
        <w:fldChar w:fldCharType="separate"/>
      </w:r>
      <w:r w:rsidR="002E5C6A">
        <w:t>13</w:t>
      </w:r>
      <w:r w:rsidR="00EF6FF8">
        <w:fldChar w:fldCharType="end"/>
      </w:r>
      <w:r w:rsidR="00C15C21" w:rsidRPr="00794A90">
        <w:t xml:space="preserve"> </w:t>
      </w:r>
      <w:r w:rsidR="0075721F">
        <w:t>will</w:t>
      </w:r>
      <w:r w:rsidR="00C15C21" w:rsidRPr="00794A90">
        <w:t xml:space="preserve"> survive termination or expiry of </w:t>
      </w:r>
      <w:r w:rsidR="00C15C21">
        <w:t xml:space="preserve">this </w:t>
      </w:r>
      <w:r>
        <w:t>agreement</w:t>
      </w:r>
      <w:r w:rsidR="00C15C21" w:rsidRPr="00794A90">
        <w:t>.</w:t>
      </w:r>
    </w:p>
    <w:p w14:paraId="18F9CFAD" w14:textId="77777777" w:rsidR="003E7B31" w:rsidRDefault="003E7B31" w:rsidP="003E7B31"/>
    <w:p w14:paraId="42A0CE9A" w14:textId="77777777" w:rsidR="003E7B31" w:rsidRDefault="003E7B31" w:rsidP="003E7B31">
      <w:pPr>
        <w:sectPr w:rsidR="003E7B31" w:rsidSect="00E5595F">
          <w:pgSz w:w="11907" w:h="16840" w:code="9"/>
          <w:pgMar w:top="1134" w:right="1134" w:bottom="1417" w:left="2835" w:header="425" w:footer="567" w:gutter="0"/>
          <w:cols w:space="720"/>
          <w:titlePg/>
          <w:docGrid w:linePitch="313"/>
        </w:sectPr>
      </w:pPr>
    </w:p>
    <w:p w14:paraId="2E22D0F9" w14:textId="3D3658FF" w:rsidR="003E7B31" w:rsidRDefault="003E7B31" w:rsidP="00467340">
      <w:pPr>
        <w:pStyle w:val="SchedulePageHeading"/>
        <w:numPr>
          <w:ilvl w:val="0"/>
          <w:numId w:val="42"/>
        </w:numPr>
        <w:spacing w:after="480"/>
      </w:pPr>
      <w:bookmarkStart w:id="5643" w:name="_Ref151252775"/>
      <w:bookmarkStart w:id="5644" w:name="_Ref151253699"/>
      <w:bookmarkStart w:id="5645" w:name="_Toc165647654"/>
      <w:bookmarkStart w:id="5646" w:name="_Toc207309769"/>
      <w:r>
        <w:t>Key Subcontracts</w:t>
      </w:r>
      <w:bookmarkEnd w:id="5643"/>
      <w:bookmarkEnd w:id="5644"/>
      <w:bookmarkEnd w:id="5645"/>
      <w:bookmarkEnd w:id="5646"/>
      <w:r>
        <w:t xml:space="preserve"> </w:t>
      </w:r>
    </w:p>
    <w:p w14:paraId="08B7B0EF" w14:textId="77777777" w:rsidR="003E7B31" w:rsidRDefault="003E7B31" w:rsidP="003E7B31">
      <w:r>
        <w:t xml:space="preserve">The following Subcontractors are Key Subcontractors for the purpose of </w:t>
      </w:r>
      <w:r w:rsidR="006750E1">
        <w:t>this agreement</w:t>
      </w:r>
      <w:r>
        <w:t>:</w:t>
      </w:r>
    </w:p>
    <w:p w14:paraId="0A0B7773" w14:textId="77777777" w:rsidR="003E7B31" w:rsidRDefault="003E7B31" w:rsidP="003E7B31"/>
    <w:p w14:paraId="74F23A36" w14:textId="74C0EF78" w:rsidR="003E7B31" w:rsidRPr="00D315FD" w:rsidRDefault="003E7B31" w:rsidP="003E7B31">
      <w:pPr>
        <w:rPr>
          <w:b/>
          <w:bCs/>
          <w:i/>
          <w:iCs/>
          <w:highlight w:val="lightGray"/>
        </w:rPr>
      </w:pPr>
      <w:r w:rsidRPr="00F37EA8">
        <w:rPr>
          <w:b/>
          <w:bCs/>
          <w:i/>
          <w:iCs/>
        </w:rPr>
        <w:t>[</w:t>
      </w:r>
      <w:r w:rsidR="006D54FC">
        <w:rPr>
          <w:b/>
          <w:bCs/>
          <w:i/>
          <w:iCs/>
          <w:highlight w:val="lightGray"/>
        </w:rPr>
        <w:t>N</w:t>
      </w:r>
      <w:r w:rsidRPr="003E7B31">
        <w:rPr>
          <w:b/>
          <w:bCs/>
          <w:i/>
          <w:iCs/>
          <w:highlight w:val="lightGray"/>
        </w:rPr>
        <w:t>ote</w:t>
      </w:r>
      <w:r w:rsidR="008B45EE">
        <w:rPr>
          <w:b/>
          <w:bCs/>
          <w:i/>
          <w:iCs/>
          <w:highlight w:val="lightGray"/>
        </w:rPr>
        <w:t>s</w:t>
      </w:r>
      <w:r w:rsidRPr="003E7B31">
        <w:rPr>
          <w:b/>
          <w:bCs/>
          <w:i/>
          <w:iCs/>
          <w:highlight w:val="lightGray"/>
        </w:rPr>
        <w:t xml:space="preserve">: </w:t>
      </w:r>
      <w:r>
        <w:rPr>
          <w:b/>
          <w:bCs/>
          <w:i/>
          <w:iCs/>
          <w:highlight w:val="lightGray"/>
        </w:rPr>
        <w:t>a</w:t>
      </w:r>
      <w:r w:rsidRPr="003E7B31">
        <w:rPr>
          <w:b/>
          <w:bCs/>
          <w:i/>
          <w:iCs/>
          <w:highlight w:val="lightGray"/>
        </w:rPr>
        <w:t xml:space="preserve"> </w:t>
      </w:r>
      <w:r w:rsidRPr="003E7B31">
        <w:rPr>
          <w:b/>
          <w:i/>
          <w:iCs/>
          <w:highlight w:val="lightGray"/>
        </w:rPr>
        <w:t>Proponent</w:t>
      </w:r>
      <w:r w:rsidRPr="003E7B31">
        <w:rPr>
          <w:b/>
          <w:bCs/>
          <w:i/>
          <w:iCs/>
          <w:highlight w:val="lightGray"/>
        </w:rPr>
        <w:t xml:space="preserve"> </w:t>
      </w:r>
      <w:r>
        <w:rPr>
          <w:b/>
          <w:bCs/>
          <w:i/>
          <w:iCs/>
          <w:highlight w:val="lightGray"/>
        </w:rPr>
        <w:t xml:space="preserve">will be </w:t>
      </w:r>
      <w:r w:rsidRPr="003E7B31">
        <w:rPr>
          <w:b/>
          <w:bCs/>
          <w:i/>
          <w:iCs/>
          <w:highlight w:val="lightGray"/>
        </w:rPr>
        <w:t>required to complete the table below as part of its Bid in the Tender Process. If a</w:t>
      </w:r>
      <w:r w:rsidR="00975DB5">
        <w:rPr>
          <w:b/>
          <w:bCs/>
          <w:i/>
          <w:iCs/>
          <w:highlight w:val="lightGray"/>
        </w:rPr>
        <w:t xml:space="preserve"> shortlisted</w:t>
      </w:r>
      <w:r w:rsidRPr="003E7B31">
        <w:rPr>
          <w:b/>
          <w:bCs/>
          <w:i/>
          <w:iCs/>
          <w:highlight w:val="lightGray"/>
        </w:rPr>
        <w:t xml:space="preserve"> Proponent does not complete the table below, it will </w:t>
      </w:r>
      <w:r w:rsidR="008B45EE">
        <w:rPr>
          <w:b/>
          <w:bCs/>
          <w:i/>
          <w:iCs/>
          <w:highlight w:val="lightGray"/>
        </w:rPr>
        <w:t xml:space="preserve">be </w:t>
      </w:r>
      <w:r w:rsidRPr="003E7B31">
        <w:rPr>
          <w:b/>
          <w:bCs/>
          <w:i/>
          <w:iCs/>
          <w:highlight w:val="lightGray"/>
        </w:rPr>
        <w:t>deemed to have not requested pre</w:t>
      </w:r>
      <w:r w:rsidR="00975DB5">
        <w:rPr>
          <w:b/>
          <w:bCs/>
          <w:i/>
          <w:iCs/>
          <w:highlight w:val="lightGray"/>
        </w:rPr>
        <w:t>-</w:t>
      </w:r>
      <w:r w:rsidRPr="003E7B31">
        <w:rPr>
          <w:b/>
          <w:bCs/>
          <w:i/>
          <w:iCs/>
          <w:highlight w:val="lightGray"/>
        </w:rPr>
        <w:t>approval for any of its Key Subcontractors</w:t>
      </w:r>
      <w:r w:rsidR="00F37EA8">
        <w:rPr>
          <w:b/>
          <w:bCs/>
          <w:i/>
          <w:iCs/>
          <w:highlight w:val="lightGray"/>
        </w:rPr>
        <w:t>.</w:t>
      </w:r>
      <w:r w:rsidRPr="00F37EA8">
        <w:rPr>
          <w:b/>
          <w:bCs/>
          <w:i/>
          <w:iCs/>
        </w:rPr>
        <w:t>]</w:t>
      </w:r>
    </w:p>
    <w:p w14:paraId="0BB015BE" w14:textId="77777777" w:rsidR="003E7B31" w:rsidRPr="00EA4719" w:rsidRDefault="003E7B31" w:rsidP="003E7B31"/>
    <w:tbl>
      <w:tblPr>
        <w:tblStyle w:val="MEClassic"/>
        <w:tblW w:w="10060" w:type="dxa"/>
        <w:tblInd w:w="-1921" w:type="dxa"/>
        <w:tblLook w:val="04A0" w:firstRow="1" w:lastRow="0" w:firstColumn="1" w:lastColumn="0" w:noHBand="0" w:noVBand="1"/>
      </w:tblPr>
      <w:tblGrid>
        <w:gridCol w:w="707"/>
        <w:gridCol w:w="2107"/>
        <w:gridCol w:w="3034"/>
        <w:gridCol w:w="1868"/>
        <w:gridCol w:w="2344"/>
      </w:tblGrid>
      <w:tr w:rsidR="003E7B31" w:rsidRPr="001D0267" w14:paraId="1CCE6B1A" w14:textId="77777777" w:rsidTr="004A2340">
        <w:trPr>
          <w:cnfStyle w:val="100000000000" w:firstRow="1" w:lastRow="0" w:firstColumn="0" w:lastColumn="0" w:oddVBand="0" w:evenVBand="0" w:oddHBand="0" w:evenHBand="0" w:firstRowFirstColumn="0" w:firstRowLastColumn="0" w:lastRowFirstColumn="0" w:lastRowLastColumn="0"/>
          <w:tblHeader/>
        </w:trPr>
        <w:tc>
          <w:tcPr>
            <w:tcW w:w="70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FF71ED" w14:textId="4E9624C7" w:rsidR="003E7B31" w:rsidRPr="005F3D07" w:rsidRDefault="00FC030B" w:rsidP="00FC030B">
            <w:pPr>
              <w:spacing w:before="60" w:after="60"/>
              <w:rPr>
                <w:color w:val="000000" w:themeColor="text1"/>
              </w:rPr>
            </w:pPr>
            <w:r>
              <w:rPr>
                <w:color w:val="000000" w:themeColor="text1"/>
              </w:rPr>
              <w:t>No</w:t>
            </w:r>
          </w:p>
        </w:tc>
        <w:tc>
          <w:tcPr>
            <w:tcW w:w="210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C29066" w14:textId="77777777" w:rsidR="003E7B31" w:rsidRPr="005F3D07" w:rsidRDefault="003E7B31" w:rsidP="00A0771D">
            <w:pPr>
              <w:spacing w:before="60" w:after="60"/>
              <w:rPr>
                <w:color w:val="000000" w:themeColor="text1"/>
              </w:rPr>
            </w:pPr>
            <w:r w:rsidRPr="005F3D07">
              <w:rPr>
                <w:color w:val="000000" w:themeColor="text1"/>
              </w:rPr>
              <w:t>Key Subcontractor and Address</w:t>
            </w:r>
          </w:p>
        </w:tc>
        <w:tc>
          <w:tcPr>
            <w:tcW w:w="30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2A8A45" w14:textId="77777777" w:rsidR="003E7B31" w:rsidRPr="005F3D07" w:rsidRDefault="003E7B31" w:rsidP="00A0771D">
            <w:pPr>
              <w:spacing w:before="60" w:after="60"/>
              <w:rPr>
                <w:color w:val="000000" w:themeColor="text1"/>
              </w:rPr>
            </w:pPr>
            <w:r w:rsidRPr="005F3D07">
              <w:rPr>
                <w:color w:val="000000" w:themeColor="text1"/>
              </w:rPr>
              <w:t xml:space="preserve">Relevant goods, services or work </w:t>
            </w:r>
          </w:p>
        </w:tc>
        <w:tc>
          <w:tcPr>
            <w:tcW w:w="18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076496" w14:textId="77777777" w:rsidR="003E7B31" w:rsidRPr="005F3D07" w:rsidRDefault="003E7B31" w:rsidP="00A0771D">
            <w:pPr>
              <w:spacing w:before="60" w:after="60"/>
              <w:rPr>
                <w:color w:val="000000" w:themeColor="text1"/>
              </w:rPr>
            </w:pPr>
            <w:r w:rsidRPr="005F3D07">
              <w:rPr>
                <w:color w:val="000000" w:themeColor="text1"/>
              </w:rPr>
              <w:t>Engaged By</w:t>
            </w:r>
          </w:p>
        </w:tc>
        <w:tc>
          <w:tcPr>
            <w:tcW w:w="23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AAC181" w14:textId="77777777" w:rsidR="003E7B31" w:rsidRPr="005F3D07" w:rsidRDefault="003E7B31" w:rsidP="00A0771D">
            <w:pPr>
              <w:spacing w:before="60" w:after="60"/>
              <w:rPr>
                <w:color w:val="000000" w:themeColor="text1"/>
              </w:rPr>
            </w:pPr>
            <w:r w:rsidRPr="005F3D07">
              <w:rPr>
                <w:color w:val="000000" w:themeColor="text1"/>
              </w:rPr>
              <w:t>Country of Headquarters and from which the relevant goods, services or work will be provided</w:t>
            </w:r>
          </w:p>
        </w:tc>
      </w:tr>
      <w:tr w:rsidR="003E7B31" w14:paraId="50F52D8A" w14:textId="77777777" w:rsidTr="004A2340">
        <w:tc>
          <w:tcPr>
            <w:tcW w:w="707" w:type="dxa"/>
            <w:tcBorders>
              <w:top w:val="single" w:sz="4" w:space="0" w:color="auto"/>
              <w:left w:val="single" w:sz="4" w:space="0" w:color="auto"/>
              <w:bottom w:val="single" w:sz="4" w:space="0" w:color="auto"/>
              <w:right w:val="single" w:sz="4" w:space="0" w:color="auto"/>
            </w:tcBorders>
          </w:tcPr>
          <w:p w14:paraId="35EF73E0" w14:textId="77777777" w:rsidR="003E7B31" w:rsidRDefault="003E7B31" w:rsidP="00A0771D">
            <w:pPr>
              <w:spacing w:before="60" w:after="60"/>
            </w:pPr>
            <w:r>
              <w:t>[</w:t>
            </w:r>
            <w:r w:rsidRPr="00B1053F">
              <w:rPr>
                <w:highlight w:val="lightGray"/>
              </w:rPr>
              <w:t>#</w:t>
            </w:r>
            <w:r>
              <w:t xml:space="preserve"> </w:t>
            </w:r>
            <w:r w:rsidRPr="00E55821">
              <w:rPr>
                <w:highlight w:val="lightGray"/>
              </w:rPr>
              <w:t>insert</w:t>
            </w:r>
            <w:r>
              <w:t>]</w:t>
            </w:r>
          </w:p>
        </w:tc>
        <w:tc>
          <w:tcPr>
            <w:tcW w:w="2107" w:type="dxa"/>
            <w:tcBorders>
              <w:top w:val="single" w:sz="4" w:space="0" w:color="auto"/>
              <w:left w:val="single" w:sz="4" w:space="0" w:color="auto"/>
              <w:bottom w:val="single" w:sz="4" w:space="0" w:color="auto"/>
              <w:right w:val="single" w:sz="4" w:space="0" w:color="auto"/>
            </w:tcBorders>
          </w:tcPr>
          <w:p w14:paraId="3E3D3164" w14:textId="77777777" w:rsidR="003E7B31" w:rsidRDefault="003E7B31" w:rsidP="00A0771D">
            <w:pPr>
              <w:spacing w:before="60" w:after="60"/>
            </w:pPr>
            <w:r>
              <w:t>[</w:t>
            </w:r>
            <w:r w:rsidRPr="00B1053F">
              <w:rPr>
                <w:highlight w:val="lightGray"/>
              </w:rPr>
              <w:t>insert</w:t>
            </w:r>
            <w:r>
              <w:t>]</w:t>
            </w:r>
          </w:p>
        </w:tc>
        <w:tc>
          <w:tcPr>
            <w:tcW w:w="3034" w:type="dxa"/>
            <w:tcBorders>
              <w:top w:val="single" w:sz="4" w:space="0" w:color="auto"/>
              <w:left w:val="single" w:sz="4" w:space="0" w:color="auto"/>
              <w:bottom w:val="single" w:sz="4" w:space="0" w:color="auto"/>
              <w:right w:val="single" w:sz="4" w:space="0" w:color="auto"/>
            </w:tcBorders>
          </w:tcPr>
          <w:p w14:paraId="4C9C9B13" w14:textId="77777777" w:rsidR="003E7B31" w:rsidRDefault="003E7B31" w:rsidP="00A0771D">
            <w:pPr>
              <w:spacing w:before="60" w:after="60"/>
            </w:pPr>
            <w:r>
              <w:t>[</w:t>
            </w:r>
            <w:r w:rsidRPr="00B1053F">
              <w:rPr>
                <w:highlight w:val="lightGray"/>
              </w:rPr>
              <w:t>insert</w:t>
            </w:r>
            <w:r>
              <w:t>]</w:t>
            </w:r>
          </w:p>
        </w:tc>
        <w:tc>
          <w:tcPr>
            <w:tcW w:w="1868" w:type="dxa"/>
            <w:tcBorders>
              <w:top w:val="single" w:sz="4" w:space="0" w:color="auto"/>
              <w:left w:val="single" w:sz="4" w:space="0" w:color="auto"/>
              <w:bottom w:val="single" w:sz="4" w:space="0" w:color="auto"/>
              <w:right w:val="single" w:sz="4" w:space="0" w:color="auto"/>
            </w:tcBorders>
          </w:tcPr>
          <w:p w14:paraId="2EF60843" w14:textId="77777777" w:rsidR="003E7B31" w:rsidRDefault="003E7B31" w:rsidP="00A0771D">
            <w:pPr>
              <w:spacing w:before="60" w:after="60"/>
            </w:pPr>
            <w:r>
              <w:t>[</w:t>
            </w:r>
            <w:r w:rsidRPr="00B1053F">
              <w:rPr>
                <w:highlight w:val="lightGray"/>
              </w:rPr>
              <w:t>insert</w:t>
            </w:r>
            <w:r>
              <w:t>]</w:t>
            </w:r>
          </w:p>
        </w:tc>
        <w:tc>
          <w:tcPr>
            <w:tcW w:w="2344" w:type="dxa"/>
            <w:tcBorders>
              <w:top w:val="single" w:sz="4" w:space="0" w:color="auto"/>
              <w:left w:val="single" w:sz="4" w:space="0" w:color="auto"/>
              <w:bottom w:val="single" w:sz="4" w:space="0" w:color="auto"/>
              <w:right w:val="single" w:sz="4" w:space="0" w:color="auto"/>
            </w:tcBorders>
          </w:tcPr>
          <w:p w14:paraId="2FA7BC72" w14:textId="77777777" w:rsidR="003E7B31" w:rsidRDefault="003E7B31" w:rsidP="00A0771D">
            <w:pPr>
              <w:spacing w:before="60" w:after="60"/>
            </w:pPr>
            <w:r>
              <w:t>[</w:t>
            </w:r>
            <w:r w:rsidRPr="00B1053F">
              <w:rPr>
                <w:highlight w:val="lightGray"/>
              </w:rPr>
              <w:t>insert</w:t>
            </w:r>
            <w:r>
              <w:t>]</w:t>
            </w:r>
          </w:p>
        </w:tc>
      </w:tr>
      <w:tr w:rsidR="003E7B31" w14:paraId="6CDA4553" w14:textId="77777777" w:rsidTr="004A2340">
        <w:tc>
          <w:tcPr>
            <w:tcW w:w="707" w:type="dxa"/>
            <w:tcBorders>
              <w:top w:val="single" w:sz="4" w:space="0" w:color="auto"/>
              <w:left w:val="single" w:sz="4" w:space="0" w:color="auto"/>
              <w:bottom w:val="single" w:sz="4" w:space="0" w:color="000000"/>
              <w:right w:val="single" w:sz="4" w:space="0" w:color="auto"/>
            </w:tcBorders>
          </w:tcPr>
          <w:p w14:paraId="68E0F5F3" w14:textId="77777777" w:rsidR="003E7B31" w:rsidRDefault="003E7B31" w:rsidP="00A0771D">
            <w:pPr>
              <w:spacing w:before="60" w:after="60"/>
            </w:pPr>
          </w:p>
        </w:tc>
        <w:tc>
          <w:tcPr>
            <w:tcW w:w="2107" w:type="dxa"/>
            <w:tcBorders>
              <w:top w:val="single" w:sz="4" w:space="0" w:color="auto"/>
              <w:left w:val="single" w:sz="4" w:space="0" w:color="auto"/>
              <w:bottom w:val="single" w:sz="4" w:space="0" w:color="000000"/>
              <w:right w:val="single" w:sz="4" w:space="0" w:color="auto"/>
            </w:tcBorders>
          </w:tcPr>
          <w:p w14:paraId="19485DEC" w14:textId="77777777" w:rsidR="003E7B31" w:rsidRDefault="003E7B31" w:rsidP="00A0771D">
            <w:pPr>
              <w:spacing w:before="60" w:after="60"/>
            </w:pPr>
          </w:p>
        </w:tc>
        <w:tc>
          <w:tcPr>
            <w:tcW w:w="3034" w:type="dxa"/>
            <w:tcBorders>
              <w:top w:val="single" w:sz="4" w:space="0" w:color="auto"/>
              <w:left w:val="single" w:sz="4" w:space="0" w:color="auto"/>
              <w:bottom w:val="single" w:sz="4" w:space="0" w:color="000000"/>
              <w:right w:val="single" w:sz="4" w:space="0" w:color="auto"/>
            </w:tcBorders>
          </w:tcPr>
          <w:p w14:paraId="0847D6C4" w14:textId="77777777" w:rsidR="003E7B31" w:rsidRDefault="003E7B31" w:rsidP="00A0771D">
            <w:pPr>
              <w:spacing w:before="60" w:after="60"/>
            </w:pPr>
          </w:p>
        </w:tc>
        <w:tc>
          <w:tcPr>
            <w:tcW w:w="1868" w:type="dxa"/>
            <w:tcBorders>
              <w:top w:val="single" w:sz="4" w:space="0" w:color="auto"/>
              <w:left w:val="single" w:sz="4" w:space="0" w:color="auto"/>
              <w:bottom w:val="single" w:sz="4" w:space="0" w:color="000000"/>
              <w:right w:val="single" w:sz="4" w:space="0" w:color="auto"/>
            </w:tcBorders>
          </w:tcPr>
          <w:p w14:paraId="4706E13D" w14:textId="77777777" w:rsidR="003E7B31" w:rsidRDefault="003E7B31" w:rsidP="00A0771D">
            <w:pPr>
              <w:spacing w:before="60" w:after="60"/>
            </w:pPr>
          </w:p>
        </w:tc>
        <w:tc>
          <w:tcPr>
            <w:tcW w:w="2344" w:type="dxa"/>
            <w:tcBorders>
              <w:top w:val="single" w:sz="4" w:space="0" w:color="auto"/>
              <w:left w:val="single" w:sz="4" w:space="0" w:color="auto"/>
              <w:bottom w:val="single" w:sz="4" w:space="0" w:color="000000"/>
              <w:right w:val="single" w:sz="4" w:space="0" w:color="auto"/>
            </w:tcBorders>
          </w:tcPr>
          <w:p w14:paraId="6DFBB84D" w14:textId="77777777" w:rsidR="003E7B31" w:rsidRDefault="003E7B31" w:rsidP="00A0771D">
            <w:pPr>
              <w:spacing w:before="60" w:after="60"/>
            </w:pPr>
          </w:p>
        </w:tc>
      </w:tr>
      <w:tr w:rsidR="003E7B31" w14:paraId="17849BE6" w14:textId="77777777" w:rsidTr="004A2340">
        <w:tc>
          <w:tcPr>
            <w:tcW w:w="707" w:type="dxa"/>
            <w:tcBorders>
              <w:top w:val="single" w:sz="4" w:space="0" w:color="000000"/>
              <w:left w:val="single" w:sz="4" w:space="0" w:color="000000"/>
              <w:bottom w:val="single" w:sz="4" w:space="0" w:color="000000"/>
              <w:right w:val="single" w:sz="4" w:space="0" w:color="000000"/>
            </w:tcBorders>
          </w:tcPr>
          <w:p w14:paraId="0CA27BF7" w14:textId="77777777" w:rsidR="003E7B31" w:rsidRDefault="003E7B31" w:rsidP="00A0771D">
            <w:pPr>
              <w:spacing w:before="60" w:after="60"/>
            </w:pPr>
          </w:p>
        </w:tc>
        <w:tc>
          <w:tcPr>
            <w:tcW w:w="2107" w:type="dxa"/>
            <w:tcBorders>
              <w:top w:val="single" w:sz="4" w:space="0" w:color="000000"/>
              <w:left w:val="single" w:sz="4" w:space="0" w:color="000000"/>
              <w:bottom w:val="single" w:sz="4" w:space="0" w:color="000000"/>
              <w:right w:val="single" w:sz="4" w:space="0" w:color="000000"/>
            </w:tcBorders>
          </w:tcPr>
          <w:p w14:paraId="507A5B1E" w14:textId="77777777" w:rsidR="003E7B31" w:rsidRDefault="003E7B31" w:rsidP="00A0771D">
            <w:pPr>
              <w:spacing w:before="60" w:after="60"/>
            </w:pPr>
          </w:p>
        </w:tc>
        <w:tc>
          <w:tcPr>
            <w:tcW w:w="3034" w:type="dxa"/>
            <w:tcBorders>
              <w:top w:val="single" w:sz="4" w:space="0" w:color="000000"/>
              <w:left w:val="single" w:sz="4" w:space="0" w:color="000000"/>
              <w:bottom w:val="single" w:sz="4" w:space="0" w:color="000000"/>
              <w:right w:val="single" w:sz="4" w:space="0" w:color="000000"/>
            </w:tcBorders>
          </w:tcPr>
          <w:p w14:paraId="01066412" w14:textId="77777777" w:rsidR="003E7B31" w:rsidRDefault="003E7B31" w:rsidP="00A0771D">
            <w:pPr>
              <w:spacing w:before="60" w:after="60"/>
            </w:pPr>
          </w:p>
        </w:tc>
        <w:tc>
          <w:tcPr>
            <w:tcW w:w="1868" w:type="dxa"/>
            <w:tcBorders>
              <w:top w:val="single" w:sz="4" w:space="0" w:color="000000"/>
              <w:left w:val="single" w:sz="4" w:space="0" w:color="000000"/>
              <w:bottom w:val="single" w:sz="4" w:space="0" w:color="000000"/>
              <w:right w:val="single" w:sz="4" w:space="0" w:color="000000"/>
            </w:tcBorders>
          </w:tcPr>
          <w:p w14:paraId="6D39B5AB" w14:textId="77777777" w:rsidR="003E7B31" w:rsidRDefault="003E7B31" w:rsidP="00A0771D">
            <w:pPr>
              <w:spacing w:before="60" w:after="60"/>
            </w:pPr>
          </w:p>
        </w:tc>
        <w:tc>
          <w:tcPr>
            <w:tcW w:w="2344" w:type="dxa"/>
            <w:tcBorders>
              <w:top w:val="single" w:sz="4" w:space="0" w:color="000000"/>
              <w:left w:val="single" w:sz="4" w:space="0" w:color="000000"/>
              <w:bottom w:val="single" w:sz="4" w:space="0" w:color="000000"/>
              <w:right w:val="single" w:sz="4" w:space="0" w:color="000000"/>
            </w:tcBorders>
          </w:tcPr>
          <w:p w14:paraId="59FB44A0" w14:textId="77777777" w:rsidR="003E7B31" w:rsidRDefault="003E7B31" w:rsidP="00A0771D">
            <w:pPr>
              <w:spacing w:before="60" w:after="60"/>
            </w:pPr>
          </w:p>
        </w:tc>
      </w:tr>
      <w:tr w:rsidR="003E7B31" w14:paraId="5DAC7C3B" w14:textId="77777777" w:rsidTr="004A2340">
        <w:tc>
          <w:tcPr>
            <w:tcW w:w="707" w:type="dxa"/>
            <w:tcBorders>
              <w:top w:val="single" w:sz="4" w:space="0" w:color="000000"/>
              <w:left w:val="single" w:sz="4" w:space="0" w:color="000000"/>
              <w:bottom w:val="single" w:sz="4" w:space="0" w:color="000000"/>
              <w:right w:val="single" w:sz="4" w:space="0" w:color="000000"/>
            </w:tcBorders>
          </w:tcPr>
          <w:p w14:paraId="555D7E00" w14:textId="77777777" w:rsidR="003E7B31" w:rsidRDefault="003E7B31" w:rsidP="00A0771D">
            <w:pPr>
              <w:spacing w:before="60" w:after="60"/>
            </w:pPr>
          </w:p>
        </w:tc>
        <w:tc>
          <w:tcPr>
            <w:tcW w:w="2107" w:type="dxa"/>
            <w:tcBorders>
              <w:top w:val="single" w:sz="4" w:space="0" w:color="000000"/>
              <w:left w:val="single" w:sz="4" w:space="0" w:color="000000"/>
              <w:bottom w:val="single" w:sz="4" w:space="0" w:color="000000"/>
              <w:right w:val="single" w:sz="4" w:space="0" w:color="000000"/>
            </w:tcBorders>
          </w:tcPr>
          <w:p w14:paraId="7EB7AFB8" w14:textId="77777777" w:rsidR="003E7B31" w:rsidRDefault="003E7B31" w:rsidP="00A0771D">
            <w:pPr>
              <w:spacing w:before="60" w:after="60"/>
            </w:pPr>
          </w:p>
        </w:tc>
        <w:tc>
          <w:tcPr>
            <w:tcW w:w="3034" w:type="dxa"/>
            <w:tcBorders>
              <w:top w:val="single" w:sz="4" w:space="0" w:color="000000"/>
              <w:left w:val="single" w:sz="4" w:space="0" w:color="000000"/>
              <w:bottom w:val="single" w:sz="4" w:space="0" w:color="000000"/>
              <w:right w:val="single" w:sz="4" w:space="0" w:color="000000"/>
            </w:tcBorders>
          </w:tcPr>
          <w:p w14:paraId="67DD315C" w14:textId="77777777" w:rsidR="003E7B31" w:rsidRDefault="003E7B31" w:rsidP="00A0771D">
            <w:pPr>
              <w:spacing w:before="60" w:after="60"/>
            </w:pPr>
          </w:p>
        </w:tc>
        <w:tc>
          <w:tcPr>
            <w:tcW w:w="1868" w:type="dxa"/>
            <w:tcBorders>
              <w:top w:val="single" w:sz="4" w:space="0" w:color="000000"/>
              <w:left w:val="single" w:sz="4" w:space="0" w:color="000000"/>
              <w:bottom w:val="single" w:sz="4" w:space="0" w:color="000000"/>
              <w:right w:val="single" w:sz="4" w:space="0" w:color="000000"/>
            </w:tcBorders>
          </w:tcPr>
          <w:p w14:paraId="2BBB78A8" w14:textId="77777777" w:rsidR="003E7B31" w:rsidRDefault="003E7B31" w:rsidP="00A0771D">
            <w:pPr>
              <w:spacing w:before="60" w:after="60"/>
            </w:pPr>
          </w:p>
        </w:tc>
        <w:tc>
          <w:tcPr>
            <w:tcW w:w="2344" w:type="dxa"/>
            <w:tcBorders>
              <w:top w:val="single" w:sz="4" w:space="0" w:color="000000"/>
              <w:left w:val="single" w:sz="4" w:space="0" w:color="000000"/>
              <w:bottom w:val="single" w:sz="4" w:space="0" w:color="000000"/>
              <w:right w:val="single" w:sz="4" w:space="0" w:color="000000"/>
            </w:tcBorders>
          </w:tcPr>
          <w:p w14:paraId="52107D87" w14:textId="77777777" w:rsidR="003E7B31" w:rsidRDefault="003E7B31" w:rsidP="00A0771D">
            <w:pPr>
              <w:spacing w:before="60" w:after="60"/>
            </w:pPr>
          </w:p>
        </w:tc>
      </w:tr>
      <w:tr w:rsidR="003E7B31" w14:paraId="62974FC9" w14:textId="77777777" w:rsidTr="004A2340">
        <w:tc>
          <w:tcPr>
            <w:tcW w:w="707" w:type="dxa"/>
            <w:tcBorders>
              <w:top w:val="single" w:sz="4" w:space="0" w:color="000000"/>
              <w:left w:val="single" w:sz="4" w:space="0" w:color="000000"/>
              <w:bottom w:val="single" w:sz="4" w:space="0" w:color="000000"/>
              <w:right w:val="single" w:sz="4" w:space="0" w:color="000000"/>
            </w:tcBorders>
          </w:tcPr>
          <w:p w14:paraId="3D26DB9E" w14:textId="77777777" w:rsidR="003E7B31" w:rsidRDefault="003E7B31" w:rsidP="00A0771D">
            <w:pPr>
              <w:spacing w:before="60" w:after="60"/>
            </w:pPr>
          </w:p>
        </w:tc>
        <w:tc>
          <w:tcPr>
            <w:tcW w:w="2107" w:type="dxa"/>
            <w:tcBorders>
              <w:top w:val="single" w:sz="4" w:space="0" w:color="000000"/>
              <w:left w:val="single" w:sz="4" w:space="0" w:color="000000"/>
              <w:bottom w:val="single" w:sz="4" w:space="0" w:color="000000"/>
              <w:right w:val="single" w:sz="4" w:space="0" w:color="000000"/>
            </w:tcBorders>
          </w:tcPr>
          <w:p w14:paraId="16C423BA" w14:textId="77777777" w:rsidR="003E7B31" w:rsidRDefault="003E7B31" w:rsidP="00A0771D">
            <w:pPr>
              <w:spacing w:before="60" w:after="60"/>
            </w:pPr>
          </w:p>
        </w:tc>
        <w:tc>
          <w:tcPr>
            <w:tcW w:w="3034" w:type="dxa"/>
            <w:tcBorders>
              <w:top w:val="single" w:sz="4" w:space="0" w:color="000000"/>
              <w:left w:val="single" w:sz="4" w:space="0" w:color="000000"/>
              <w:bottom w:val="single" w:sz="4" w:space="0" w:color="000000"/>
              <w:right w:val="single" w:sz="4" w:space="0" w:color="000000"/>
            </w:tcBorders>
          </w:tcPr>
          <w:p w14:paraId="7D9B5C8D" w14:textId="77777777" w:rsidR="003E7B31" w:rsidRDefault="003E7B31" w:rsidP="00A0771D">
            <w:pPr>
              <w:spacing w:before="60" w:after="60"/>
            </w:pPr>
          </w:p>
        </w:tc>
        <w:tc>
          <w:tcPr>
            <w:tcW w:w="1868" w:type="dxa"/>
            <w:tcBorders>
              <w:top w:val="single" w:sz="4" w:space="0" w:color="000000"/>
              <w:left w:val="single" w:sz="4" w:space="0" w:color="000000"/>
              <w:bottom w:val="single" w:sz="4" w:space="0" w:color="000000"/>
              <w:right w:val="single" w:sz="4" w:space="0" w:color="000000"/>
            </w:tcBorders>
          </w:tcPr>
          <w:p w14:paraId="4C3A8016" w14:textId="77777777" w:rsidR="003E7B31" w:rsidRDefault="003E7B31" w:rsidP="00A0771D">
            <w:pPr>
              <w:spacing w:before="60" w:after="60"/>
            </w:pPr>
          </w:p>
        </w:tc>
        <w:tc>
          <w:tcPr>
            <w:tcW w:w="2344" w:type="dxa"/>
            <w:tcBorders>
              <w:top w:val="single" w:sz="4" w:space="0" w:color="000000"/>
              <w:left w:val="single" w:sz="4" w:space="0" w:color="000000"/>
              <w:bottom w:val="single" w:sz="4" w:space="0" w:color="000000"/>
              <w:right w:val="single" w:sz="4" w:space="0" w:color="000000"/>
            </w:tcBorders>
          </w:tcPr>
          <w:p w14:paraId="7B50B75C" w14:textId="77777777" w:rsidR="003E7B31" w:rsidRDefault="003E7B31" w:rsidP="00A0771D">
            <w:pPr>
              <w:spacing w:before="60" w:after="60"/>
            </w:pPr>
          </w:p>
        </w:tc>
      </w:tr>
      <w:tr w:rsidR="003E7B31" w14:paraId="6CD7DCA5" w14:textId="77777777" w:rsidTr="004A2340">
        <w:tc>
          <w:tcPr>
            <w:tcW w:w="707" w:type="dxa"/>
            <w:tcBorders>
              <w:top w:val="single" w:sz="4" w:space="0" w:color="000000"/>
              <w:left w:val="single" w:sz="4" w:space="0" w:color="000000"/>
              <w:bottom w:val="single" w:sz="4" w:space="0" w:color="000000"/>
              <w:right w:val="single" w:sz="4" w:space="0" w:color="000000"/>
            </w:tcBorders>
          </w:tcPr>
          <w:p w14:paraId="61DCCC87" w14:textId="77777777" w:rsidR="003E7B31" w:rsidRDefault="003E7B31" w:rsidP="00A0771D">
            <w:pPr>
              <w:spacing w:before="60" w:after="60"/>
            </w:pPr>
          </w:p>
        </w:tc>
        <w:tc>
          <w:tcPr>
            <w:tcW w:w="2107" w:type="dxa"/>
            <w:tcBorders>
              <w:top w:val="single" w:sz="4" w:space="0" w:color="000000"/>
              <w:left w:val="single" w:sz="4" w:space="0" w:color="000000"/>
              <w:bottom w:val="single" w:sz="4" w:space="0" w:color="000000"/>
              <w:right w:val="single" w:sz="4" w:space="0" w:color="000000"/>
            </w:tcBorders>
          </w:tcPr>
          <w:p w14:paraId="6E9F3035" w14:textId="77777777" w:rsidR="003E7B31" w:rsidRDefault="003E7B31" w:rsidP="00A0771D">
            <w:pPr>
              <w:spacing w:before="60" w:after="60"/>
            </w:pPr>
          </w:p>
        </w:tc>
        <w:tc>
          <w:tcPr>
            <w:tcW w:w="3034" w:type="dxa"/>
            <w:tcBorders>
              <w:top w:val="single" w:sz="4" w:space="0" w:color="000000"/>
              <w:left w:val="single" w:sz="4" w:space="0" w:color="000000"/>
              <w:bottom w:val="single" w:sz="4" w:space="0" w:color="000000"/>
              <w:right w:val="single" w:sz="4" w:space="0" w:color="000000"/>
            </w:tcBorders>
          </w:tcPr>
          <w:p w14:paraId="6C0940EF" w14:textId="77777777" w:rsidR="003E7B31" w:rsidRDefault="003E7B31" w:rsidP="00A0771D">
            <w:pPr>
              <w:spacing w:before="60" w:after="60"/>
            </w:pPr>
          </w:p>
        </w:tc>
        <w:tc>
          <w:tcPr>
            <w:tcW w:w="1868" w:type="dxa"/>
            <w:tcBorders>
              <w:top w:val="single" w:sz="4" w:space="0" w:color="000000"/>
              <w:left w:val="single" w:sz="4" w:space="0" w:color="000000"/>
              <w:bottom w:val="single" w:sz="4" w:space="0" w:color="000000"/>
              <w:right w:val="single" w:sz="4" w:space="0" w:color="000000"/>
            </w:tcBorders>
          </w:tcPr>
          <w:p w14:paraId="3A0D0F61" w14:textId="77777777" w:rsidR="003E7B31" w:rsidRDefault="003E7B31" w:rsidP="00A0771D">
            <w:pPr>
              <w:spacing w:before="60" w:after="60"/>
            </w:pPr>
          </w:p>
        </w:tc>
        <w:tc>
          <w:tcPr>
            <w:tcW w:w="2344" w:type="dxa"/>
            <w:tcBorders>
              <w:top w:val="single" w:sz="4" w:space="0" w:color="000000"/>
              <w:left w:val="single" w:sz="4" w:space="0" w:color="000000"/>
              <w:bottom w:val="single" w:sz="4" w:space="0" w:color="000000"/>
              <w:right w:val="single" w:sz="4" w:space="0" w:color="000000"/>
            </w:tcBorders>
          </w:tcPr>
          <w:p w14:paraId="2213CE23" w14:textId="77777777" w:rsidR="003E7B31" w:rsidRDefault="003E7B31" w:rsidP="00A0771D">
            <w:pPr>
              <w:spacing w:before="60" w:after="60"/>
            </w:pPr>
          </w:p>
        </w:tc>
      </w:tr>
      <w:tr w:rsidR="003E7B31" w14:paraId="74C42690" w14:textId="77777777" w:rsidTr="004A2340">
        <w:tc>
          <w:tcPr>
            <w:tcW w:w="707" w:type="dxa"/>
            <w:tcBorders>
              <w:top w:val="single" w:sz="4" w:space="0" w:color="000000"/>
              <w:left w:val="single" w:sz="4" w:space="0" w:color="000000"/>
              <w:bottom w:val="single" w:sz="4" w:space="0" w:color="000000"/>
              <w:right w:val="single" w:sz="4" w:space="0" w:color="000000"/>
            </w:tcBorders>
          </w:tcPr>
          <w:p w14:paraId="30388E2B" w14:textId="77777777" w:rsidR="003E7B31" w:rsidRDefault="003E7B31" w:rsidP="00A0771D">
            <w:pPr>
              <w:spacing w:before="60" w:after="60"/>
            </w:pPr>
          </w:p>
        </w:tc>
        <w:tc>
          <w:tcPr>
            <w:tcW w:w="2107" w:type="dxa"/>
            <w:tcBorders>
              <w:top w:val="single" w:sz="4" w:space="0" w:color="000000"/>
              <w:left w:val="single" w:sz="4" w:space="0" w:color="000000"/>
              <w:bottom w:val="single" w:sz="4" w:space="0" w:color="000000"/>
              <w:right w:val="single" w:sz="4" w:space="0" w:color="000000"/>
            </w:tcBorders>
          </w:tcPr>
          <w:p w14:paraId="04B2D494" w14:textId="77777777" w:rsidR="003E7B31" w:rsidRDefault="003E7B31" w:rsidP="00A0771D">
            <w:pPr>
              <w:spacing w:before="60" w:after="60"/>
            </w:pPr>
          </w:p>
        </w:tc>
        <w:tc>
          <w:tcPr>
            <w:tcW w:w="3034" w:type="dxa"/>
            <w:tcBorders>
              <w:top w:val="single" w:sz="4" w:space="0" w:color="000000"/>
              <w:left w:val="single" w:sz="4" w:space="0" w:color="000000"/>
              <w:bottom w:val="single" w:sz="4" w:space="0" w:color="000000"/>
              <w:right w:val="single" w:sz="4" w:space="0" w:color="000000"/>
            </w:tcBorders>
          </w:tcPr>
          <w:p w14:paraId="5B91D3C8" w14:textId="77777777" w:rsidR="003E7B31" w:rsidRDefault="003E7B31" w:rsidP="00A0771D">
            <w:pPr>
              <w:spacing w:before="60" w:after="60"/>
            </w:pPr>
          </w:p>
        </w:tc>
        <w:tc>
          <w:tcPr>
            <w:tcW w:w="1868" w:type="dxa"/>
            <w:tcBorders>
              <w:top w:val="single" w:sz="4" w:space="0" w:color="000000"/>
              <w:left w:val="single" w:sz="4" w:space="0" w:color="000000"/>
              <w:bottom w:val="single" w:sz="4" w:space="0" w:color="000000"/>
              <w:right w:val="single" w:sz="4" w:space="0" w:color="000000"/>
            </w:tcBorders>
          </w:tcPr>
          <w:p w14:paraId="04768B55" w14:textId="77777777" w:rsidR="003E7B31" w:rsidRDefault="003E7B31" w:rsidP="00A0771D">
            <w:pPr>
              <w:spacing w:before="60" w:after="60"/>
            </w:pPr>
          </w:p>
        </w:tc>
        <w:tc>
          <w:tcPr>
            <w:tcW w:w="2344" w:type="dxa"/>
            <w:tcBorders>
              <w:top w:val="single" w:sz="4" w:space="0" w:color="000000"/>
              <w:left w:val="single" w:sz="4" w:space="0" w:color="000000"/>
              <w:bottom w:val="single" w:sz="4" w:space="0" w:color="000000"/>
              <w:right w:val="single" w:sz="4" w:space="0" w:color="000000"/>
            </w:tcBorders>
          </w:tcPr>
          <w:p w14:paraId="52CBF007" w14:textId="77777777" w:rsidR="003E7B31" w:rsidRDefault="003E7B31" w:rsidP="00A0771D">
            <w:pPr>
              <w:spacing w:before="60" w:after="60"/>
            </w:pPr>
          </w:p>
        </w:tc>
      </w:tr>
    </w:tbl>
    <w:p w14:paraId="24086357" w14:textId="77777777" w:rsidR="003E7B31" w:rsidRDefault="003E7B31" w:rsidP="003E7B31"/>
    <w:p w14:paraId="70D7D259" w14:textId="77777777" w:rsidR="003E7B31" w:rsidRDefault="003E7B31" w:rsidP="003E7B31"/>
    <w:p w14:paraId="22ADA70E" w14:textId="77777777" w:rsidR="00620864" w:rsidRDefault="00620864">
      <w:pPr>
        <w:rPr>
          <w:sz w:val="36"/>
        </w:rPr>
      </w:pPr>
      <w:r>
        <w:br w:type="page"/>
      </w:r>
    </w:p>
    <w:p w14:paraId="4A55044B" w14:textId="7813C284" w:rsidR="002326BB" w:rsidRDefault="002326BB" w:rsidP="002326BB">
      <w:r w:rsidRPr="007217B9">
        <w:rPr>
          <w:b/>
        </w:rPr>
        <w:t xml:space="preserve">EXECUTED </w:t>
      </w:r>
      <w:r w:rsidRPr="007217B9">
        <w:t xml:space="preserve">as </w:t>
      </w:r>
      <w:r>
        <w:t>an agreement.</w:t>
      </w:r>
    </w:p>
    <w:p w14:paraId="21B4B3CB" w14:textId="77777777" w:rsidR="002326BB" w:rsidRDefault="002326BB" w:rsidP="008F660B"/>
    <w:p w14:paraId="7AEE8E56" w14:textId="716DF09D" w:rsidR="003B3F37" w:rsidRPr="007217B9" w:rsidRDefault="003B3F37" w:rsidP="004A2340">
      <w:pPr>
        <w:pStyle w:val="SchedulePageHeading"/>
        <w:numPr>
          <w:ilvl w:val="0"/>
          <w:numId w:val="0"/>
        </w:numPr>
      </w:pPr>
      <w:bookmarkStart w:id="5647" w:name="_Toc207309770"/>
      <w:r w:rsidRPr="007217B9">
        <w:t>Signing page</w:t>
      </w:r>
      <w:bookmarkEnd w:id="5492"/>
      <w:bookmarkEnd w:id="5493"/>
      <w:bookmarkEnd w:id="5494"/>
      <w:bookmarkEnd w:id="5647"/>
    </w:p>
    <w:p w14:paraId="2CD779AC" w14:textId="77777777" w:rsidR="003B3F37" w:rsidRPr="007217B9" w:rsidRDefault="003B3F37">
      <w:r w:rsidRPr="007217B9">
        <w:rPr>
          <w:b/>
        </w:rPr>
        <w:t>DATED:______________________</w:t>
      </w:r>
      <w:r w:rsidRPr="007217B9">
        <w:t xml:space="preserve"> </w:t>
      </w:r>
    </w:p>
    <w:p w14:paraId="61637BD9" w14:textId="77777777" w:rsidR="003B3F37" w:rsidRDefault="003B3F37"/>
    <w:p w14:paraId="40930ECC" w14:textId="77777777" w:rsidR="006177CD" w:rsidRDefault="006177CD"/>
    <w:p w14:paraId="64AB6F37" w14:textId="77777777" w:rsidR="000E134A" w:rsidRDefault="000E134A" w:rsidP="000E134A">
      <w:pPr>
        <w:pStyle w:val="BodyText"/>
      </w:pPr>
    </w:p>
    <w:p w14:paraId="1FD67948" w14:textId="77777777" w:rsidR="007132C0" w:rsidRDefault="00BE77D6" w:rsidP="007132C0">
      <w:pPr>
        <w:pStyle w:val="BodyText"/>
        <w:rPr>
          <w:b/>
          <w:bCs/>
        </w:rPr>
      </w:pPr>
      <w:bookmarkStart w:id="5648" w:name="Annexures"/>
      <w:bookmarkStart w:id="5649" w:name="Annexures2"/>
      <w:bookmarkEnd w:id="1"/>
      <w:bookmarkEnd w:id="5648"/>
      <w:bookmarkEnd w:id="5649"/>
      <w:r w:rsidRPr="009B6FD2">
        <w:rPr>
          <w:b/>
          <w:bCs/>
        </w:rPr>
        <w:t>Commonwealth</w:t>
      </w:r>
    </w:p>
    <w:tbl>
      <w:tblPr>
        <w:tblW w:w="0" w:type="auto"/>
        <w:tblCellMar>
          <w:left w:w="107" w:type="dxa"/>
          <w:right w:w="107" w:type="dxa"/>
        </w:tblCellMar>
        <w:tblLook w:val="04A0" w:firstRow="1" w:lastRow="0" w:firstColumn="1" w:lastColumn="0" w:noHBand="0" w:noVBand="1"/>
      </w:tblPr>
      <w:tblGrid>
        <w:gridCol w:w="3742"/>
        <w:gridCol w:w="454"/>
        <w:gridCol w:w="3742"/>
      </w:tblGrid>
      <w:tr w:rsidR="00FD3670" w14:paraId="5FAE9964" w14:textId="77777777" w:rsidTr="00DA23DD">
        <w:trPr>
          <w:cantSplit/>
        </w:trPr>
        <w:tc>
          <w:tcPr>
            <w:tcW w:w="3742" w:type="dxa"/>
          </w:tcPr>
          <w:p w14:paraId="01F79301" w14:textId="77777777" w:rsidR="00FD3670" w:rsidRDefault="00FD3670" w:rsidP="00DA23DD">
            <w:r w:rsidRPr="00FD3670">
              <w:rPr>
                <w:b/>
              </w:rPr>
              <w:t>SIGNED</w:t>
            </w:r>
            <w:r>
              <w:rPr>
                <w:bCs/>
              </w:rPr>
              <w:t xml:space="preserve"> </w:t>
            </w:r>
            <w:r w:rsidRPr="005F3D07">
              <w:rPr>
                <w:bCs/>
              </w:rPr>
              <w:t>for and on behalf of</w:t>
            </w:r>
            <w:r>
              <w:rPr>
                <w:b/>
              </w:rPr>
              <w:t xml:space="preserve"> THE COMMONWEALTH OF AUSTRALIA </w:t>
            </w:r>
            <w:r w:rsidRPr="005F3D07">
              <w:rPr>
                <w:bCs/>
              </w:rPr>
              <w:t xml:space="preserve">as represented by the </w:t>
            </w:r>
            <w:r w:rsidRPr="004A2340">
              <w:rPr>
                <w:b/>
              </w:rPr>
              <w:t>Department of Climate Change, Energy, the Environment and Water</w:t>
            </w:r>
            <w:r w:rsidRPr="005F3D07">
              <w:rPr>
                <w:bCs/>
              </w:rPr>
              <w:t xml:space="preserve"> by its duly authorised delegate in the presence of:</w:t>
            </w:r>
          </w:p>
          <w:p w14:paraId="11CF4AA8" w14:textId="77777777" w:rsidR="00FD3670" w:rsidRDefault="00FD3670" w:rsidP="00DA23DD"/>
          <w:p w14:paraId="586FD8D6" w14:textId="77777777" w:rsidR="00FD3670" w:rsidRDefault="00FD3670" w:rsidP="00DA23DD"/>
          <w:p w14:paraId="55DE775C" w14:textId="77777777" w:rsidR="00FD3670" w:rsidRDefault="00FD3670" w:rsidP="00DA23DD">
            <w:pPr>
              <w:tabs>
                <w:tab w:val="right" w:leader="dot" w:pos="3528"/>
              </w:tabs>
            </w:pPr>
            <w:r>
              <w:tab/>
            </w:r>
          </w:p>
          <w:p w14:paraId="5295FAA8" w14:textId="77777777" w:rsidR="00FD3670" w:rsidRDefault="00FD3670" w:rsidP="00DA23DD">
            <w:r>
              <w:t>Signature of witness</w:t>
            </w:r>
          </w:p>
          <w:p w14:paraId="5EBDF0FF" w14:textId="77777777" w:rsidR="00FD3670" w:rsidRDefault="00FD3670" w:rsidP="00DA23DD"/>
          <w:p w14:paraId="37D34B0B" w14:textId="77777777" w:rsidR="00FD3670" w:rsidRDefault="00FD3670" w:rsidP="00DA23DD"/>
          <w:p w14:paraId="3FF2A7C2" w14:textId="77777777" w:rsidR="00FD3670" w:rsidRDefault="00FD3670" w:rsidP="00DA23DD">
            <w:pPr>
              <w:tabs>
                <w:tab w:val="right" w:leader="dot" w:pos="3528"/>
              </w:tabs>
            </w:pPr>
            <w:r>
              <w:tab/>
            </w:r>
          </w:p>
          <w:p w14:paraId="5B1A913F" w14:textId="77777777" w:rsidR="00FD3670" w:rsidRDefault="00FD3670" w:rsidP="00DA23DD">
            <w:r>
              <w:t>Name of witness (block letters)</w:t>
            </w:r>
          </w:p>
        </w:tc>
        <w:tc>
          <w:tcPr>
            <w:tcW w:w="567" w:type="dxa"/>
            <w:hideMark/>
          </w:tcPr>
          <w:p w14:paraId="2542FA93" w14:textId="77777777" w:rsidR="00FD3670" w:rsidRDefault="00FD3670" w:rsidP="00DA23DD">
            <w:r>
              <w:t>)</w:t>
            </w:r>
          </w:p>
          <w:p w14:paraId="1593A755" w14:textId="77777777" w:rsidR="00FD3670" w:rsidRDefault="00FD3670" w:rsidP="00DA23DD">
            <w:r>
              <w:t>)</w:t>
            </w:r>
          </w:p>
          <w:p w14:paraId="5C8717C2" w14:textId="77777777" w:rsidR="00FD3670" w:rsidRDefault="00FD3670" w:rsidP="00DA23DD">
            <w:r>
              <w:t>)</w:t>
            </w:r>
          </w:p>
          <w:p w14:paraId="45A749F0" w14:textId="77777777" w:rsidR="00FD3670" w:rsidRDefault="00FD3670" w:rsidP="00DA23DD">
            <w:r>
              <w:t>)</w:t>
            </w:r>
          </w:p>
          <w:p w14:paraId="3DCC5B92" w14:textId="77777777" w:rsidR="00FD3670" w:rsidRDefault="00FD3670" w:rsidP="00DA23DD">
            <w:r>
              <w:t>)</w:t>
            </w:r>
          </w:p>
          <w:p w14:paraId="63E1D2A5" w14:textId="77777777" w:rsidR="00FD3670" w:rsidRDefault="00FD3670" w:rsidP="00DA23DD">
            <w:r>
              <w:t>)</w:t>
            </w:r>
          </w:p>
          <w:p w14:paraId="695ADF47" w14:textId="77777777" w:rsidR="00FD3670" w:rsidRDefault="00FD3670" w:rsidP="00DA23DD">
            <w:r>
              <w:t>)</w:t>
            </w:r>
          </w:p>
          <w:p w14:paraId="5E3490BD" w14:textId="77777777" w:rsidR="00FD3670" w:rsidRDefault="00FD3670" w:rsidP="00DA23DD">
            <w:r>
              <w:t>)</w:t>
            </w:r>
          </w:p>
          <w:p w14:paraId="21A19CB8" w14:textId="77777777" w:rsidR="00FD3670" w:rsidRDefault="00FD3670" w:rsidP="00DA23DD">
            <w:r>
              <w:t>)</w:t>
            </w:r>
          </w:p>
          <w:p w14:paraId="50061490" w14:textId="77777777" w:rsidR="00FD3670" w:rsidRDefault="00FD3670" w:rsidP="00DA23DD">
            <w:r>
              <w:t>)</w:t>
            </w:r>
          </w:p>
          <w:p w14:paraId="144FAA5D" w14:textId="77777777" w:rsidR="00FD3670" w:rsidRDefault="00FD3670" w:rsidP="00DA23DD">
            <w:r>
              <w:t>)</w:t>
            </w:r>
          </w:p>
          <w:p w14:paraId="4F47614A" w14:textId="77777777" w:rsidR="00FD3670" w:rsidRDefault="00FD3670" w:rsidP="00DA23DD">
            <w:r>
              <w:t>)</w:t>
            </w:r>
          </w:p>
          <w:p w14:paraId="006C33DF" w14:textId="77777777" w:rsidR="00FD3670" w:rsidRDefault="00FD3670" w:rsidP="00DA23DD">
            <w:r>
              <w:t>)</w:t>
            </w:r>
          </w:p>
          <w:p w14:paraId="520E9946" w14:textId="77777777" w:rsidR="00FD3670" w:rsidRDefault="00FD3670" w:rsidP="00DA23DD">
            <w:r>
              <w:t>)</w:t>
            </w:r>
          </w:p>
        </w:tc>
        <w:tc>
          <w:tcPr>
            <w:tcW w:w="3742" w:type="dxa"/>
          </w:tcPr>
          <w:p w14:paraId="151AF32B" w14:textId="77777777" w:rsidR="00FD3670" w:rsidRDefault="00FD3670" w:rsidP="00DA23DD"/>
          <w:p w14:paraId="45EF644E" w14:textId="77777777" w:rsidR="00FD3670" w:rsidRDefault="00FD3670" w:rsidP="00DA23DD"/>
          <w:p w14:paraId="0BE7DA35" w14:textId="77777777" w:rsidR="00FD3670" w:rsidRDefault="00FD3670" w:rsidP="00DA23DD"/>
          <w:p w14:paraId="58AADCDF" w14:textId="77777777" w:rsidR="00FD3670" w:rsidRDefault="00FD3670" w:rsidP="00DA23DD"/>
          <w:p w14:paraId="2DE84B01" w14:textId="77777777" w:rsidR="00FD3670" w:rsidRDefault="00FD3670" w:rsidP="00DA23DD"/>
          <w:p w14:paraId="43921FBC" w14:textId="77777777" w:rsidR="00FD3670" w:rsidRDefault="00FD3670" w:rsidP="00DA23DD"/>
          <w:p w14:paraId="57D835E1" w14:textId="77777777" w:rsidR="00FD3670" w:rsidRDefault="00FD3670" w:rsidP="00DA23DD"/>
          <w:p w14:paraId="1C97D6A0" w14:textId="77777777" w:rsidR="00FD3670" w:rsidRDefault="00FD3670" w:rsidP="00DA23DD"/>
          <w:p w14:paraId="08118275" w14:textId="77777777" w:rsidR="00FD3670" w:rsidRDefault="00FD3670" w:rsidP="00DA23DD">
            <w:pPr>
              <w:tabs>
                <w:tab w:val="right" w:leader="dot" w:pos="3528"/>
              </w:tabs>
            </w:pPr>
            <w:r>
              <w:tab/>
            </w:r>
          </w:p>
          <w:p w14:paraId="22C67D2D" w14:textId="77777777" w:rsidR="00FD3670" w:rsidRDefault="00FD3670" w:rsidP="00FD3670">
            <w:pPr>
              <w:rPr>
                <w:sz w:val="16"/>
              </w:rPr>
            </w:pPr>
            <w:r>
              <w:t>Signature of delegate</w:t>
            </w:r>
          </w:p>
          <w:p w14:paraId="33BCE371" w14:textId="77777777" w:rsidR="00FD3670" w:rsidRDefault="00FD3670" w:rsidP="00FD3670"/>
          <w:p w14:paraId="706E3373" w14:textId="77777777" w:rsidR="00FD3670" w:rsidRDefault="00FD3670" w:rsidP="00DA23DD"/>
          <w:p w14:paraId="4EB8B4F8" w14:textId="77777777" w:rsidR="00FD3670" w:rsidRDefault="00FD3670" w:rsidP="00DA23DD">
            <w:pPr>
              <w:tabs>
                <w:tab w:val="right" w:leader="dot" w:pos="3528"/>
              </w:tabs>
            </w:pPr>
            <w:r>
              <w:tab/>
            </w:r>
          </w:p>
          <w:p w14:paraId="1F03610B" w14:textId="77777777" w:rsidR="00FD3670" w:rsidRDefault="00FD3670" w:rsidP="00DA23DD">
            <w:pPr>
              <w:tabs>
                <w:tab w:val="right" w:leader="dot" w:pos="6521"/>
              </w:tabs>
            </w:pPr>
            <w:r>
              <w:t>Name of delegate (block letters)</w:t>
            </w:r>
          </w:p>
        </w:tc>
      </w:tr>
    </w:tbl>
    <w:p w14:paraId="483F8C96" w14:textId="77777777" w:rsidR="00FD3670" w:rsidRPr="00602E3C" w:rsidRDefault="00FD3670" w:rsidP="007132C0">
      <w:pPr>
        <w:pStyle w:val="BodyText"/>
        <w:rPr>
          <w:b/>
          <w:bCs/>
        </w:rPr>
      </w:pPr>
    </w:p>
    <w:p w14:paraId="4901289D" w14:textId="77777777" w:rsidR="007132C0" w:rsidRDefault="007132C0" w:rsidP="007132C0">
      <w:pPr>
        <w:pStyle w:val="BodyText"/>
      </w:pPr>
    </w:p>
    <w:p w14:paraId="4C7FEBDF" w14:textId="77777777" w:rsidR="007132C0" w:rsidRPr="00602E3C" w:rsidRDefault="00411B14" w:rsidP="007132C0">
      <w:pPr>
        <w:pStyle w:val="BodyText"/>
        <w:rPr>
          <w:b/>
          <w:bCs/>
        </w:rPr>
      </w:pPr>
      <w:r>
        <w:rPr>
          <w:b/>
          <w:bCs/>
        </w:rPr>
        <w:t>PROJECT OPERATOR</w:t>
      </w:r>
    </w:p>
    <w:tbl>
      <w:tblPr>
        <w:tblW w:w="0" w:type="auto"/>
        <w:tblCellMar>
          <w:left w:w="107" w:type="dxa"/>
          <w:right w:w="107" w:type="dxa"/>
        </w:tblCellMar>
        <w:tblLook w:val="04A0" w:firstRow="1" w:lastRow="0" w:firstColumn="1" w:lastColumn="0" w:noHBand="0" w:noVBand="1"/>
      </w:tblPr>
      <w:tblGrid>
        <w:gridCol w:w="3742"/>
        <w:gridCol w:w="454"/>
        <w:gridCol w:w="3742"/>
      </w:tblGrid>
      <w:tr w:rsidR="007132C0" w14:paraId="6818F294" w14:textId="77777777" w:rsidTr="009C25DC">
        <w:trPr>
          <w:cantSplit/>
        </w:trPr>
        <w:tc>
          <w:tcPr>
            <w:tcW w:w="3742" w:type="dxa"/>
          </w:tcPr>
          <w:p w14:paraId="6288A5DF" w14:textId="77777777" w:rsidR="007132C0" w:rsidRDefault="007132C0" w:rsidP="009C25DC">
            <w:r>
              <w:rPr>
                <w:b/>
              </w:rPr>
              <w:t xml:space="preserve">EXECUTED </w:t>
            </w:r>
            <w:r>
              <w:t xml:space="preserve">by </w:t>
            </w:r>
            <w:r w:rsidRPr="00602E3C">
              <w:rPr>
                <w:b/>
                <w:bCs/>
              </w:rPr>
              <w:t>[</w:t>
            </w:r>
            <w:r w:rsidRPr="00602E3C">
              <w:rPr>
                <w:b/>
                <w:bCs/>
                <w:highlight w:val="yellow"/>
              </w:rPr>
              <w:t>INSERT</w:t>
            </w:r>
            <w:r w:rsidRPr="00602E3C">
              <w:rPr>
                <w:b/>
                <w:bCs/>
              </w:rPr>
              <w:t>]</w:t>
            </w:r>
            <w:r>
              <w:rPr>
                <w:b/>
              </w:rPr>
              <w:t xml:space="preserve"> </w:t>
            </w:r>
            <w:r>
              <w:t xml:space="preserve">in accordance with section 127(1) of the </w:t>
            </w:r>
            <w:r>
              <w:rPr>
                <w:i/>
              </w:rPr>
              <w:t xml:space="preserve">Corporations Act 2001 </w:t>
            </w:r>
            <w:r>
              <w:t>(Cth) by authority of its directors:</w:t>
            </w:r>
          </w:p>
          <w:p w14:paraId="2F505060" w14:textId="77777777" w:rsidR="007132C0" w:rsidRDefault="007132C0" w:rsidP="009C25DC"/>
          <w:p w14:paraId="37285016" w14:textId="77777777" w:rsidR="007132C0" w:rsidRDefault="007132C0" w:rsidP="009C25DC"/>
          <w:p w14:paraId="20953456" w14:textId="77777777" w:rsidR="007132C0" w:rsidRDefault="007132C0" w:rsidP="009C25DC">
            <w:pPr>
              <w:tabs>
                <w:tab w:val="right" w:leader="dot" w:pos="3528"/>
              </w:tabs>
            </w:pPr>
            <w:r>
              <w:tab/>
            </w:r>
          </w:p>
          <w:p w14:paraId="170580A4" w14:textId="77777777" w:rsidR="007132C0" w:rsidRDefault="007132C0" w:rsidP="009C25DC">
            <w:r>
              <w:t>Signature of director</w:t>
            </w:r>
          </w:p>
          <w:p w14:paraId="4924CC4C" w14:textId="77777777" w:rsidR="007132C0" w:rsidRDefault="007132C0" w:rsidP="009C25DC"/>
          <w:p w14:paraId="23BE6CB5" w14:textId="77777777" w:rsidR="007132C0" w:rsidRDefault="007132C0" w:rsidP="009C25DC"/>
          <w:p w14:paraId="5B5D2136" w14:textId="77777777" w:rsidR="007132C0" w:rsidRDefault="007132C0" w:rsidP="009C25DC">
            <w:pPr>
              <w:tabs>
                <w:tab w:val="right" w:leader="dot" w:pos="3528"/>
              </w:tabs>
            </w:pPr>
            <w:r>
              <w:tab/>
            </w:r>
          </w:p>
          <w:p w14:paraId="1ECFFD12" w14:textId="77777777" w:rsidR="007132C0" w:rsidRDefault="007132C0" w:rsidP="009C25DC">
            <w:r>
              <w:t>Name of director (block letters)</w:t>
            </w:r>
          </w:p>
        </w:tc>
        <w:tc>
          <w:tcPr>
            <w:tcW w:w="567" w:type="dxa"/>
            <w:hideMark/>
          </w:tcPr>
          <w:p w14:paraId="2C2C56F5" w14:textId="77777777" w:rsidR="007132C0" w:rsidRDefault="007132C0" w:rsidP="009C25DC">
            <w:r>
              <w:t>)</w:t>
            </w:r>
          </w:p>
          <w:p w14:paraId="3C10D06B" w14:textId="77777777" w:rsidR="007132C0" w:rsidRDefault="007132C0" w:rsidP="009C25DC">
            <w:r>
              <w:t>)</w:t>
            </w:r>
          </w:p>
          <w:p w14:paraId="6C18636C" w14:textId="77777777" w:rsidR="007132C0" w:rsidRDefault="007132C0" w:rsidP="009C25DC">
            <w:r>
              <w:t>)</w:t>
            </w:r>
          </w:p>
          <w:p w14:paraId="7EAB1C2B" w14:textId="77777777" w:rsidR="007132C0" w:rsidRDefault="007132C0" w:rsidP="009C25DC">
            <w:r>
              <w:t>)</w:t>
            </w:r>
          </w:p>
          <w:p w14:paraId="05649A3B" w14:textId="77777777" w:rsidR="007132C0" w:rsidRDefault="007132C0" w:rsidP="009C25DC">
            <w:r>
              <w:t>)</w:t>
            </w:r>
          </w:p>
          <w:p w14:paraId="7F7D7F9A" w14:textId="77777777" w:rsidR="007132C0" w:rsidRDefault="007132C0" w:rsidP="009C25DC">
            <w:r>
              <w:t>)</w:t>
            </w:r>
          </w:p>
          <w:p w14:paraId="0C9543AA" w14:textId="77777777" w:rsidR="007132C0" w:rsidRDefault="007132C0" w:rsidP="009C25DC">
            <w:r>
              <w:t>)</w:t>
            </w:r>
          </w:p>
          <w:p w14:paraId="55518907" w14:textId="77777777" w:rsidR="007132C0" w:rsidRDefault="007132C0" w:rsidP="009C25DC">
            <w:r>
              <w:t>)</w:t>
            </w:r>
          </w:p>
          <w:p w14:paraId="3402BB31" w14:textId="77777777" w:rsidR="007132C0" w:rsidRDefault="007132C0" w:rsidP="009C25DC">
            <w:r>
              <w:t>)</w:t>
            </w:r>
          </w:p>
          <w:p w14:paraId="67D424FC" w14:textId="77777777" w:rsidR="007132C0" w:rsidRDefault="007132C0" w:rsidP="009C25DC">
            <w:r>
              <w:t>)</w:t>
            </w:r>
          </w:p>
          <w:p w14:paraId="509BBDC0" w14:textId="77777777" w:rsidR="007132C0" w:rsidRDefault="007132C0" w:rsidP="009C25DC">
            <w:r>
              <w:t>)</w:t>
            </w:r>
          </w:p>
          <w:p w14:paraId="01CB3F4D" w14:textId="77777777" w:rsidR="007132C0" w:rsidRDefault="007132C0" w:rsidP="009C25DC">
            <w:r>
              <w:t>)</w:t>
            </w:r>
          </w:p>
          <w:p w14:paraId="6D482A90" w14:textId="77777777" w:rsidR="007132C0" w:rsidRDefault="007132C0" w:rsidP="009C25DC">
            <w:r>
              <w:t>)</w:t>
            </w:r>
          </w:p>
          <w:p w14:paraId="0495BBFF" w14:textId="77777777" w:rsidR="007132C0" w:rsidRDefault="007132C0" w:rsidP="009C25DC">
            <w:r>
              <w:t>)</w:t>
            </w:r>
          </w:p>
        </w:tc>
        <w:tc>
          <w:tcPr>
            <w:tcW w:w="3742" w:type="dxa"/>
          </w:tcPr>
          <w:p w14:paraId="7F59DC68" w14:textId="77777777" w:rsidR="007132C0" w:rsidRDefault="007132C0" w:rsidP="009C25DC"/>
          <w:p w14:paraId="35697985" w14:textId="77777777" w:rsidR="007132C0" w:rsidRDefault="007132C0" w:rsidP="009C25DC"/>
          <w:p w14:paraId="2A67A0FC" w14:textId="77777777" w:rsidR="007132C0" w:rsidRDefault="007132C0" w:rsidP="009C25DC"/>
          <w:p w14:paraId="6497A9D4" w14:textId="77777777" w:rsidR="007132C0" w:rsidRDefault="007132C0" w:rsidP="009C25DC"/>
          <w:p w14:paraId="295B1264" w14:textId="77777777" w:rsidR="007132C0" w:rsidRDefault="007132C0" w:rsidP="009C25DC"/>
          <w:p w14:paraId="25DD6125" w14:textId="77777777" w:rsidR="007132C0" w:rsidRDefault="007132C0" w:rsidP="009C25DC"/>
          <w:p w14:paraId="38E4819D" w14:textId="77777777" w:rsidR="007132C0" w:rsidRDefault="007132C0" w:rsidP="009C25DC">
            <w:pPr>
              <w:tabs>
                <w:tab w:val="right" w:leader="dot" w:pos="3528"/>
              </w:tabs>
            </w:pPr>
            <w:r>
              <w:tab/>
            </w:r>
          </w:p>
          <w:p w14:paraId="314D2E37" w14:textId="77777777" w:rsidR="007132C0" w:rsidRDefault="007132C0" w:rsidP="009C25DC">
            <w:r>
              <w:t>Signature of director/company secretary*</w:t>
            </w:r>
          </w:p>
          <w:p w14:paraId="78F2C713" w14:textId="77777777" w:rsidR="007132C0" w:rsidRDefault="007132C0" w:rsidP="009C25DC">
            <w:r>
              <w:rPr>
                <w:sz w:val="16"/>
              </w:rPr>
              <w:t>*delete whichever is not applicable</w:t>
            </w:r>
          </w:p>
          <w:p w14:paraId="14CC0E9A" w14:textId="77777777" w:rsidR="007132C0" w:rsidRDefault="007132C0" w:rsidP="009C25DC"/>
          <w:p w14:paraId="7358F698" w14:textId="77777777" w:rsidR="007132C0" w:rsidRDefault="007132C0" w:rsidP="009C25DC">
            <w:pPr>
              <w:tabs>
                <w:tab w:val="right" w:leader="dot" w:pos="3528"/>
              </w:tabs>
            </w:pPr>
            <w:r>
              <w:tab/>
            </w:r>
          </w:p>
          <w:p w14:paraId="36F91E74" w14:textId="77777777" w:rsidR="007132C0" w:rsidRDefault="007132C0" w:rsidP="009C25DC">
            <w:pPr>
              <w:tabs>
                <w:tab w:val="right" w:leader="dot" w:pos="6521"/>
              </w:tabs>
            </w:pPr>
            <w:r>
              <w:t>Name of director/company secretary* (block letters)</w:t>
            </w:r>
          </w:p>
          <w:p w14:paraId="0E121E16" w14:textId="77777777" w:rsidR="007132C0" w:rsidRDefault="007132C0" w:rsidP="009C25DC">
            <w:pPr>
              <w:tabs>
                <w:tab w:val="right" w:leader="dot" w:pos="6521"/>
              </w:tabs>
            </w:pPr>
            <w:r>
              <w:rPr>
                <w:sz w:val="16"/>
              </w:rPr>
              <w:t>*delete whichever is not applicable</w:t>
            </w:r>
          </w:p>
        </w:tc>
      </w:tr>
    </w:tbl>
    <w:p w14:paraId="201F07A3" w14:textId="77777777" w:rsidR="003D756B" w:rsidRPr="003D756B" w:rsidRDefault="003D756B" w:rsidP="00E44379"/>
    <w:bookmarkEnd w:id="2"/>
    <w:p w14:paraId="6174B2F5" w14:textId="77777777" w:rsidR="00481240" w:rsidRDefault="00481240" w:rsidP="000C1CD1">
      <w:pPr>
        <w:pStyle w:val="BodyText"/>
        <w:sectPr w:rsidR="00481240" w:rsidSect="00E5595F">
          <w:pgSz w:w="11907" w:h="16840" w:code="9"/>
          <w:pgMar w:top="1134" w:right="1134" w:bottom="1417" w:left="2835" w:header="425" w:footer="567" w:gutter="0"/>
          <w:cols w:space="720"/>
          <w:titlePg/>
          <w:docGrid w:linePitch="313"/>
        </w:sectPr>
      </w:pPr>
    </w:p>
    <w:p w14:paraId="55024A6D" w14:textId="77777777" w:rsidR="00481240" w:rsidRDefault="00481240" w:rsidP="00481240">
      <w:pPr>
        <w:pStyle w:val="AnnexurePageHeading"/>
      </w:pPr>
      <w:bookmarkStart w:id="5650" w:name="_Ref100152700"/>
      <w:bookmarkStart w:id="5651" w:name="_Toc100220648"/>
      <w:bookmarkStart w:id="5652" w:name="_Ref101534647"/>
      <w:bookmarkStart w:id="5653" w:name="_Ref165043794"/>
      <w:bookmarkStart w:id="5654" w:name="_Ref_ContractCompanion_9kb9Ur49B"/>
      <w:bookmarkStart w:id="5655" w:name="_Toc207309771"/>
      <w:r>
        <w:t>Form of Tripartite</w:t>
      </w:r>
      <w:bookmarkEnd w:id="5650"/>
      <w:bookmarkEnd w:id="5651"/>
      <w:bookmarkEnd w:id="5652"/>
      <w:r w:rsidR="0075721F">
        <w:t xml:space="preserve"> Deed</w:t>
      </w:r>
      <w:bookmarkEnd w:id="5653"/>
      <w:bookmarkEnd w:id="5654"/>
      <w:bookmarkEnd w:id="5655"/>
    </w:p>
    <w:p w14:paraId="53EE273D" w14:textId="6A7C6633" w:rsidR="000C1CD1" w:rsidRDefault="00481240" w:rsidP="00DF05AE">
      <w:pPr>
        <w:pStyle w:val="BodyText"/>
        <w:rPr>
          <w:b/>
          <w:bCs/>
          <w:i/>
          <w:iCs/>
        </w:rPr>
      </w:pPr>
      <w:r>
        <w:t>[</w:t>
      </w:r>
      <w:bookmarkEnd w:id="3"/>
      <w:r w:rsidR="001F0A75">
        <w:rPr>
          <w:b/>
          <w:bCs/>
          <w:i/>
          <w:iCs/>
        </w:rPr>
        <w:t xml:space="preserve">See </w:t>
      </w:r>
      <w:r w:rsidR="00EF6FF8">
        <w:rPr>
          <w:b/>
          <w:bCs/>
          <w:i/>
          <w:iCs/>
        </w:rPr>
        <w:fldChar w:fldCharType="begin"/>
      </w:r>
      <w:r w:rsidR="00EF6FF8">
        <w:rPr>
          <w:b/>
          <w:bCs/>
          <w:i/>
          <w:iCs/>
        </w:rPr>
        <w:instrText xml:space="preserve"> REF _Ref_ContractCompanion_9kb9Ur49B \w \n \h \* MERGEFORMAT </w:instrText>
      </w:r>
      <w:r w:rsidR="00EF6FF8">
        <w:rPr>
          <w:b/>
          <w:bCs/>
          <w:i/>
          <w:iCs/>
        </w:rPr>
      </w:r>
      <w:r w:rsidR="00EF6FF8">
        <w:rPr>
          <w:b/>
          <w:bCs/>
          <w:i/>
          <w:iCs/>
        </w:rPr>
        <w:fldChar w:fldCharType="separate"/>
      </w:r>
      <w:r w:rsidR="002E5C6A">
        <w:rPr>
          <w:b/>
          <w:bCs/>
          <w:i/>
          <w:iCs/>
        </w:rPr>
        <w:t>Annexure A</w:t>
      </w:r>
      <w:r w:rsidR="00EF6FF8">
        <w:rPr>
          <w:b/>
          <w:bCs/>
          <w:i/>
          <w:iCs/>
        </w:rPr>
        <w:fldChar w:fldCharType="end"/>
      </w:r>
      <w:r w:rsidR="001F0A75">
        <w:rPr>
          <w:b/>
          <w:bCs/>
          <w:i/>
          <w:iCs/>
        </w:rPr>
        <w:t xml:space="preserve">: Form of Tripartite Deed] </w:t>
      </w:r>
      <w:bookmarkEnd w:id="4"/>
    </w:p>
    <w:p w14:paraId="76CD9351" w14:textId="3C5C4CC5" w:rsidR="00016AAF" w:rsidRDefault="00016AAF" w:rsidP="00DF05AE">
      <w:pPr>
        <w:pStyle w:val="BodyText"/>
        <w:rPr>
          <w:b/>
          <w:bCs/>
          <w:i/>
          <w:iCs/>
        </w:rPr>
      </w:pPr>
      <w:r>
        <w:rPr>
          <w:b/>
          <w:bCs/>
          <w:i/>
          <w:iCs/>
        </w:rPr>
        <w:br w:type="page"/>
      </w:r>
    </w:p>
    <w:p w14:paraId="614073C4" w14:textId="77777777" w:rsidR="00016AAF" w:rsidRPr="008129EB" w:rsidRDefault="00016AAF" w:rsidP="00016AAF">
      <w:pPr>
        <w:pStyle w:val="AnnexurePageHeading"/>
      </w:pPr>
      <w:bookmarkStart w:id="5656" w:name="_Ref193817462"/>
      <w:bookmarkStart w:id="5657" w:name="_Toc193886448"/>
      <w:bookmarkStart w:id="5658" w:name="_Toc196834594"/>
      <w:bookmarkStart w:id="5659" w:name="_Toc207309772"/>
      <w:r w:rsidRPr="008129EB">
        <w:t xml:space="preserve">Form of </w:t>
      </w:r>
      <w:r>
        <w:t>Performance Security</w:t>
      </w:r>
      <w:bookmarkEnd w:id="5656"/>
      <w:bookmarkEnd w:id="5657"/>
      <w:bookmarkEnd w:id="5658"/>
      <w:bookmarkEnd w:id="5659"/>
    </w:p>
    <w:p w14:paraId="7F1F6C57" w14:textId="77777777" w:rsidR="00016AAF" w:rsidRPr="0085060B" w:rsidRDefault="00016AAF" w:rsidP="00016AAF">
      <w:pPr>
        <w:tabs>
          <w:tab w:val="left" w:pos="6237"/>
        </w:tabs>
        <w:jc w:val="center"/>
      </w:pPr>
      <w:r w:rsidRPr="0085060B">
        <w:t>[</w:t>
      </w:r>
      <w:r w:rsidRPr="00357C63">
        <w:rPr>
          <w:b/>
          <w:i/>
          <w:highlight w:val="lightGray"/>
        </w:rPr>
        <w:t>insert Lender Letterhead</w:t>
      </w:r>
      <w:r w:rsidRPr="0085060B">
        <w:t>]</w:t>
      </w:r>
    </w:p>
    <w:p w14:paraId="738C45E2" w14:textId="77777777" w:rsidR="00016AAF" w:rsidRDefault="00016AAF" w:rsidP="00016AAF">
      <w:pPr>
        <w:tabs>
          <w:tab w:val="left" w:pos="6237"/>
        </w:tabs>
        <w:jc w:val="right"/>
      </w:pPr>
      <w:r w:rsidRPr="00F06585">
        <w:t>[</w:t>
      </w:r>
      <w:r w:rsidRPr="00357C63">
        <w:rPr>
          <w:b/>
          <w:bCs/>
          <w:i/>
          <w:highlight w:val="lightGray"/>
        </w:rPr>
        <w:t>Date</w:t>
      </w:r>
      <w:r w:rsidRPr="00F06585">
        <w:t>]</w:t>
      </w:r>
    </w:p>
    <w:p w14:paraId="6761D347" w14:textId="65BE3342" w:rsidR="00016AAF" w:rsidRPr="00C923FB" w:rsidRDefault="003E3F57" w:rsidP="00016AAF">
      <w:pPr>
        <w:tabs>
          <w:tab w:val="left" w:pos="6237"/>
        </w:tabs>
        <w:jc w:val="center"/>
        <w:rPr>
          <w:b/>
          <w:bCs/>
        </w:rPr>
      </w:pPr>
      <w:r>
        <w:rPr>
          <w:b/>
          <w:bCs/>
        </w:rPr>
        <w:t xml:space="preserve">Bank Guarantee </w:t>
      </w:r>
      <w:r w:rsidR="00016AAF" w:rsidRPr="00C923FB">
        <w:rPr>
          <w:b/>
          <w:bCs/>
        </w:rPr>
        <w:t>No. [</w:t>
      </w:r>
      <w:r w:rsidR="00016AAF" w:rsidRPr="00357C63">
        <w:rPr>
          <w:b/>
          <w:bCs/>
          <w:i/>
          <w:iCs/>
          <w:highlight w:val="lightGray"/>
        </w:rPr>
        <w:t>insert</w:t>
      </w:r>
      <w:r w:rsidR="00016AAF" w:rsidRPr="00C923FB">
        <w:rPr>
          <w:b/>
          <w:bCs/>
        </w:rPr>
        <w:t>]</w:t>
      </w:r>
    </w:p>
    <w:p w14:paraId="2EF34574" w14:textId="77777777" w:rsidR="00016AAF" w:rsidRDefault="00016AAF" w:rsidP="00016AAF">
      <w:pPr>
        <w:tabs>
          <w:tab w:val="left" w:pos="6237"/>
        </w:tabs>
      </w:pPr>
    </w:p>
    <w:tbl>
      <w:tblPr>
        <w:tblStyle w:val="TableGrid"/>
        <w:tblW w:w="0" w:type="auto"/>
        <w:tblInd w:w="-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9"/>
        <w:gridCol w:w="6413"/>
      </w:tblGrid>
      <w:tr w:rsidR="00016AAF" w14:paraId="23A2BB94" w14:textId="77777777" w:rsidTr="00B311F5">
        <w:tc>
          <w:tcPr>
            <w:tcW w:w="1696" w:type="dxa"/>
          </w:tcPr>
          <w:p w14:paraId="45BC33E1" w14:textId="77777777" w:rsidR="00016AAF" w:rsidRPr="00453F98" w:rsidRDefault="00016AAF" w:rsidP="00A207B3">
            <w:pPr>
              <w:tabs>
                <w:tab w:val="left" w:pos="6237"/>
              </w:tabs>
              <w:spacing w:before="120" w:after="200"/>
              <w:jc w:val="both"/>
              <w:rPr>
                <w:b/>
                <w:lang w:val="en-GB"/>
              </w:rPr>
            </w:pPr>
            <w:r w:rsidRPr="00453F98">
              <w:rPr>
                <w:b/>
                <w:lang w:val="en-GB"/>
              </w:rPr>
              <w:t>Lender</w:t>
            </w:r>
          </w:p>
        </w:tc>
        <w:tc>
          <w:tcPr>
            <w:tcW w:w="7711" w:type="dxa"/>
          </w:tcPr>
          <w:p w14:paraId="601F162E" w14:textId="77777777" w:rsidR="00016AAF" w:rsidRPr="00453F98" w:rsidRDefault="00016AAF" w:rsidP="00A207B3">
            <w:pPr>
              <w:tabs>
                <w:tab w:val="left" w:pos="6237"/>
              </w:tabs>
              <w:spacing w:before="120" w:after="200"/>
              <w:jc w:val="both"/>
              <w:rPr>
                <w:lang w:val="en-GB"/>
              </w:rPr>
            </w:pPr>
            <w:r w:rsidRPr="00453F98">
              <w:rPr>
                <w:lang w:val="en-GB"/>
              </w:rPr>
              <w:t>[</w:t>
            </w:r>
            <w:r w:rsidRPr="00357C63">
              <w:rPr>
                <w:b/>
                <w:i/>
                <w:highlight w:val="lightGray"/>
                <w:lang w:val="en-GB"/>
              </w:rPr>
              <w:t>Lender</w:t>
            </w:r>
            <w:r w:rsidRPr="00453F98">
              <w:rPr>
                <w:lang w:val="en-GB"/>
              </w:rPr>
              <w:t>]</w:t>
            </w:r>
            <w:r>
              <w:rPr>
                <w:lang w:val="en-GB"/>
              </w:rPr>
              <w:t xml:space="preserve"> </w:t>
            </w:r>
          </w:p>
        </w:tc>
      </w:tr>
      <w:tr w:rsidR="00016AAF" w14:paraId="04FFFFB9" w14:textId="77777777" w:rsidTr="00B311F5">
        <w:tc>
          <w:tcPr>
            <w:tcW w:w="1696" w:type="dxa"/>
          </w:tcPr>
          <w:p w14:paraId="3502E094" w14:textId="77777777" w:rsidR="00016AAF" w:rsidRPr="00453F98" w:rsidRDefault="00016AAF" w:rsidP="00A207B3">
            <w:pPr>
              <w:tabs>
                <w:tab w:val="left" w:pos="6237"/>
              </w:tabs>
              <w:spacing w:before="120" w:after="200"/>
              <w:jc w:val="both"/>
              <w:rPr>
                <w:b/>
                <w:lang w:val="en-GB"/>
              </w:rPr>
            </w:pPr>
            <w:r w:rsidRPr="00453F98">
              <w:rPr>
                <w:b/>
                <w:lang w:val="en-GB"/>
              </w:rPr>
              <w:t>Beneficiary</w:t>
            </w:r>
          </w:p>
        </w:tc>
        <w:tc>
          <w:tcPr>
            <w:tcW w:w="7711" w:type="dxa"/>
          </w:tcPr>
          <w:p w14:paraId="4A6E5000" w14:textId="3048C197" w:rsidR="00016AAF" w:rsidRPr="0070454D" w:rsidRDefault="00016AAF" w:rsidP="00A207B3">
            <w:pPr>
              <w:tabs>
                <w:tab w:val="left" w:pos="6237"/>
              </w:tabs>
              <w:spacing w:before="120" w:after="200"/>
              <w:jc w:val="both"/>
              <w:rPr>
                <w:bCs/>
                <w:lang w:val="en-GB"/>
              </w:rPr>
            </w:pPr>
            <w:r>
              <w:rPr>
                <w:b/>
              </w:rPr>
              <w:t xml:space="preserve">The Commonwealth of Australia </w:t>
            </w:r>
            <w:r w:rsidRPr="009F68A3">
              <w:rPr>
                <w:bCs/>
              </w:rPr>
              <w:t>represented by the</w:t>
            </w:r>
            <w:r>
              <w:rPr>
                <w:b/>
              </w:rPr>
              <w:t xml:space="preserve"> Department of Climate Change, Energy, the Environment and Water</w:t>
            </w:r>
            <w:r>
              <w:rPr>
                <w:bCs/>
              </w:rPr>
              <w:t xml:space="preserve"> </w:t>
            </w:r>
            <w:r w:rsidRPr="00847C21">
              <w:rPr>
                <w:bCs/>
              </w:rPr>
              <w:t xml:space="preserve">of </w:t>
            </w:r>
            <w:r w:rsidR="003E3F57" w:rsidRPr="008F660B">
              <w:t>51 Allara St, City, Australian Capital Territory 2601, Australia</w:t>
            </w:r>
          </w:p>
        </w:tc>
      </w:tr>
      <w:tr w:rsidR="00016AAF" w14:paraId="711D4014" w14:textId="77777777" w:rsidTr="00B311F5">
        <w:tc>
          <w:tcPr>
            <w:tcW w:w="1696" w:type="dxa"/>
          </w:tcPr>
          <w:p w14:paraId="6C020903" w14:textId="77777777" w:rsidR="00016AAF" w:rsidRPr="00453F98" w:rsidRDefault="00016AAF" w:rsidP="00A207B3">
            <w:pPr>
              <w:tabs>
                <w:tab w:val="left" w:pos="6237"/>
              </w:tabs>
              <w:spacing w:before="120" w:after="200"/>
              <w:jc w:val="both"/>
              <w:rPr>
                <w:b/>
                <w:lang w:val="en-GB"/>
              </w:rPr>
            </w:pPr>
            <w:r>
              <w:rPr>
                <w:b/>
                <w:lang w:val="en-GB"/>
              </w:rPr>
              <w:t>Project Operator</w:t>
            </w:r>
          </w:p>
        </w:tc>
        <w:tc>
          <w:tcPr>
            <w:tcW w:w="7711" w:type="dxa"/>
          </w:tcPr>
          <w:p w14:paraId="2520A9C2" w14:textId="77777777" w:rsidR="00016AAF" w:rsidRPr="00453F98" w:rsidRDefault="00016AAF" w:rsidP="00A207B3">
            <w:pPr>
              <w:tabs>
                <w:tab w:val="left" w:pos="6237"/>
              </w:tabs>
              <w:spacing w:before="120" w:after="200"/>
              <w:jc w:val="both"/>
              <w:rPr>
                <w:lang w:val="en-GB"/>
              </w:rPr>
            </w:pPr>
            <w:r w:rsidRPr="00453F98">
              <w:rPr>
                <w:lang w:val="en-GB"/>
              </w:rPr>
              <w:t>[</w:t>
            </w:r>
            <w:r w:rsidRPr="007C1CFD">
              <w:rPr>
                <w:b/>
                <w:bCs/>
                <w:i/>
                <w:iCs/>
                <w:highlight w:val="lightGray"/>
                <w:lang w:val="en-GB"/>
              </w:rPr>
              <w:t>insert name of</w:t>
            </w:r>
            <w:r w:rsidRPr="003B72FE">
              <w:rPr>
                <w:highlight w:val="lightGray"/>
                <w:lang w:val="en-GB"/>
              </w:rPr>
              <w:t xml:space="preserve"> </w:t>
            </w:r>
            <w:r w:rsidRPr="00CB5DD1">
              <w:rPr>
                <w:b/>
                <w:bCs/>
                <w:i/>
                <w:iCs/>
                <w:highlight w:val="lightGray"/>
                <w:lang w:val="en-GB"/>
              </w:rPr>
              <w:t xml:space="preserve">Project </w:t>
            </w:r>
            <w:r w:rsidRPr="00820EC6">
              <w:rPr>
                <w:b/>
                <w:bCs/>
                <w:i/>
                <w:iCs/>
                <w:highlight w:val="lightGray"/>
                <w:lang w:val="en-GB"/>
              </w:rPr>
              <w:t>Operator</w:t>
            </w:r>
            <w:r w:rsidRPr="00453F98">
              <w:rPr>
                <w:lang w:val="en-GB"/>
              </w:rPr>
              <w:t>]</w:t>
            </w:r>
            <w:r>
              <w:rPr>
                <w:lang w:val="en-GB"/>
              </w:rPr>
              <w:t xml:space="preserve"> of [</w:t>
            </w:r>
            <w:r w:rsidRPr="00357C63">
              <w:rPr>
                <w:b/>
                <w:i/>
                <w:highlight w:val="lightGray"/>
                <w:lang w:val="en-GB"/>
              </w:rPr>
              <w:t>insert address</w:t>
            </w:r>
            <w:r>
              <w:rPr>
                <w:lang w:val="en-GB"/>
              </w:rPr>
              <w:t>]</w:t>
            </w:r>
          </w:p>
        </w:tc>
      </w:tr>
      <w:tr w:rsidR="00016AAF" w14:paraId="4E7A0B8C" w14:textId="77777777" w:rsidTr="00B311F5">
        <w:tc>
          <w:tcPr>
            <w:tcW w:w="1696" w:type="dxa"/>
          </w:tcPr>
          <w:p w14:paraId="0A303FD9" w14:textId="77777777" w:rsidR="00016AAF" w:rsidRPr="00453F98" w:rsidRDefault="00016AAF" w:rsidP="00A207B3">
            <w:pPr>
              <w:tabs>
                <w:tab w:val="left" w:pos="6237"/>
              </w:tabs>
              <w:spacing w:before="120" w:after="200"/>
              <w:jc w:val="both"/>
              <w:rPr>
                <w:b/>
                <w:lang w:val="en-GB"/>
              </w:rPr>
            </w:pPr>
            <w:r>
              <w:rPr>
                <w:b/>
                <w:lang w:val="en-GB"/>
              </w:rPr>
              <w:t xml:space="preserve">Agreement </w:t>
            </w:r>
          </w:p>
        </w:tc>
        <w:tc>
          <w:tcPr>
            <w:tcW w:w="7711" w:type="dxa"/>
          </w:tcPr>
          <w:p w14:paraId="780E0F9E" w14:textId="73E66B02" w:rsidR="00016AAF" w:rsidRPr="00453F98" w:rsidRDefault="00016AAF" w:rsidP="00A207B3">
            <w:pPr>
              <w:tabs>
                <w:tab w:val="left" w:pos="6237"/>
              </w:tabs>
              <w:spacing w:before="120" w:after="200"/>
              <w:jc w:val="both"/>
              <w:rPr>
                <w:lang w:val="en-GB"/>
              </w:rPr>
            </w:pPr>
            <w:r w:rsidRPr="00847C21">
              <w:rPr>
                <w:lang w:val="en-GB"/>
              </w:rPr>
              <w:t xml:space="preserve">Capacity Investment Scheme Agreement </w:t>
            </w:r>
            <w:r w:rsidR="003E3F57" w:rsidRPr="008F660B">
              <w:rPr>
                <w:lang w:val="en-GB"/>
              </w:rPr>
              <w:t>in respect of the [</w:t>
            </w:r>
            <w:r w:rsidR="003E3F57" w:rsidRPr="008F660B">
              <w:rPr>
                <w:b/>
                <w:i/>
                <w:highlight w:val="lightGray"/>
                <w:lang w:val="en-GB"/>
              </w:rPr>
              <w:t>insert name</w:t>
            </w:r>
            <w:r w:rsidR="003E3F57" w:rsidRPr="008F660B">
              <w:rPr>
                <w:highlight w:val="lightGray"/>
                <w:lang w:val="en-GB"/>
              </w:rPr>
              <w:t>]</w:t>
            </w:r>
            <w:r w:rsidR="003E3F57" w:rsidRPr="008F660B">
              <w:rPr>
                <w:lang w:val="en-GB"/>
              </w:rPr>
              <w:t xml:space="preserve"> Project</w:t>
            </w:r>
            <w:r w:rsidRPr="00847C21">
              <w:rPr>
                <w:lang w:val="en-GB"/>
              </w:rPr>
              <w:t xml:space="preserve"> dated</w:t>
            </w:r>
            <w:r w:rsidRPr="00453F98">
              <w:rPr>
                <w:lang w:val="en-GB"/>
              </w:rPr>
              <w:t xml:space="preserve"> [</w:t>
            </w:r>
            <w:r w:rsidRPr="003B72FE">
              <w:rPr>
                <w:b/>
                <w:bCs/>
                <w:highlight w:val="lightGray"/>
                <w:lang w:val="en-GB"/>
              </w:rPr>
              <w:t>insert</w:t>
            </w:r>
            <w:r w:rsidRPr="003B72FE">
              <w:rPr>
                <w:highlight w:val="lightGray"/>
                <w:lang w:val="en-GB"/>
              </w:rPr>
              <w:t xml:space="preserve"> </w:t>
            </w:r>
            <w:r w:rsidRPr="00820EC6">
              <w:rPr>
                <w:b/>
                <w:i/>
                <w:highlight w:val="lightGray"/>
                <w:lang w:val="en-GB"/>
              </w:rPr>
              <w:t>date</w:t>
            </w:r>
            <w:r w:rsidRPr="00453F98">
              <w:rPr>
                <w:lang w:val="en-GB"/>
              </w:rPr>
              <w:t>]</w:t>
            </w:r>
          </w:p>
        </w:tc>
      </w:tr>
      <w:tr w:rsidR="00016AAF" w14:paraId="1CBEF96A" w14:textId="77777777" w:rsidTr="00B311F5">
        <w:tc>
          <w:tcPr>
            <w:tcW w:w="1696" w:type="dxa"/>
          </w:tcPr>
          <w:p w14:paraId="3B19CA1C" w14:textId="77777777" w:rsidR="00016AAF" w:rsidRPr="00453F98" w:rsidRDefault="00016AAF" w:rsidP="00A207B3">
            <w:pPr>
              <w:tabs>
                <w:tab w:val="left" w:pos="6237"/>
              </w:tabs>
              <w:spacing w:before="120" w:after="200"/>
              <w:jc w:val="both"/>
              <w:rPr>
                <w:b/>
                <w:lang w:val="en-GB"/>
              </w:rPr>
            </w:pPr>
            <w:r w:rsidRPr="00453F98">
              <w:rPr>
                <w:b/>
                <w:lang w:val="en-GB"/>
              </w:rPr>
              <w:t>Sum</w:t>
            </w:r>
          </w:p>
        </w:tc>
        <w:tc>
          <w:tcPr>
            <w:tcW w:w="7711" w:type="dxa"/>
          </w:tcPr>
          <w:p w14:paraId="676B5C40" w14:textId="60D92134" w:rsidR="00016AAF" w:rsidRPr="00453F98" w:rsidRDefault="00975DB5" w:rsidP="00A207B3">
            <w:pPr>
              <w:tabs>
                <w:tab w:val="left" w:pos="6237"/>
              </w:tabs>
              <w:spacing w:before="120" w:after="200"/>
              <w:jc w:val="both"/>
              <w:rPr>
                <w:lang w:val="en-GB"/>
              </w:rPr>
            </w:pPr>
            <w:r>
              <w:rPr>
                <w:lang w:val="en-GB"/>
              </w:rPr>
              <w:t>$</w:t>
            </w:r>
            <w:r w:rsidR="00016AAF" w:rsidRPr="00453F98">
              <w:rPr>
                <w:lang w:val="en-GB"/>
              </w:rPr>
              <w:t>[</w:t>
            </w:r>
            <w:r w:rsidR="00016AAF" w:rsidRPr="003B72FE">
              <w:rPr>
                <w:b/>
                <w:bCs/>
                <w:i/>
                <w:iCs/>
                <w:highlight w:val="lightGray"/>
                <w:lang w:val="en-GB"/>
              </w:rPr>
              <w:t>insert</w:t>
            </w:r>
            <w:r w:rsidR="00016AAF">
              <w:rPr>
                <w:lang w:val="en-GB"/>
              </w:rPr>
              <w:t xml:space="preserve"> </w:t>
            </w:r>
            <w:r w:rsidR="00016AAF" w:rsidRPr="00357C63">
              <w:rPr>
                <w:b/>
                <w:i/>
                <w:highlight w:val="lightGray"/>
                <w:lang w:val="en-GB"/>
              </w:rPr>
              <w:t>Amount</w:t>
            </w:r>
            <w:r w:rsidR="00016AAF" w:rsidRPr="00453F98">
              <w:rPr>
                <w:lang w:val="en-GB"/>
              </w:rPr>
              <w:t>]</w:t>
            </w:r>
          </w:p>
        </w:tc>
      </w:tr>
    </w:tbl>
    <w:p w14:paraId="65731C24" w14:textId="77777777" w:rsidR="00016AAF" w:rsidRPr="00453F98" w:rsidRDefault="00016AAF" w:rsidP="00016AAF">
      <w:pPr>
        <w:tabs>
          <w:tab w:val="left" w:pos="6237"/>
        </w:tabs>
        <w:spacing w:before="240" w:after="200"/>
        <w:jc w:val="both"/>
        <w:rPr>
          <w:lang w:val="en-GB"/>
        </w:rPr>
      </w:pPr>
      <w:r w:rsidRPr="00453F98">
        <w:rPr>
          <w:lang w:val="en-GB"/>
        </w:rPr>
        <w:t xml:space="preserve">At the request of </w:t>
      </w:r>
      <w:r>
        <w:rPr>
          <w:lang w:val="en-GB"/>
        </w:rPr>
        <w:t>Project</w:t>
      </w:r>
      <w:r w:rsidRPr="00453F98">
        <w:rPr>
          <w:lang w:val="en-GB"/>
        </w:rPr>
        <w:t xml:space="preserve"> </w:t>
      </w:r>
      <w:r>
        <w:rPr>
          <w:lang w:val="en-GB"/>
        </w:rPr>
        <w:t>Operator</w:t>
      </w:r>
      <w:r w:rsidRPr="00453F98">
        <w:rPr>
          <w:lang w:val="en-GB"/>
        </w:rPr>
        <w:t xml:space="preserve">, and in consideration of the Beneficiary accepting this undertaking in respect of the </w:t>
      </w:r>
      <w:r>
        <w:rPr>
          <w:lang w:val="en-GB"/>
        </w:rPr>
        <w:t>Agreement</w:t>
      </w:r>
      <w:r w:rsidRPr="00453F98">
        <w:rPr>
          <w:lang w:val="en-GB"/>
        </w:rPr>
        <w:t xml:space="preserve">, the Lender </w:t>
      </w:r>
      <w:r>
        <w:rPr>
          <w:lang w:val="en-GB"/>
        </w:rPr>
        <w:t xml:space="preserve">irrevocably and </w:t>
      </w:r>
      <w:r w:rsidRPr="00453F98">
        <w:rPr>
          <w:lang w:val="en-GB"/>
        </w:rPr>
        <w:t xml:space="preserve">unconditionally undertakes to pay </w:t>
      </w:r>
      <w:r>
        <w:rPr>
          <w:lang w:val="en-GB"/>
        </w:rPr>
        <w:t xml:space="preserve">to the Beneficiary </w:t>
      </w:r>
      <w:r w:rsidRPr="00453F98">
        <w:rPr>
          <w:lang w:val="en-GB"/>
        </w:rPr>
        <w:t xml:space="preserve">on demand </w:t>
      </w:r>
      <w:r>
        <w:rPr>
          <w:lang w:val="en-GB"/>
        </w:rPr>
        <w:t xml:space="preserve">and without deduction or set off </w:t>
      </w:r>
      <w:r w:rsidRPr="00453F98">
        <w:rPr>
          <w:lang w:val="en-GB"/>
        </w:rPr>
        <w:t>any sum or sums which may from time to time be demanded by the Beneficiary to a maximum aggregate sum of the Sum.</w:t>
      </w:r>
    </w:p>
    <w:p w14:paraId="18CC28AB" w14:textId="77777777" w:rsidR="003E3F57" w:rsidRDefault="00016AAF" w:rsidP="00016AAF">
      <w:pPr>
        <w:tabs>
          <w:tab w:val="left" w:pos="6237"/>
        </w:tabs>
        <w:spacing w:after="200"/>
        <w:jc w:val="both"/>
        <w:rPr>
          <w:lang w:val="en-GB"/>
        </w:rPr>
      </w:pPr>
      <w:r w:rsidRPr="00453F98">
        <w:rPr>
          <w:lang w:val="en-GB"/>
        </w:rPr>
        <w:t>This undertaking is to continue until</w:t>
      </w:r>
      <w:r w:rsidR="003E3F57">
        <w:rPr>
          <w:lang w:val="en-GB"/>
        </w:rPr>
        <w:t>:</w:t>
      </w:r>
    </w:p>
    <w:p w14:paraId="7CE0C0DE" w14:textId="7B398960" w:rsidR="003E3F57" w:rsidRDefault="00016AAF" w:rsidP="003E3F57">
      <w:pPr>
        <w:pStyle w:val="SchedH3"/>
      </w:pPr>
      <w:r w:rsidRPr="008F660B">
        <w:t>notification has been received from the Beneficiary that the Sum is no longer required by the Beneficiary</w:t>
      </w:r>
      <w:r w:rsidR="003E3F57">
        <w:t>;</w:t>
      </w:r>
    </w:p>
    <w:p w14:paraId="00088265" w14:textId="6D611692" w:rsidR="003E3F57" w:rsidRDefault="00016AAF" w:rsidP="003E3F57">
      <w:pPr>
        <w:pStyle w:val="SchedH3"/>
      </w:pPr>
      <w:r w:rsidRPr="008F660B">
        <w:t>this undertaking is returned to the Lender</w:t>
      </w:r>
      <w:r w:rsidR="003E3F57">
        <w:t>; or</w:t>
      </w:r>
    </w:p>
    <w:p w14:paraId="0C0B799B" w14:textId="5D4E4FB9" w:rsidR="00016AAF" w:rsidRPr="008F660B" w:rsidRDefault="00016AAF" w:rsidP="008F660B">
      <w:pPr>
        <w:pStyle w:val="SchedH3"/>
      </w:pPr>
      <w:r w:rsidRPr="008F660B">
        <w:t>payment to the Beneficiary by the Lender of the whole of the Sum.</w:t>
      </w:r>
    </w:p>
    <w:p w14:paraId="2F44F1B2" w14:textId="77777777" w:rsidR="00016AAF" w:rsidRPr="00453F98" w:rsidRDefault="00016AAF" w:rsidP="00016AAF">
      <w:pPr>
        <w:tabs>
          <w:tab w:val="left" w:pos="6237"/>
        </w:tabs>
        <w:spacing w:after="200"/>
        <w:jc w:val="both"/>
        <w:rPr>
          <w:lang w:val="en-GB"/>
        </w:rPr>
      </w:pPr>
      <w:r w:rsidRPr="00453F98">
        <w:rPr>
          <w:lang w:val="en-GB"/>
        </w:rPr>
        <w:t xml:space="preserve">Should the Lender be notified in writing, purporting to be signed by or on behalf of the Beneficiary that the Beneficiary desires payment to be made of the whole or any part or parts of the Sum, it is </w:t>
      </w:r>
      <w:r>
        <w:rPr>
          <w:lang w:val="en-GB"/>
        </w:rPr>
        <w:t xml:space="preserve">irrevocably and </w:t>
      </w:r>
      <w:r w:rsidRPr="00453F98">
        <w:rPr>
          <w:lang w:val="en-GB"/>
        </w:rPr>
        <w:t xml:space="preserve">unconditionally agreed that the Lender </w:t>
      </w:r>
      <w:r>
        <w:rPr>
          <w:lang w:val="en-GB"/>
        </w:rPr>
        <w:t xml:space="preserve">must </w:t>
      </w:r>
      <w:r w:rsidRPr="00453F98">
        <w:rPr>
          <w:lang w:val="en-GB"/>
        </w:rPr>
        <w:t xml:space="preserve">make the payment or payments to the Beneficiary </w:t>
      </w:r>
      <w:r>
        <w:rPr>
          <w:lang w:val="en-GB"/>
        </w:rPr>
        <w:t xml:space="preserve">immediately, in Australian dollars and in same day funds </w:t>
      </w:r>
      <w:r w:rsidRPr="00453F98">
        <w:rPr>
          <w:lang w:val="en-GB"/>
        </w:rPr>
        <w:t xml:space="preserve">without reference to </w:t>
      </w:r>
      <w:r>
        <w:rPr>
          <w:lang w:val="en-GB"/>
        </w:rPr>
        <w:t>Project</w:t>
      </w:r>
      <w:r w:rsidRPr="00453F98">
        <w:rPr>
          <w:lang w:val="en-GB"/>
        </w:rPr>
        <w:t xml:space="preserve"> </w:t>
      </w:r>
      <w:r>
        <w:rPr>
          <w:lang w:val="en-GB"/>
        </w:rPr>
        <w:t>Operator</w:t>
      </w:r>
      <w:r w:rsidRPr="00453F98">
        <w:rPr>
          <w:lang w:val="en-GB"/>
        </w:rPr>
        <w:t xml:space="preserve"> and notwithstanding any notice given by </w:t>
      </w:r>
      <w:r>
        <w:rPr>
          <w:lang w:val="en-GB"/>
        </w:rPr>
        <w:t>Project</w:t>
      </w:r>
      <w:r w:rsidRPr="00453F98">
        <w:rPr>
          <w:lang w:val="en-GB"/>
        </w:rPr>
        <w:t xml:space="preserve"> </w:t>
      </w:r>
      <w:r>
        <w:rPr>
          <w:lang w:val="en-GB"/>
        </w:rPr>
        <w:t>Operator</w:t>
      </w:r>
      <w:r w:rsidRPr="00453F98">
        <w:rPr>
          <w:lang w:val="en-GB"/>
        </w:rPr>
        <w:t xml:space="preserve"> not to pay same.</w:t>
      </w:r>
    </w:p>
    <w:p w14:paraId="39148459" w14:textId="77777777" w:rsidR="003E3F57" w:rsidRDefault="003E3F57" w:rsidP="00016AAF">
      <w:pPr>
        <w:tabs>
          <w:tab w:val="left" w:pos="6237"/>
        </w:tabs>
        <w:spacing w:after="200"/>
        <w:jc w:val="both"/>
        <w:rPr>
          <w:lang w:val="en-GB"/>
        </w:rPr>
      </w:pPr>
      <w:r>
        <w:rPr>
          <w:lang w:val="en-GB"/>
        </w:rPr>
        <w:t>T</w:t>
      </w:r>
      <w:r w:rsidR="00016AAF" w:rsidRPr="00453F98">
        <w:rPr>
          <w:lang w:val="en-GB"/>
        </w:rPr>
        <w:t>he Lender may at any time</w:t>
      </w:r>
      <w:r>
        <w:rPr>
          <w:lang w:val="en-GB"/>
        </w:rPr>
        <w:t>,</w:t>
      </w:r>
      <w:r w:rsidR="00016AAF" w:rsidRPr="00453F98">
        <w:rPr>
          <w:lang w:val="en-GB"/>
        </w:rPr>
        <w:t xml:space="preserve"> without being required </w:t>
      </w:r>
      <w:r>
        <w:rPr>
          <w:lang w:val="en-GB"/>
        </w:rPr>
        <w:t>t</w:t>
      </w:r>
      <w:r w:rsidR="00016AAF" w:rsidRPr="00453F98">
        <w:rPr>
          <w:lang w:val="en-GB"/>
        </w:rPr>
        <w:t xml:space="preserve">o do </w:t>
      </w:r>
      <w:r>
        <w:rPr>
          <w:lang w:val="en-GB"/>
        </w:rPr>
        <w:t xml:space="preserve">so, </w:t>
      </w:r>
      <w:r w:rsidR="00016AAF" w:rsidRPr="00453F98">
        <w:rPr>
          <w:lang w:val="en-GB"/>
        </w:rPr>
        <w:t>pay to the Beneficiary</w:t>
      </w:r>
      <w:r>
        <w:rPr>
          <w:lang w:val="en-GB"/>
        </w:rPr>
        <w:t>:</w:t>
      </w:r>
    </w:p>
    <w:p w14:paraId="6DFCDAB6" w14:textId="77777777" w:rsidR="003E3F57" w:rsidRPr="008F660B" w:rsidRDefault="00016AAF" w:rsidP="008F660B">
      <w:pPr>
        <w:pStyle w:val="SchedH3"/>
        <w:numPr>
          <w:ilvl w:val="3"/>
          <w:numId w:val="111"/>
        </w:numPr>
        <w:rPr>
          <w:lang w:val="en-GB"/>
        </w:rPr>
      </w:pPr>
      <w:r w:rsidRPr="008F660B">
        <w:t>the Sum less any amount or amounts it may previously have paid under this undertaking</w:t>
      </w:r>
      <w:r w:rsidR="003E3F57">
        <w:t>;</w:t>
      </w:r>
      <w:r w:rsidRPr="008F660B">
        <w:t xml:space="preserve"> or</w:t>
      </w:r>
    </w:p>
    <w:p w14:paraId="2CD80E1C" w14:textId="77777777" w:rsidR="003E3F57" w:rsidRPr="008F660B" w:rsidRDefault="00016AAF" w:rsidP="008F660B">
      <w:pPr>
        <w:pStyle w:val="SchedH3"/>
        <w:numPr>
          <w:ilvl w:val="3"/>
          <w:numId w:val="111"/>
        </w:numPr>
        <w:rPr>
          <w:lang w:val="en-GB"/>
        </w:rPr>
      </w:pPr>
      <w:r w:rsidRPr="008F660B">
        <w:t xml:space="preserve">such lesser sum as may be required and specified by the Beneficiary </w:t>
      </w:r>
    </w:p>
    <w:p w14:paraId="02F910F6" w14:textId="663157BB" w:rsidR="00016AAF" w:rsidRPr="003E3F57" w:rsidRDefault="00016AAF" w:rsidP="008F660B">
      <w:pPr>
        <w:pStyle w:val="SchedH3"/>
        <w:numPr>
          <w:ilvl w:val="0"/>
          <w:numId w:val="0"/>
        </w:numPr>
        <w:rPr>
          <w:lang w:val="en-GB"/>
        </w:rPr>
      </w:pPr>
      <w:r w:rsidRPr="008F660B">
        <w:t>and</w:t>
      </w:r>
      <w:r w:rsidR="003E3F57">
        <w:t>,</w:t>
      </w:r>
      <w:r w:rsidRPr="008F660B">
        <w:t xml:space="preserve"> thereupon</w:t>
      </w:r>
      <w:r w:rsidR="003E3F57">
        <w:t>,</w:t>
      </w:r>
      <w:r w:rsidRPr="008F660B">
        <w:t xml:space="preserve"> the liability of the Lender hereunder </w:t>
      </w:r>
      <w:r w:rsidR="003E3F57">
        <w:t xml:space="preserve">will </w:t>
      </w:r>
      <w:r w:rsidRPr="008F660B">
        <w:t>immediately cease.</w:t>
      </w:r>
    </w:p>
    <w:p w14:paraId="280C51EF" w14:textId="7D5A7427" w:rsidR="00016AAF" w:rsidRDefault="00016AAF" w:rsidP="00016AAF">
      <w:pPr>
        <w:pStyle w:val="BodyText"/>
        <w:tabs>
          <w:tab w:val="left" w:pos="6237"/>
        </w:tabs>
      </w:pPr>
      <w:r w:rsidRPr="00F06585">
        <w:t xml:space="preserve">The Beneficiary's rights under this </w:t>
      </w:r>
      <w:r>
        <w:t>undertaking</w:t>
      </w:r>
      <w:r w:rsidRPr="00F06585">
        <w:t xml:space="preserve"> may not be assigned</w:t>
      </w:r>
      <w:r>
        <w:t>, novated</w:t>
      </w:r>
      <w:r w:rsidRPr="00F06585">
        <w:t xml:space="preserve"> or transferred</w:t>
      </w:r>
      <w:r>
        <w:t xml:space="preserve">, </w:t>
      </w:r>
      <w:r w:rsidRPr="00405F3E">
        <w:t xml:space="preserve">other than to an entity to which the </w:t>
      </w:r>
      <w:r>
        <w:t>Beneficiary</w:t>
      </w:r>
      <w:r w:rsidRPr="00405F3E">
        <w:t xml:space="preserve"> is assigning</w:t>
      </w:r>
      <w:r>
        <w:t>, novating</w:t>
      </w:r>
      <w:r w:rsidRPr="00405F3E">
        <w:t xml:space="preserve"> </w:t>
      </w:r>
      <w:r w:rsidRPr="0067354F">
        <w:t>or transferring</w:t>
      </w:r>
      <w:r>
        <w:t xml:space="preserve"> the Beneficiary's rights under</w:t>
      </w:r>
      <w:r w:rsidRPr="0067354F">
        <w:t xml:space="preserve"> </w:t>
      </w:r>
      <w:r w:rsidRPr="00405F3E">
        <w:t xml:space="preserve">the </w:t>
      </w:r>
      <w:r>
        <w:t xml:space="preserve">Agreement </w:t>
      </w:r>
      <w:r w:rsidRPr="00405F3E">
        <w:t>(whe</w:t>
      </w:r>
      <w:r w:rsidR="003E3F57">
        <w:t>n</w:t>
      </w:r>
      <w:r w:rsidRPr="00405F3E">
        <w:t xml:space="preserve"> such assignment</w:t>
      </w:r>
      <w:r>
        <w:t>, novation or transfer</w:t>
      </w:r>
      <w:r w:rsidRPr="00405F3E">
        <w:t xml:space="preserve"> is in accordance </w:t>
      </w:r>
      <w:r>
        <w:t>with the terms of the Agreement)</w:t>
      </w:r>
      <w:r w:rsidRPr="00F06585">
        <w:t>.</w:t>
      </w:r>
    </w:p>
    <w:p w14:paraId="7BB009E0" w14:textId="153C28BB" w:rsidR="00016AAF" w:rsidRPr="00453F98" w:rsidRDefault="00016AAF" w:rsidP="00016AAF">
      <w:pPr>
        <w:tabs>
          <w:tab w:val="left" w:pos="6237"/>
        </w:tabs>
        <w:spacing w:after="200"/>
        <w:jc w:val="both"/>
        <w:rPr>
          <w:lang w:val="en-GB"/>
        </w:rPr>
      </w:pPr>
      <w:r w:rsidRPr="0037284E">
        <w:rPr>
          <w:lang w:val="en-GB"/>
        </w:rPr>
        <w:t xml:space="preserve">This </w:t>
      </w:r>
      <w:r>
        <w:rPr>
          <w:lang w:val="en-GB"/>
        </w:rPr>
        <w:t xml:space="preserve">undertaking </w:t>
      </w:r>
      <w:r w:rsidRPr="0037284E">
        <w:rPr>
          <w:lang w:val="en-GB"/>
        </w:rPr>
        <w:t>is governed by the</w:t>
      </w:r>
      <w:r>
        <w:rPr>
          <w:lang w:val="en-GB"/>
        </w:rPr>
        <w:t xml:space="preserve"> laws of [</w:t>
      </w:r>
      <w:r w:rsidRPr="007C1CFD">
        <w:rPr>
          <w:b/>
          <w:bCs/>
          <w:i/>
          <w:iCs/>
          <w:highlight w:val="lightGray"/>
          <w:lang w:val="en-GB"/>
        </w:rPr>
        <w:t>the Relevant Jurisdiction</w:t>
      </w:r>
      <w:r>
        <w:rPr>
          <w:lang w:val="en-GB"/>
        </w:rPr>
        <w:t>].</w:t>
      </w:r>
      <w:r w:rsidR="00BC2BE9">
        <w:rPr>
          <w:lang w:val="en-GB"/>
        </w:rPr>
        <w:t xml:space="preserve"> </w:t>
      </w:r>
      <w:r>
        <w:rPr>
          <w:lang w:val="en-GB"/>
        </w:rPr>
        <w:t xml:space="preserve">Each of the Lender, Project Operator and the Beneficiary </w:t>
      </w:r>
      <w:r w:rsidRPr="0037284E">
        <w:rPr>
          <w:lang w:val="en-GB"/>
        </w:rPr>
        <w:t xml:space="preserve">irrevocably and unconditionally submits to the exclusive jurisdiction of the courts of </w:t>
      </w:r>
      <w:r>
        <w:rPr>
          <w:lang w:val="en-GB"/>
        </w:rPr>
        <w:t>[</w:t>
      </w:r>
      <w:r w:rsidRPr="007C1CFD">
        <w:rPr>
          <w:b/>
          <w:bCs/>
          <w:i/>
          <w:iCs/>
          <w:highlight w:val="lightGray"/>
          <w:lang w:val="en-GB"/>
        </w:rPr>
        <w:t>the Relevant Jurisdiction</w:t>
      </w:r>
      <w:r>
        <w:rPr>
          <w:lang w:val="en-GB"/>
        </w:rPr>
        <w:t xml:space="preserve">] </w:t>
      </w:r>
      <w:r w:rsidRPr="0037284E">
        <w:rPr>
          <w:lang w:val="en-GB"/>
        </w:rPr>
        <w:t>and any courts which have jurisdiction to hear appeals from any of those courts and waives any right to object to any proceedings being brought in those courts.</w:t>
      </w:r>
    </w:p>
    <w:p w14:paraId="3BFA0080" w14:textId="65ADD837" w:rsidR="00016AAF" w:rsidRDefault="00016AAF" w:rsidP="00D315FD">
      <w:pPr>
        <w:tabs>
          <w:tab w:val="left" w:pos="6237"/>
        </w:tabs>
        <w:spacing w:after="200"/>
        <w:jc w:val="both"/>
        <w:rPr>
          <w:lang w:val="en-GB"/>
        </w:rPr>
      </w:pPr>
      <w:r w:rsidRPr="00453F98">
        <w:rPr>
          <w:lang w:val="en-GB"/>
        </w:rPr>
        <w:t xml:space="preserve">Signed for and on behalf of </w:t>
      </w:r>
    </w:p>
    <w:p w14:paraId="154C09A2" w14:textId="1DF560DB" w:rsidR="00FC030B" w:rsidRPr="008F660B" w:rsidRDefault="00975DB5" w:rsidP="00D315FD">
      <w:pPr>
        <w:tabs>
          <w:tab w:val="left" w:pos="6237"/>
        </w:tabs>
        <w:spacing w:after="200"/>
        <w:jc w:val="both"/>
        <w:rPr>
          <w:lang w:val="en-GB"/>
        </w:rPr>
      </w:pPr>
      <w:r>
        <w:rPr>
          <w:lang w:val="en-GB"/>
        </w:rPr>
        <w:t>[</w:t>
      </w:r>
      <w:r w:rsidR="00FC030B" w:rsidRPr="008F660B">
        <w:rPr>
          <w:b/>
          <w:bCs/>
          <w:i/>
          <w:iCs/>
          <w:highlight w:val="lightGray"/>
          <w:lang w:val="en-GB"/>
        </w:rPr>
        <w:t>Lender</w:t>
      </w:r>
      <w:r>
        <w:rPr>
          <w:lang w:val="en-GB"/>
        </w:rPr>
        <w:t>]</w:t>
      </w:r>
    </w:p>
    <w:sectPr w:rsidR="00FC030B" w:rsidRPr="008F660B" w:rsidSect="00E5595F">
      <w:pgSz w:w="11907" w:h="16840" w:code="9"/>
      <w:pgMar w:top="1134" w:right="1134" w:bottom="1417" w:left="2835" w:header="425" w:footer="567"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43B69" w14:textId="77777777" w:rsidR="00656A5C" w:rsidRDefault="00656A5C">
      <w:r>
        <w:separator/>
      </w:r>
    </w:p>
  </w:endnote>
  <w:endnote w:type="continuationSeparator" w:id="0">
    <w:p w14:paraId="2E336DA2" w14:textId="77777777" w:rsidR="00656A5C" w:rsidRDefault="00656A5C">
      <w:r>
        <w:continuationSeparator/>
      </w:r>
    </w:p>
  </w:endnote>
  <w:endnote w:type="continuationNotice" w:id="1">
    <w:p w14:paraId="0A2C7943" w14:textId="77777777" w:rsidR="00656A5C" w:rsidRDefault="00656A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Semibold">
    <w:panose1 w:val="020B07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01000001" w:usb1="00000000" w:usb2="00000000" w:usb3="00000000" w:csb0="00010000" w:csb1="00000000"/>
  </w:font>
  <w:font w:name="Arial Bold">
    <w:altName w:val="Times"/>
    <w:panose1 w:val="00000000000000000000"/>
    <w:charset w:val="00"/>
    <w:family w:val="auto"/>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Narrow">
    <w:altName w:val="Calibri"/>
    <w:charset w:val="00"/>
    <w:family w:val="swiss"/>
    <w:pitch w:val="variable"/>
    <w:sig w:usb0="20000287" w:usb1="00000003" w:usb2="00000000" w:usb3="00000000" w:csb0="0000019F" w:csb1="00000000"/>
  </w:font>
  <w:font w:name="Arial,Bold">
    <w:altName w:val="Arial"/>
    <w:panose1 w:val="00000000000000000000"/>
    <w:charset w:val="00"/>
    <w:family w:val="auto"/>
    <w:notTrueType/>
    <w:pitch w:val="default"/>
    <w:sig w:usb0="00000003" w:usb1="00000000" w:usb2="00000000" w:usb3="00000000" w:csb0="00000001" w:csb1="00000000"/>
  </w:font>
  <w:font w:name="STKaiti">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C3127" w14:textId="4B6DD0C2" w:rsidR="005B60E4" w:rsidRDefault="005F41F9">
    <w:pPr>
      <w:pStyle w:val="Footer"/>
    </w:pPr>
    <w:r>
      <w:rPr>
        <w:noProof/>
      </w:rPr>
      <mc:AlternateContent>
        <mc:Choice Requires="wps">
          <w:drawing>
            <wp:anchor distT="0" distB="0" distL="0" distR="0" simplePos="0" relativeHeight="251658253" behindDoc="0" locked="0" layoutInCell="1" allowOverlap="1" wp14:anchorId="4EEE8515" wp14:editId="585B32A1">
              <wp:simplePos x="635" y="635"/>
              <wp:positionH relativeFrom="page">
                <wp:align>center</wp:align>
              </wp:positionH>
              <wp:positionV relativeFrom="page">
                <wp:align>bottom</wp:align>
              </wp:positionV>
              <wp:extent cx="551815" cy="376555"/>
              <wp:effectExtent l="0" t="0" r="635" b="0"/>
              <wp:wrapNone/>
              <wp:docPr id="661793855"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69898E7" w14:textId="572ED200"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EE8515" id="_x0000_t202" coordsize="21600,21600" o:spt="202" path="m,l,21600r21600,l21600,xe">
              <v:stroke joinstyle="miter"/>
              <v:path gradientshapeok="t" o:connecttype="rect"/>
            </v:shapetype>
            <v:shape id="Text Box 23" o:spid="_x0000_s1027" type="#_x0000_t202" alt="OFFICIAL" style="position:absolute;margin-left:0;margin-top:0;width:43.45pt;height:29.6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769898E7" w14:textId="572ED200"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D67AE" w14:textId="3EA621F5" w:rsidR="005F41F9" w:rsidRDefault="005F41F9">
    <w:pPr>
      <w:pStyle w:val="Footer"/>
    </w:pPr>
    <w:r>
      <w:rPr>
        <w:noProof/>
      </w:rPr>
      <mc:AlternateContent>
        <mc:Choice Requires="wps">
          <w:drawing>
            <wp:anchor distT="0" distB="0" distL="0" distR="0" simplePos="0" relativeHeight="251658256" behindDoc="0" locked="0" layoutInCell="1" allowOverlap="1" wp14:anchorId="06717EC9" wp14:editId="495CC1E7">
              <wp:simplePos x="635" y="635"/>
              <wp:positionH relativeFrom="page">
                <wp:align>center</wp:align>
              </wp:positionH>
              <wp:positionV relativeFrom="page">
                <wp:align>bottom</wp:align>
              </wp:positionV>
              <wp:extent cx="551815" cy="376555"/>
              <wp:effectExtent l="0" t="0" r="635" b="0"/>
              <wp:wrapNone/>
              <wp:docPr id="1598936422" name="Text Box 3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F52C811" w14:textId="45D1EAE0"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717EC9" id="_x0000_t202" coordsize="21600,21600" o:spt="202" path="m,l,21600r21600,l21600,xe">
              <v:stroke joinstyle="miter"/>
              <v:path gradientshapeok="t" o:connecttype="rect"/>
            </v:shapetype>
            <v:shape id="Text Box 32" o:spid="_x0000_s1037" type="#_x0000_t202" alt="OFFICIAL" style="position:absolute;margin-left:0;margin-top:0;width:43.45pt;height:29.65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YGYDwIAAB0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dg95+m9rfQHHEqB+PCveWrDmuvmQ9PzOGGcRBU&#10;bXjEQyroawoni5IW3M+/+WM+Eo9RSnpUTE0NSpoS9d3gQqK4JsNNxjYZxZe8zDFu9voOUIcFPgnL&#10;k4leF9RkSgf6BfW8jIUwxAzHcjXdTuZdGKWL74GL5TIloY4sC2uzsTxCR74imc/DC3P2xHjAVT3A&#10;JCdWvSF+zI03vV3uA9KfthK5HYk8UY4aTHs9vZco8tf/Kevyqhe/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NdGBmA8CAAAd&#10;BAAADgAAAAAAAAAAAAAAAAAuAgAAZHJzL2Uyb0RvYy54bWxQSwECLQAUAAYACAAAACEAIHrByNoA&#10;AAADAQAADwAAAAAAAAAAAAAAAABpBAAAZHJzL2Rvd25yZXYueG1sUEsFBgAAAAAEAAQA8wAAAHAF&#10;AAAAAA==&#10;" filled="f" stroked="f">
              <v:textbox style="mso-fit-shape-to-text:t" inset="0,0,0,15pt">
                <w:txbxContent>
                  <w:p w14:paraId="1F52C811" w14:textId="45D1EAE0"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906636"/>
      <w:docPartObj>
        <w:docPartGallery w:val="Page Numbers (Bottom of Page)"/>
        <w:docPartUnique/>
      </w:docPartObj>
    </w:sdtPr>
    <w:sdtEndPr>
      <w:rPr>
        <w:noProof/>
      </w:rPr>
    </w:sdtEndPr>
    <w:sdtContent>
      <w:p w14:paraId="54A8A6A3" w14:textId="78E3DB04" w:rsidR="00D21C23" w:rsidRDefault="00D21C2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05E65E" w14:textId="4C112687" w:rsidR="00F045C8" w:rsidRPr="004B2814" w:rsidRDefault="00F045C8" w:rsidP="004B2814">
    <w:pPr>
      <w:pStyle w:val="Footer"/>
      <w:rPr>
        <w:sz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654AE" w14:textId="66A55835" w:rsidR="005F41F9" w:rsidRDefault="005F41F9">
    <w:pPr>
      <w:pStyle w:val="Footer"/>
    </w:pPr>
    <w:r>
      <w:rPr>
        <w:noProof/>
      </w:rPr>
      <mc:AlternateContent>
        <mc:Choice Requires="wps">
          <w:drawing>
            <wp:anchor distT="0" distB="0" distL="0" distR="0" simplePos="0" relativeHeight="251658242" behindDoc="0" locked="0" layoutInCell="1" allowOverlap="1" wp14:anchorId="7035D78C" wp14:editId="3BBB8D7C">
              <wp:simplePos x="635" y="635"/>
              <wp:positionH relativeFrom="page">
                <wp:align>center</wp:align>
              </wp:positionH>
              <wp:positionV relativeFrom="page">
                <wp:align>bottom</wp:align>
              </wp:positionV>
              <wp:extent cx="551815" cy="376555"/>
              <wp:effectExtent l="0" t="0" r="635" b="0"/>
              <wp:wrapNone/>
              <wp:docPr id="1416661216" name="Text Box 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0E39BB2" w14:textId="16D8D80E"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35D78C" id="_x0000_t202" coordsize="21600,21600" o:spt="202" path="m,l,21600r21600,l21600,xe">
              <v:stroke joinstyle="miter"/>
              <v:path gradientshapeok="t" o:connecttype="rect"/>
            </v:shapetype>
            <v:shape id="Text Box 31" o:spid="_x0000_s1039" type="#_x0000_t202" alt="OFFICIAL" style="position:absolute;margin-left:0;margin-top:0;width:43.45pt;height:29.6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76/k4w8CAAAd&#10;BAAADgAAAAAAAAAAAAAAAAAuAgAAZHJzL2Uyb0RvYy54bWxQSwECLQAUAAYACAAAACEAIHrByNoA&#10;AAADAQAADwAAAAAAAAAAAAAAAABpBAAAZHJzL2Rvd25yZXYueG1sUEsFBgAAAAAEAAQA8wAAAHAF&#10;AAAAAA==&#10;" filled="f" stroked="f">
              <v:textbox style="mso-fit-shape-to-text:t" inset="0,0,0,15pt">
                <w:txbxContent>
                  <w:p w14:paraId="60E39BB2" w14:textId="16D8D80E"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p w14:paraId="60EAA97B" w14:textId="4E270B58" w:rsidR="00F045C8" w:rsidRPr="00F045C8" w:rsidRDefault="004B2814" w:rsidP="004B2814">
    <w:pPr>
      <w:pStyle w:val="Footer"/>
      <w:rPr>
        <w:sz w:val="14"/>
      </w:rPr>
    </w:pPr>
    <w:r>
      <w:rPr>
        <w:sz w:val="14"/>
      </w:rPr>
      <w:fldChar w:fldCharType="begin"/>
    </w:r>
    <w:r>
      <w:rPr>
        <w:sz w:val="14"/>
      </w:rPr>
      <w:instrText xml:space="preserve"> DOCPROPERTY  iManageFooter </w:instrText>
    </w:r>
    <w:r>
      <w:rPr>
        <w:sz w:val="14"/>
      </w:rPr>
      <w:fldChar w:fldCharType="separate"/>
    </w:r>
    <w:r w:rsidR="00337E69">
      <w:rPr>
        <w:sz w:val="14"/>
      </w:rPr>
      <w:t>[9479258:49678382_3]</w:t>
    </w:r>
    <w:r>
      <w:rPr>
        <w:sz w:val="14"/>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CE80B" w14:textId="32CA2D36" w:rsidR="005F41F9" w:rsidRDefault="005F41F9">
    <w:pPr>
      <w:pStyle w:val="Footer"/>
    </w:pPr>
    <w:r>
      <w:rPr>
        <w:noProof/>
      </w:rPr>
      <mc:AlternateContent>
        <mc:Choice Requires="wps">
          <w:drawing>
            <wp:anchor distT="0" distB="0" distL="0" distR="0" simplePos="0" relativeHeight="251658257" behindDoc="0" locked="0" layoutInCell="1" allowOverlap="1" wp14:anchorId="1135400B" wp14:editId="06879091">
              <wp:simplePos x="635" y="635"/>
              <wp:positionH relativeFrom="page">
                <wp:align>center</wp:align>
              </wp:positionH>
              <wp:positionV relativeFrom="page">
                <wp:align>bottom</wp:align>
              </wp:positionV>
              <wp:extent cx="551815" cy="376555"/>
              <wp:effectExtent l="0" t="0" r="635" b="0"/>
              <wp:wrapNone/>
              <wp:docPr id="355811549" name="Text Box 3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E628BB3" w14:textId="05963AEE"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35400B" id="_x0000_t202" coordsize="21600,21600" o:spt="202" path="m,l,21600r21600,l21600,xe">
              <v:stroke joinstyle="miter"/>
              <v:path gradientshapeok="t" o:connecttype="rect"/>
            </v:shapetype>
            <v:shape id="Text Box 35" o:spid="_x0000_s1041" type="#_x0000_t202" alt="OFFICIAL" style="position:absolute;margin-left:0;margin-top:0;width:43.45pt;height:29.65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qNGvWA8CAAAd&#10;BAAADgAAAAAAAAAAAAAAAAAuAgAAZHJzL2Uyb0RvYy54bWxQSwECLQAUAAYACAAAACEAIHrByNoA&#10;AAADAQAADwAAAAAAAAAAAAAAAABpBAAAZHJzL2Rvd25yZXYueG1sUEsFBgAAAAAEAAQA8wAAAHAF&#10;AAAAAA==&#10;" filled="f" stroked="f">
              <v:textbox style="mso-fit-shape-to-text:t" inset="0,0,0,15pt">
                <w:txbxContent>
                  <w:p w14:paraId="5E628BB3" w14:textId="05963AEE"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010733"/>
      <w:docPartObj>
        <w:docPartGallery w:val="Page Numbers (Bottom of Page)"/>
        <w:docPartUnique/>
      </w:docPartObj>
    </w:sdtPr>
    <w:sdtEndPr>
      <w:rPr>
        <w:noProof/>
      </w:rPr>
    </w:sdtEndPr>
    <w:sdtContent>
      <w:p w14:paraId="5642FB1A" w14:textId="07998B79" w:rsidR="00D21C23" w:rsidRDefault="00D21C2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F9D981" w14:textId="76933B9A" w:rsidR="00F045C8" w:rsidRPr="004B2814" w:rsidRDefault="00F045C8" w:rsidP="004B2814">
    <w:pPr>
      <w:pStyle w:val="Footer"/>
      <w:rPr>
        <w:sz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5C4F4B" w:rsidRPr="007217B9" w14:paraId="254DCE7A" w14:textId="77777777" w:rsidTr="00956FDB">
      <w:trPr>
        <w:trHeight w:hRule="exact" w:val="440"/>
      </w:trPr>
      <w:tc>
        <w:tcPr>
          <w:tcW w:w="2211" w:type="dxa"/>
          <w:tcBorders>
            <w:top w:val="single" w:sz="2" w:space="0" w:color="auto"/>
            <w:right w:val="nil"/>
          </w:tcBorders>
        </w:tcPr>
        <w:p w14:paraId="4D42B818" w14:textId="295C1899" w:rsidR="005C4F4B" w:rsidRPr="007217B9" w:rsidRDefault="005F41F9">
          <w:pPr>
            <w:pStyle w:val="Footer"/>
            <w:spacing w:before="60"/>
          </w:pPr>
          <w:r>
            <w:rPr>
              <w:noProof/>
            </w:rPr>
            <mc:AlternateContent>
              <mc:Choice Requires="wps">
                <w:drawing>
                  <wp:anchor distT="0" distB="0" distL="0" distR="0" simplePos="0" relativeHeight="251658259" behindDoc="0" locked="0" layoutInCell="1" allowOverlap="1" wp14:anchorId="4D2870CF" wp14:editId="36726951">
                    <wp:simplePos x="635" y="635"/>
                    <wp:positionH relativeFrom="page">
                      <wp:align>center</wp:align>
                    </wp:positionH>
                    <wp:positionV relativeFrom="page">
                      <wp:align>bottom</wp:align>
                    </wp:positionV>
                    <wp:extent cx="551815" cy="376555"/>
                    <wp:effectExtent l="0" t="0" r="635" b="0"/>
                    <wp:wrapNone/>
                    <wp:docPr id="1339838486" name="Text Box 3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E67012C" w14:textId="07AEC77E" w:rsidR="005F41F9" w:rsidRPr="005F41F9" w:rsidRDefault="005F41F9" w:rsidP="005F41F9">
                                <w:pPr>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2870CF" id="_x0000_t202" coordsize="21600,21600" o:spt="202" path="m,l,21600r21600,l21600,xe">
                    <v:stroke joinstyle="miter"/>
                    <v:path gradientshapeok="t" o:connecttype="rect"/>
                  </v:shapetype>
                  <v:shape id="Text Box 34" o:spid="_x0000_s1042" type="#_x0000_t202" alt="OFFICIAL" style="position:absolute;margin-left:0;margin-top:0;width:43.45pt;height:29.65pt;z-index:2516582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h1lDwIAAB0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dg97dT+1tojjiVg3Hh3vJVh7XXzIdn5nDDOAiq&#10;NjzhIRX0NYWTRUkL7uff/DEficcoJT0qpqYGJU2J+m5wIVFck+EmY5uM4jYvc4ybvb4H1GGBT8Ly&#10;ZKLXBTWZ0oF+RT0vYyEMMcOxXE23k3kfRunie+BiuUxJqCPLwtpsLI/Qka9I5svwypw9MR5wVY8w&#10;yYlV74gfc+NNb5f7gPSnrURuRyJPlKMG015P7yWK/O1/yrq86sUv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xW4dZQ8CAAAd&#10;BAAADgAAAAAAAAAAAAAAAAAuAgAAZHJzL2Uyb0RvYy54bWxQSwECLQAUAAYACAAAACEAIHrByNoA&#10;AAADAQAADwAAAAAAAAAAAAAAAABpBAAAZHJzL2Rvd25yZXYueG1sUEsFBgAAAAAEAAQA8wAAAHAF&#10;AAAAAA==&#10;" filled="f" stroked="f">
                    <v:textbox style="mso-fit-shape-to-text:t" inset="0,0,0,15pt">
                      <w:txbxContent>
                        <w:p w14:paraId="0E67012C" w14:textId="07AEC77E" w:rsidR="005F41F9" w:rsidRPr="005F41F9" w:rsidRDefault="005F41F9" w:rsidP="005F41F9">
                          <w:pPr>
                            <w:rPr>
                              <w:rFonts w:ascii="Calibri" w:eastAsia="Calibri" w:hAnsi="Calibri" w:cs="Calibri"/>
                              <w:noProof/>
                              <w:color w:val="FF0000"/>
                              <w:sz w:val="24"/>
                              <w:szCs w:val="24"/>
                            </w:rPr>
                          </w:pPr>
                        </w:p>
                      </w:txbxContent>
                    </v:textbox>
                    <w10:wrap anchorx="page" anchory="page"/>
                  </v:shape>
                </w:pict>
              </mc:Fallback>
            </mc:AlternateContent>
          </w:r>
        </w:p>
        <w:p w14:paraId="139D4CCF" w14:textId="313FF55D" w:rsidR="005C4F4B" w:rsidRPr="007217B9" w:rsidRDefault="005C4F4B">
          <w:pPr>
            <w:pStyle w:val="Footer"/>
          </w:pPr>
        </w:p>
      </w:tc>
      <w:tc>
        <w:tcPr>
          <w:tcW w:w="7371" w:type="dxa"/>
          <w:tcBorders>
            <w:left w:val="nil"/>
          </w:tcBorders>
        </w:tcPr>
        <w:p w14:paraId="14985DBF" w14:textId="77777777" w:rsidR="005C4F4B" w:rsidRPr="007217B9" w:rsidRDefault="005C4F4B">
          <w:pPr>
            <w:pStyle w:val="Footer"/>
            <w:ind w:left="113"/>
          </w:pPr>
        </w:p>
      </w:tc>
      <w:tc>
        <w:tcPr>
          <w:tcW w:w="567" w:type="dxa"/>
        </w:tcPr>
        <w:p w14:paraId="345112DF" w14:textId="77777777" w:rsidR="005C4F4B" w:rsidRPr="007217B9" w:rsidRDefault="005C4F4B">
          <w:pPr>
            <w:pStyle w:val="Footer"/>
            <w:spacing w:before="60"/>
            <w:jc w:val="right"/>
          </w:pPr>
          <w:r w:rsidRPr="007217B9">
            <w:fldChar w:fldCharType="begin"/>
          </w:r>
          <w:r w:rsidRPr="007217B9">
            <w:instrText xml:space="preserve"> PAGE  \* MERGEFORMAT </w:instrText>
          </w:r>
          <w:r w:rsidRPr="007217B9">
            <w:fldChar w:fldCharType="separate"/>
          </w:r>
          <w:r>
            <w:rPr>
              <w:noProof/>
            </w:rPr>
            <w:t>66</w:t>
          </w:r>
          <w:r w:rsidRPr="007217B9">
            <w:fldChar w:fldCharType="end"/>
          </w:r>
        </w:p>
      </w:tc>
    </w:tr>
  </w:tbl>
  <w:p w14:paraId="00E8D697" w14:textId="22D23DA2" w:rsidR="005C4F4B" w:rsidRPr="004B2814" w:rsidRDefault="005C4F4B" w:rsidP="004B2814">
    <w:pPr>
      <w:rPr>
        <w:sz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54699" w14:textId="6241EB28" w:rsidR="0024371D" w:rsidRPr="00F12D60" w:rsidRDefault="0024371D" w:rsidP="00A207B3">
    <w:pPr>
      <w:rPr>
        <w:sz w:val="14"/>
        <w:szCs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9C479" w14:textId="77777777" w:rsidR="0024371D" w:rsidRDefault="0024371D" w:rsidP="00A207B3">
    <w:pPr>
      <w:pStyle w:val="Footer"/>
      <w:rPr>
        <w:sz w:val="14"/>
        <w:szCs w:val="2"/>
      </w:rPr>
    </w:pPr>
  </w:p>
  <w:p w14:paraId="4CC16CC2" w14:textId="557DCDAD" w:rsidR="00FB015B" w:rsidRPr="00FB015B" w:rsidRDefault="00FB015B" w:rsidP="00FB015B">
    <w:pPr>
      <w:pStyle w:val="Footer"/>
      <w:rPr>
        <w:sz w:val="14"/>
        <w:szCs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5F72F" w14:textId="77777777" w:rsidR="0024371D" w:rsidRPr="00F12D60" w:rsidRDefault="0024371D" w:rsidP="00A207B3">
    <w:pPr>
      <w:pStyle w:val="Footer"/>
      <w:rPr>
        <w:sz w:val="14"/>
        <w:szCs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923CB" w14:textId="20E05850" w:rsidR="000142CE" w:rsidRPr="000142CE" w:rsidRDefault="000142CE" w:rsidP="000142CE">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E7B4C" w14:textId="77777777" w:rsidR="0057509B" w:rsidRDefault="0057509B">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8A512" w14:textId="6B0E9C3A" w:rsidR="000142CE" w:rsidRPr="000142CE" w:rsidRDefault="000142CE" w:rsidP="000142CE">
    <w:pPr>
      <w:pStyle w:val="Footer"/>
      <w:rPr>
        <w:sz w:val="14"/>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DC789" w14:textId="300D5C71" w:rsidR="005F41F9" w:rsidRDefault="005F41F9">
    <w:pPr>
      <w:pStyle w:val="Footer"/>
    </w:pPr>
    <w:r>
      <w:rPr>
        <w:noProof/>
      </w:rPr>
      <mc:AlternateContent>
        <mc:Choice Requires="wps">
          <w:drawing>
            <wp:anchor distT="0" distB="0" distL="0" distR="0" simplePos="0" relativeHeight="251658258" behindDoc="0" locked="0" layoutInCell="1" allowOverlap="1" wp14:anchorId="0BA0295B" wp14:editId="19C1AF65">
              <wp:simplePos x="635" y="635"/>
              <wp:positionH relativeFrom="page">
                <wp:align>center</wp:align>
              </wp:positionH>
              <wp:positionV relativeFrom="page">
                <wp:align>bottom</wp:align>
              </wp:positionV>
              <wp:extent cx="551815" cy="376555"/>
              <wp:effectExtent l="0" t="0" r="635" b="0"/>
              <wp:wrapNone/>
              <wp:docPr id="2014425425" name="Text Box 3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5A424D5" w14:textId="0525AA04"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A0295B" id="_x0000_t202" coordsize="21600,21600" o:spt="202" path="m,l,21600r21600,l21600,xe">
              <v:stroke joinstyle="miter"/>
              <v:path gradientshapeok="t" o:connecttype="rect"/>
            </v:shapetype>
            <v:shape id="Text Box 38" o:spid="_x0000_s1044" type="#_x0000_t202" alt="OFFICIAL" style="position:absolute;margin-left:0;margin-top:0;width:43.45pt;height:29.65pt;z-index:2516582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roGDgIAAB0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V/a30FzwqkcjAv3lq87rL1hPjwzhxvGQVC1&#10;4QkPqaCvKZwtSlpwP/7mj/lIPEYp6VExNTUoaUrUN4MLieKaDDcZu2QUn/Myx7g56HtAHRb4JCxP&#10;JnpdUJMpHehX1PMqFsIQMxzL1XQ3mfdhlC6+By5Wq5SEOrIsbMzW8ggd+YpkvgyvzNkz4wFX9QiT&#10;nFj1hvgxN970dnUISH/aSuR2JPJMOWow7fX8XqLIf/1PWddXvfwJ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CYroGDgIAAB0E&#10;AAAOAAAAAAAAAAAAAAAAAC4CAABkcnMvZTJvRG9jLnhtbFBLAQItABQABgAIAAAAIQAgesHI2gAA&#10;AAMBAAAPAAAAAAAAAAAAAAAAAGgEAABkcnMvZG93bnJldi54bWxQSwUGAAAAAAQABADzAAAAbwUA&#10;AAAA&#10;" filled="f" stroked="f">
              <v:textbox style="mso-fit-shape-to-text:t" inset="0,0,0,15pt">
                <w:txbxContent>
                  <w:p w14:paraId="05A424D5" w14:textId="0525AA04"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310" w:type="dxa"/>
      <w:tblBorders>
        <w:top w:val="single" w:sz="2" w:space="0" w:color="auto"/>
      </w:tblBorders>
      <w:tblLayout w:type="fixed"/>
      <w:tblCellMar>
        <w:left w:w="0" w:type="dxa"/>
        <w:right w:w="0" w:type="dxa"/>
      </w:tblCellMar>
      <w:tblLook w:val="0000" w:firstRow="0" w:lastRow="0" w:firstColumn="0" w:lastColumn="0" w:noHBand="0" w:noVBand="0"/>
    </w:tblPr>
    <w:tblGrid>
      <w:gridCol w:w="3117"/>
      <w:gridCol w:w="10394"/>
      <w:gridCol w:w="799"/>
    </w:tblGrid>
    <w:tr w:rsidR="00D573DB" w:rsidRPr="007217B9" w14:paraId="4AA9F7A7" w14:textId="77777777" w:rsidTr="00956FDB">
      <w:trPr>
        <w:trHeight w:hRule="exact" w:val="567"/>
      </w:trPr>
      <w:tc>
        <w:tcPr>
          <w:tcW w:w="3117" w:type="dxa"/>
          <w:tcBorders>
            <w:top w:val="single" w:sz="2" w:space="0" w:color="auto"/>
            <w:right w:val="nil"/>
          </w:tcBorders>
        </w:tcPr>
        <w:p w14:paraId="7A2FAFD4" w14:textId="4AF059DB" w:rsidR="00D573DB" w:rsidRPr="007217B9" w:rsidRDefault="00D573DB">
          <w:pPr>
            <w:pStyle w:val="Footer"/>
            <w:spacing w:before="60"/>
          </w:pPr>
        </w:p>
        <w:p w14:paraId="127949D6" w14:textId="77777777" w:rsidR="00D573DB" w:rsidRPr="007217B9" w:rsidRDefault="00D573DB">
          <w:pPr>
            <w:pStyle w:val="Footer"/>
          </w:pPr>
        </w:p>
      </w:tc>
      <w:tc>
        <w:tcPr>
          <w:tcW w:w="10394" w:type="dxa"/>
          <w:tcBorders>
            <w:left w:val="nil"/>
          </w:tcBorders>
        </w:tcPr>
        <w:p w14:paraId="521246EC" w14:textId="77777777" w:rsidR="00D573DB" w:rsidRPr="007217B9" w:rsidRDefault="00D573DB">
          <w:pPr>
            <w:pStyle w:val="Footer"/>
            <w:ind w:left="113"/>
          </w:pPr>
        </w:p>
      </w:tc>
      <w:tc>
        <w:tcPr>
          <w:tcW w:w="799" w:type="dxa"/>
        </w:tcPr>
        <w:p w14:paraId="22379DB5" w14:textId="77777777" w:rsidR="00D573DB" w:rsidRPr="007217B9" w:rsidRDefault="00D573DB">
          <w:pPr>
            <w:pStyle w:val="Footer"/>
            <w:spacing w:before="60"/>
            <w:jc w:val="right"/>
          </w:pPr>
          <w:r w:rsidRPr="007217B9">
            <w:fldChar w:fldCharType="begin"/>
          </w:r>
          <w:r w:rsidRPr="007217B9">
            <w:instrText xml:space="preserve"> PAGE  \* MERGEFORMAT </w:instrText>
          </w:r>
          <w:r w:rsidRPr="007217B9">
            <w:fldChar w:fldCharType="separate"/>
          </w:r>
          <w:r>
            <w:rPr>
              <w:noProof/>
            </w:rPr>
            <w:t>48</w:t>
          </w:r>
          <w:r w:rsidRPr="007217B9">
            <w:fldChar w:fldCharType="end"/>
          </w:r>
        </w:p>
      </w:tc>
    </w:tr>
  </w:tbl>
  <w:p w14:paraId="528D6402" w14:textId="6DA4CFEA" w:rsidR="00E96CA5" w:rsidRPr="004B2814" w:rsidRDefault="00E96CA5" w:rsidP="004B2814">
    <w:pPr>
      <w:pStyle w:val="Footer"/>
      <w:rPr>
        <w:sz w:val="14"/>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310" w:type="dxa"/>
      <w:tblBorders>
        <w:top w:val="single" w:sz="2" w:space="0" w:color="auto"/>
      </w:tblBorders>
      <w:tblLayout w:type="fixed"/>
      <w:tblCellMar>
        <w:left w:w="0" w:type="dxa"/>
        <w:right w:w="0" w:type="dxa"/>
      </w:tblCellMar>
      <w:tblLook w:val="0000" w:firstRow="0" w:lastRow="0" w:firstColumn="0" w:lastColumn="0" w:noHBand="0" w:noVBand="0"/>
    </w:tblPr>
    <w:tblGrid>
      <w:gridCol w:w="3117"/>
      <w:gridCol w:w="10394"/>
      <w:gridCol w:w="799"/>
    </w:tblGrid>
    <w:tr w:rsidR="00D573DB" w:rsidRPr="007217B9" w14:paraId="51F515EA" w14:textId="77777777" w:rsidTr="00956FDB">
      <w:trPr>
        <w:trHeight w:hRule="exact" w:val="575"/>
      </w:trPr>
      <w:tc>
        <w:tcPr>
          <w:tcW w:w="3117" w:type="dxa"/>
          <w:tcBorders>
            <w:top w:val="single" w:sz="2" w:space="0" w:color="auto"/>
            <w:right w:val="nil"/>
          </w:tcBorders>
        </w:tcPr>
        <w:p w14:paraId="1373A0DE" w14:textId="01B3F83C" w:rsidR="00D573DB" w:rsidRPr="007217B9" w:rsidRDefault="00D573DB">
          <w:pPr>
            <w:pStyle w:val="Footer"/>
            <w:spacing w:before="60"/>
          </w:pPr>
        </w:p>
        <w:p w14:paraId="55EF1D38" w14:textId="77777777" w:rsidR="00D573DB" w:rsidRPr="007217B9" w:rsidRDefault="00D573DB">
          <w:pPr>
            <w:pStyle w:val="Footer"/>
          </w:pPr>
        </w:p>
      </w:tc>
      <w:tc>
        <w:tcPr>
          <w:tcW w:w="10394" w:type="dxa"/>
          <w:tcBorders>
            <w:left w:val="nil"/>
          </w:tcBorders>
        </w:tcPr>
        <w:p w14:paraId="5140CC80" w14:textId="77777777" w:rsidR="00D573DB" w:rsidRPr="007217B9" w:rsidRDefault="00D573DB">
          <w:pPr>
            <w:pStyle w:val="Footer"/>
            <w:spacing w:before="60"/>
            <w:ind w:left="113"/>
          </w:pPr>
        </w:p>
        <w:p w14:paraId="3DF23E90" w14:textId="77777777" w:rsidR="00D573DB" w:rsidRPr="007217B9" w:rsidRDefault="00D573DB">
          <w:pPr>
            <w:pStyle w:val="Footer"/>
            <w:ind w:left="113"/>
          </w:pPr>
        </w:p>
      </w:tc>
      <w:tc>
        <w:tcPr>
          <w:tcW w:w="799" w:type="dxa"/>
        </w:tcPr>
        <w:p w14:paraId="11570204" w14:textId="77777777" w:rsidR="00D573DB" w:rsidRPr="007217B9" w:rsidRDefault="00D573DB">
          <w:pPr>
            <w:pStyle w:val="Footer"/>
            <w:spacing w:before="60"/>
            <w:jc w:val="right"/>
          </w:pPr>
          <w:r w:rsidRPr="007217B9">
            <w:fldChar w:fldCharType="begin"/>
          </w:r>
          <w:r w:rsidRPr="007217B9">
            <w:instrText xml:space="preserve"> PAGE  \* MERGEFORMAT </w:instrText>
          </w:r>
          <w:r w:rsidRPr="007217B9">
            <w:fldChar w:fldCharType="separate"/>
          </w:r>
          <w:r>
            <w:rPr>
              <w:noProof/>
            </w:rPr>
            <w:t>66</w:t>
          </w:r>
          <w:r w:rsidRPr="007217B9">
            <w:fldChar w:fldCharType="end"/>
          </w:r>
        </w:p>
      </w:tc>
    </w:tr>
  </w:tbl>
  <w:p w14:paraId="0DE96DE1" w14:textId="59A8C9A8" w:rsidR="00D573DB" w:rsidRPr="004B2814" w:rsidRDefault="00D573DB" w:rsidP="004B2814">
    <w:pPr>
      <w:rPr>
        <w:sz w:val="14"/>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0F1FF" w14:textId="14821474" w:rsidR="005F41F9" w:rsidRDefault="005F41F9">
    <w:pPr>
      <w:pStyle w:val="Footer"/>
    </w:pPr>
    <w:r>
      <w:rPr>
        <w:noProof/>
      </w:rPr>
      <mc:AlternateContent>
        <mc:Choice Requires="wps">
          <w:drawing>
            <wp:anchor distT="0" distB="0" distL="0" distR="0" simplePos="0" relativeHeight="251658260" behindDoc="0" locked="0" layoutInCell="1" allowOverlap="1" wp14:anchorId="5D576C7F" wp14:editId="5E3F2808">
              <wp:simplePos x="635" y="635"/>
              <wp:positionH relativeFrom="page">
                <wp:align>center</wp:align>
              </wp:positionH>
              <wp:positionV relativeFrom="page">
                <wp:align>bottom</wp:align>
              </wp:positionV>
              <wp:extent cx="551815" cy="376555"/>
              <wp:effectExtent l="0" t="0" r="635" b="0"/>
              <wp:wrapNone/>
              <wp:docPr id="1598969482" name="Text Box 4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B3E5EDB" w14:textId="52C9EB8C"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576C7F" id="_x0000_t202" coordsize="21600,21600" o:spt="202" path="m,l,21600r21600,l21600,xe">
              <v:stroke joinstyle="miter"/>
              <v:path gradientshapeok="t" o:connecttype="rect"/>
            </v:shapetype>
            <v:shape id="Text Box 41" o:spid="_x0000_s1046" type="#_x0000_t202" alt="OFFICIAL" style="position:absolute;margin-left:0;margin-top:0;width:43.45pt;height:29.65pt;z-index:2516582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2BzffQ8CAAAd&#10;BAAADgAAAAAAAAAAAAAAAAAuAgAAZHJzL2Uyb0RvYy54bWxQSwECLQAUAAYACAAAACEAIHrByNoA&#10;AAADAQAADwAAAAAAAAAAAAAAAABpBAAAZHJzL2Rvd25yZXYueG1sUEsFBgAAAAAEAAQA8wAAAHAF&#10;AAAAAA==&#10;" filled="f" stroked="f">
              <v:textbox style="mso-fit-shape-to-text:t" inset="0,0,0,15pt">
                <w:txbxContent>
                  <w:p w14:paraId="6B3E5EDB" w14:textId="52C9EB8C"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D573DB" w:rsidRPr="007217B9" w14:paraId="56DB4B73" w14:textId="77777777" w:rsidTr="00956FDB">
      <w:trPr>
        <w:trHeight w:hRule="exact" w:val="440"/>
      </w:trPr>
      <w:tc>
        <w:tcPr>
          <w:tcW w:w="2211" w:type="dxa"/>
          <w:tcBorders>
            <w:top w:val="single" w:sz="2" w:space="0" w:color="auto"/>
            <w:right w:val="nil"/>
          </w:tcBorders>
        </w:tcPr>
        <w:p w14:paraId="7190FACD" w14:textId="4031576C" w:rsidR="00D573DB" w:rsidRPr="007217B9" w:rsidRDefault="00D573DB" w:rsidP="00D573DB">
          <w:pPr>
            <w:pStyle w:val="Footer"/>
            <w:spacing w:before="60"/>
          </w:pPr>
        </w:p>
        <w:p w14:paraId="61F26CA1" w14:textId="77777777" w:rsidR="00D573DB" w:rsidRPr="007217B9" w:rsidRDefault="00D573DB" w:rsidP="00D573DB">
          <w:pPr>
            <w:pStyle w:val="Footer"/>
          </w:pPr>
        </w:p>
      </w:tc>
      <w:tc>
        <w:tcPr>
          <w:tcW w:w="7371" w:type="dxa"/>
          <w:tcBorders>
            <w:left w:val="nil"/>
          </w:tcBorders>
        </w:tcPr>
        <w:p w14:paraId="2C3E3488" w14:textId="77777777" w:rsidR="00D573DB" w:rsidRPr="007217B9" w:rsidRDefault="00D573DB" w:rsidP="00D573DB">
          <w:pPr>
            <w:pStyle w:val="Footer"/>
            <w:ind w:left="113"/>
          </w:pPr>
        </w:p>
      </w:tc>
      <w:tc>
        <w:tcPr>
          <w:tcW w:w="567" w:type="dxa"/>
        </w:tcPr>
        <w:p w14:paraId="6972094A" w14:textId="77777777" w:rsidR="00D573DB" w:rsidRPr="007217B9" w:rsidRDefault="00D573DB" w:rsidP="00D573DB">
          <w:pPr>
            <w:pStyle w:val="Footer"/>
            <w:spacing w:before="60"/>
            <w:jc w:val="right"/>
          </w:pPr>
          <w:r w:rsidRPr="007217B9">
            <w:fldChar w:fldCharType="begin"/>
          </w:r>
          <w:r w:rsidRPr="007217B9">
            <w:instrText xml:space="preserve"> PAGE  \* MERGEFORMAT </w:instrText>
          </w:r>
          <w:r w:rsidRPr="007217B9">
            <w:fldChar w:fldCharType="separate"/>
          </w:r>
          <w:r>
            <w:rPr>
              <w:noProof/>
            </w:rPr>
            <w:t>48</w:t>
          </w:r>
          <w:r w:rsidRPr="007217B9">
            <w:fldChar w:fldCharType="end"/>
          </w:r>
        </w:p>
      </w:tc>
    </w:tr>
  </w:tbl>
  <w:p w14:paraId="7C66446B" w14:textId="52A0D97C" w:rsidR="00D573DB" w:rsidRPr="004B2814" w:rsidRDefault="00D573DB" w:rsidP="004B2814">
    <w:pPr>
      <w:pStyle w:val="Footer"/>
      <w:rPr>
        <w:sz w:val="14"/>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D573DB" w:rsidRPr="007217B9" w14:paraId="5C1D85B6" w14:textId="77777777" w:rsidTr="00956FDB">
      <w:trPr>
        <w:trHeight w:hRule="exact" w:val="440"/>
      </w:trPr>
      <w:tc>
        <w:tcPr>
          <w:tcW w:w="2211" w:type="dxa"/>
          <w:tcBorders>
            <w:top w:val="single" w:sz="2" w:space="0" w:color="auto"/>
            <w:right w:val="nil"/>
          </w:tcBorders>
        </w:tcPr>
        <w:p w14:paraId="620FF7C1" w14:textId="72F6681B" w:rsidR="00D573DB" w:rsidRPr="007217B9" w:rsidRDefault="00D573DB" w:rsidP="00D573DB">
          <w:pPr>
            <w:pStyle w:val="Footer"/>
            <w:spacing w:before="60"/>
          </w:pPr>
        </w:p>
        <w:p w14:paraId="19A09A95" w14:textId="77777777" w:rsidR="00D573DB" w:rsidRPr="007217B9" w:rsidRDefault="00D573DB" w:rsidP="00D573DB">
          <w:pPr>
            <w:pStyle w:val="Footer"/>
          </w:pPr>
        </w:p>
      </w:tc>
      <w:tc>
        <w:tcPr>
          <w:tcW w:w="7371" w:type="dxa"/>
          <w:tcBorders>
            <w:left w:val="nil"/>
          </w:tcBorders>
        </w:tcPr>
        <w:p w14:paraId="4156F615" w14:textId="77777777" w:rsidR="00D573DB" w:rsidRPr="007217B9" w:rsidRDefault="00D573DB" w:rsidP="00D573DB">
          <w:pPr>
            <w:pStyle w:val="Footer"/>
            <w:ind w:left="113"/>
          </w:pPr>
        </w:p>
      </w:tc>
      <w:tc>
        <w:tcPr>
          <w:tcW w:w="567" w:type="dxa"/>
        </w:tcPr>
        <w:p w14:paraId="402B670F" w14:textId="77777777" w:rsidR="00D573DB" w:rsidRPr="007217B9" w:rsidRDefault="00D573DB" w:rsidP="00D573DB">
          <w:pPr>
            <w:pStyle w:val="Footer"/>
            <w:spacing w:before="60"/>
            <w:jc w:val="right"/>
          </w:pPr>
          <w:r w:rsidRPr="007217B9">
            <w:fldChar w:fldCharType="begin"/>
          </w:r>
          <w:r w:rsidRPr="007217B9">
            <w:instrText xml:space="preserve"> PAGE  \* MERGEFORMAT </w:instrText>
          </w:r>
          <w:r w:rsidRPr="007217B9">
            <w:fldChar w:fldCharType="separate"/>
          </w:r>
          <w:r>
            <w:rPr>
              <w:noProof/>
            </w:rPr>
            <w:t>48</w:t>
          </w:r>
          <w:r w:rsidRPr="007217B9">
            <w:fldChar w:fldCharType="end"/>
          </w:r>
        </w:p>
      </w:tc>
    </w:tr>
  </w:tbl>
  <w:p w14:paraId="739F7A18" w14:textId="66C94675" w:rsidR="00D573DB" w:rsidRPr="004B2814" w:rsidRDefault="00D573DB" w:rsidP="004B2814">
    <w:pPr>
      <w:pStyle w:val="Foo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580EB" w14:textId="77777777" w:rsidR="0057509B" w:rsidRDefault="005750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F2F5F" w14:textId="69806977" w:rsidR="005F41F9" w:rsidRDefault="005F41F9">
    <w:pPr>
      <w:pStyle w:val="Footer"/>
    </w:pPr>
    <w:r>
      <w:rPr>
        <w:noProof/>
      </w:rPr>
      <mc:AlternateContent>
        <mc:Choice Requires="wps">
          <w:drawing>
            <wp:anchor distT="0" distB="0" distL="0" distR="0" simplePos="0" relativeHeight="251658254" behindDoc="0" locked="0" layoutInCell="1" allowOverlap="1" wp14:anchorId="7E5AEFDD" wp14:editId="3DB21E1C">
              <wp:simplePos x="635" y="635"/>
              <wp:positionH relativeFrom="page">
                <wp:align>center</wp:align>
              </wp:positionH>
              <wp:positionV relativeFrom="page">
                <wp:align>bottom</wp:align>
              </wp:positionV>
              <wp:extent cx="551815" cy="376555"/>
              <wp:effectExtent l="0" t="0" r="635" b="0"/>
              <wp:wrapNone/>
              <wp:docPr id="776866778"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E128B0D" w14:textId="186D4E43"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5AEFDD" id="_x0000_t202" coordsize="21600,21600" o:spt="202" path="m,l,21600r21600,l21600,xe">
              <v:stroke joinstyle="miter"/>
              <v:path gradientshapeok="t" o:connecttype="rect"/>
            </v:shapetype>
            <v:shape id="Text Box 26" o:spid="_x0000_s1030" type="#_x0000_t202" alt="OFFICIAL" style="position:absolute;margin-left:0;margin-top:0;width:43.45pt;height:29.6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SzLe/DgIAABwE&#10;AAAOAAAAAAAAAAAAAAAAAC4CAABkcnMvZTJvRG9jLnhtbFBLAQItABQABgAIAAAAIQAgesHI2gAA&#10;AAMBAAAPAAAAAAAAAAAAAAAAAGgEAABkcnMvZG93bnJldi54bWxQSwUGAAAAAAQABADzAAAAbwUA&#10;AAAA&#10;" filled="f" stroked="f">
              <v:textbox style="mso-fit-shape-to-text:t" inset="0,0,0,15pt">
                <w:txbxContent>
                  <w:p w14:paraId="2E128B0D" w14:textId="186D4E43"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33665F" w:rsidRPr="007217B9" w14:paraId="0FE4CA58" w14:textId="77777777" w:rsidTr="00956FDB">
      <w:trPr>
        <w:trHeight w:hRule="exact" w:val="440"/>
      </w:trPr>
      <w:tc>
        <w:tcPr>
          <w:tcW w:w="2211" w:type="dxa"/>
          <w:tcBorders>
            <w:top w:val="single" w:sz="2" w:space="0" w:color="auto"/>
            <w:right w:val="nil"/>
          </w:tcBorders>
        </w:tcPr>
        <w:p w14:paraId="53F000D7" w14:textId="56C13FD1" w:rsidR="0033665F" w:rsidRPr="007217B9" w:rsidRDefault="005F41F9" w:rsidP="00342E88">
          <w:pPr>
            <w:pStyle w:val="Footer"/>
            <w:spacing w:before="60"/>
          </w:pPr>
          <w:bookmarkStart w:id="12" w:name="Filename2"/>
          <w:bookmarkEnd w:id="12"/>
          <w:r>
            <w:rPr>
              <w:noProof/>
            </w:rPr>
            <mc:AlternateContent>
              <mc:Choice Requires="wps">
                <w:drawing>
                  <wp:anchor distT="0" distB="0" distL="0" distR="0" simplePos="0" relativeHeight="251658240" behindDoc="0" locked="0" layoutInCell="1" allowOverlap="1" wp14:anchorId="4EBA2A6A" wp14:editId="0864E980">
                    <wp:simplePos x="635" y="635"/>
                    <wp:positionH relativeFrom="page">
                      <wp:align>center</wp:align>
                    </wp:positionH>
                    <wp:positionV relativeFrom="page">
                      <wp:align>bottom</wp:align>
                    </wp:positionV>
                    <wp:extent cx="551815" cy="376555"/>
                    <wp:effectExtent l="0" t="0" r="635" b="0"/>
                    <wp:wrapNone/>
                    <wp:docPr id="590873192"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7E4403F" w14:textId="123221C1" w:rsidR="005F41F9" w:rsidRPr="005F41F9" w:rsidRDefault="005F41F9" w:rsidP="005F41F9">
                                <w:pPr>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BA2A6A" id="_x0000_t202" coordsize="21600,21600" o:spt="202" path="m,l,21600r21600,l21600,xe">
                    <v:stroke joinstyle="miter"/>
                    <v:path gradientshapeok="t" o:connecttype="rect"/>
                  </v:shapetype>
                  <v:shape id="Text Box 27" o:spid="_x0000_s1031"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cwWCDgIAABwE&#10;AAAOAAAAAAAAAAAAAAAAAC4CAABkcnMvZTJvRG9jLnhtbFBLAQItABQABgAIAAAAIQAgesHI2gAA&#10;AAMBAAAPAAAAAAAAAAAAAAAAAGgEAABkcnMvZG93bnJldi54bWxQSwUGAAAAAAQABADzAAAAbwUA&#10;AAAA&#10;" filled="f" stroked="f">
                    <v:textbox style="mso-fit-shape-to-text:t" inset="0,0,0,15pt">
                      <w:txbxContent>
                        <w:p w14:paraId="57E4403F" w14:textId="123221C1" w:rsidR="005F41F9" w:rsidRPr="005F41F9" w:rsidRDefault="005F41F9" w:rsidP="005F41F9">
                          <w:pPr>
                            <w:rPr>
                              <w:rFonts w:ascii="Calibri" w:eastAsia="Calibri" w:hAnsi="Calibri" w:cs="Calibri"/>
                              <w:noProof/>
                              <w:color w:val="FF0000"/>
                              <w:sz w:val="24"/>
                              <w:szCs w:val="24"/>
                            </w:rPr>
                          </w:pPr>
                        </w:p>
                      </w:txbxContent>
                    </v:textbox>
                    <w10:wrap anchorx="page" anchory="page"/>
                  </v:shape>
                </w:pict>
              </mc:Fallback>
            </mc:AlternateContent>
          </w:r>
        </w:p>
      </w:tc>
      <w:tc>
        <w:tcPr>
          <w:tcW w:w="7371" w:type="dxa"/>
          <w:tcBorders>
            <w:left w:val="nil"/>
          </w:tcBorders>
        </w:tcPr>
        <w:p w14:paraId="395D20B5" w14:textId="77777777" w:rsidR="0033665F" w:rsidRPr="007217B9" w:rsidRDefault="0033665F" w:rsidP="005249C1">
          <w:pPr>
            <w:pStyle w:val="Footer"/>
            <w:ind w:left="113"/>
          </w:pPr>
        </w:p>
      </w:tc>
      <w:tc>
        <w:tcPr>
          <w:tcW w:w="567" w:type="dxa"/>
        </w:tcPr>
        <w:p w14:paraId="44BC891C" w14:textId="77777777" w:rsidR="0033665F" w:rsidRPr="007217B9" w:rsidRDefault="0033665F">
          <w:pPr>
            <w:pStyle w:val="Footer"/>
            <w:spacing w:before="60"/>
            <w:jc w:val="right"/>
          </w:pPr>
          <w:r w:rsidRPr="007217B9">
            <w:fldChar w:fldCharType="begin"/>
          </w:r>
          <w:r w:rsidRPr="007217B9">
            <w:instrText xml:space="preserve"> PAGE \* roman \* MERGEFORMAT </w:instrText>
          </w:r>
          <w:r w:rsidRPr="007217B9">
            <w:fldChar w:fldCharType="separate"/>
          </w:r>
          <w:r>
            <w:rPr>
              <w:noProof/>
            </w:rPr>
            <w:t>iv</w:t>
          </w:r>
          <w:r w:rsidRPr="007217B9">
            <w:fldChar w:fldCharType="end"/>
          </w:r>
        </w:p>
      </w:tc>
    </w:tr>
  </w:tbl>
  <w:p w14:paraId="57335D45" w14:textId="4C2C8A24" w:rsidR="0033665F" w:rsidRPr="004B2814" w:rsidRDefault="0033665F" w:rsidP="004B2814">
    <w:pPr>
      <w:pStyle w:val="Footer"/>
      <w:rPr>
        <w:sz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AF3FE" w14:textId="082E51B5" w:rsidR="004B2814" w:rsidRPr="004B2814" w:rsidRDefault="004B2814" w:rsidP="004B2814">
    <w:pPr>
      <w:pStyle w:val="Footer"/>
      <w:rPr>
        <w:sz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3A6C9" w14:textId="687BD963" w:rsidR="005F41F9" w:rsidRDefault="005F41F9">
    <w:pPr>
      <w:pStyle w:val="Footer"/>
    </w:pPr>
    <w:r>
      <w:rPr>
        <w:noProof/>
      </w:rPr>
      <mc:AlternateContent>
        <mc:Choice Requires="wps">
          <w:drawing>
            <wp:anchor distT="0" distB="0" distL="0" distR="0" simplePos="0" relativeHeight="251658255" behindDoc="0" locked="0" layoutInCell="1" allowOverlap="1" wp14:anchorId="724F9104" wp14:editId="7539E6EB">
              <wp:simplePos x="635" y="635"/>
              <wp:positionH relativeFrom="page">
                <wp:align>center</wp:align>
              </wp:positionH>
              <wp:positionV relativeFrom="page">
                <wp:align>bottom</wp:align>
              </wp:positionV>
              <wp:extent cx="551815" cy="376555"/>
              <wp:effectExtent l="0" t="0" r="635" b="0"/>
              <wp:wrapNone/>
              <wp:docPr id="2096959445" name="Text Box 2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8DFB49E" w14:textId="692107C8"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4F9104" id="_x0000_t202" coordsize="21600,21600" o:spt="202" path="m,l,21600r21600,l21600,xe">
              <v:stroke joinstyle="miter"/>
              <v:path gradientshapeok="t" o:connecttype="rect"/>
            </v:shapetype>
            <v:shape id="Text Box 29" o:spid="_x0000_s1034" type="#_x0000_t202" alt="OFFICIAL" style="position:absolute;margin-left:0;margin-top:0;width:43.45pt;height:29.6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" filled="f" stroked="f">
              <v:textbox style="mso-fit-shape-to-text:t" inset="0,0,0,15pt">
                <w:txbxContent>
                  <w:p w14:paraId="68DFB49E" w14:textId="692107C8"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33665F" w:rsidRPr="007217B9" w14:paraId="1A0B6DF8" w14:textId="77777777" w:rsidTr="00956FDB">
      <w:trPr>
        <w:trHeight w:hRule="exact" w:val="440"/>
      </w:trPr>
      <w:tc>
        <w:tcPr>
          <w:tcW w:w="2211" w:type="dxa"/>
          <w:tcBorders>
            <w:top w:val="single" w:sz="2" w:space="0" w:color="auto"/>
            <w:right w:val="nil"/>
          </w:tcBorders>
        </w:tcPr>
        <w:p w14:paraId="7F102716" w14:textId="0BE3CD06" w:rsidR="0033665F" w:rsidRPr="007217B9" w:rsidRDefault="005F41F9">
          <w:pPr>
            <w:pStyle w:val="Footer"/>
            <w:spacing w:before="60"/>
          </w:pPr>
          <w:r>
            <w:rPr>
              <w:noProof/>
            </w:rPr>
            <mc:AlternateContent>
              <mc:Choice Requires="wps">
                <w:drawing>
                  <wp:anchor distT="0" distB="0" distL="0" distR="0" simplePos="0" relativeHeight="251658241" behindDoc="0" locked="0" layoutInCell="1" allowOverlap="1" wp14:anchorId="3D3D149B" wp14:editId="21725F37">
                    <wp:simplePos x="635" y="635"/>
                    <wp:positionH relativeFrom="page">
                      <wp:align>center</wp:align>
                    </wp:positionH>
                    <wp:positionV relativeFrom="page">
                      <wp:align>bottom</wp:align>
                    </wp:positionV>
                    <wp:extent cx="551815" cy="376555"/>
                    <wp:effectExtent l="0" t="0" r="635" b="0"/>
                    <wp:wrapNone/>
                    <wp:docPr id="349911920" name="Text Box 3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529FE3A" w14:textId="470AE152"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3D149B" id="_x0000_t202" coordsize="21600,21600" o:spt="202" path="m,l,21600r21600,l21600,xe">
                    <v:stroke joinstyle="miter"/>
                    <v:path gradientshapeok="t" o:connecttype="rect"/>
                  </v:shapetype>
                  <v:shape id="Text Box 30" o:spid="_x0000_s1035"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TDgIAAB0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3P7W2iOOJWDceHe8lWHtdfMhyfmcMM4CKo2&#10;POIhFfQ1hZNFSQvu13v+mI/EY5SSHhVTU4OSpkT9MLiQKK7JcJOxTUbxNS9zjJu9vgPUYYFPwvJk&#10;otcFNZnSgX5BPS9jIQwxw7FcTbeTeRdG6eJ74GK5TEmoI8vC2mwsj9CRr0jm8/DCnD0xHnBVDzDJ&#10;iVWviB9z401vl/uA9KetRG5HIk+UowbTXk/vJYr8z/+UdXnVi9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sk/lTDgIAAB0E&#10;AAAOAAAAAAAAAAAAAAAAAC4CAABkcnMvZTJvRG9jLnhtbFBLAQItABQABgAIAAAAIQAgesHI2gAA&#10;AAMBAAAPAAAAAAAAAAAAAAAAAGgEAABkcnMvZG93bnJldi54bWxQSwUGAAAAAAQABADzAAAAbwUA&#10;AAAA&#10;" filled="f" stroked="f">
                    <v:textbox style="mso-fit-shape-to-text:t" inset="0,0,0,15pt">
                      <w:txbxContent>
                        <w:p w14:paraId="5529FE3A" w14:textId="470AE152"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p w14:paraId="29B884AF" w14:textId="77777777" w:rsidR="0033665F" w:rsidRPr="007217B9" w:rsidRDefault="0033665F">
          <w:pPr>
            <w:pStyle w:val="Footer"/>
          </w:pPr>
        </w:p>
      </w:tc>
      <w:tc>
        <w:tcPr>
          <w:tcW w:w="7371" w:type="dxa"/>
          <w:tcBorders>
            <w:left w:val="nil"/>
          </w:tcBorders>
        </w:tcPr>
        <w:p w14:paraId="26C6F3A2" w14:textId="77777777" w:rsidR="0033665F" w:rsidRPr="007217B9" w:rsidRDefault="0033665F">
          <w:pPr>
            <w:pStyle w:val="Footer"/>
            <w:ind w:left="113"/>
          </w:pPr>
        </w:p>
      </w:tc>
      <w:tc>
        <w:tcPr>
          <w:tcW w:w="567" w:type="dxa"/>
        </w:tcPr>
        <w:p w14:paraId="397D6153" w14:textId="77777777" w:rsidR="0033665F" w:rsidRPr="007217B9" w:rsidRDefault="0033665F">
          <w:pPr>
            <w:pStyle w:val="Footer"/>
            <w:spacing w:before="60"/>
            <w:jc w:val="right"/>
          </w:pPr>
          <w:r w:rsidRPr="007217B9">
            <w:fldChar w:fldCharType="begin"/>
          </w:r>
          <w:r w:rsidRPr="007217B9">
            <w:instrText xml:space="preserve"> PAGE  \* MERGEFORMAT </w:instrText>
          </w:r>
          <w:r w:rsidRPr="007217B9">
            <w:fldChar w:fldCharType="separate"/>
          </w:r>
          <w:r>
            <w:rPr>
              <w:noProof/>
            </w:rPr>
            <w:t>48</w:t>
          </w:r>
          <w:r w:rsidRPr="007217B9">
            <w:fldChar w:fldCharType="end"/>
          </w:r>
        </w:p>
      </w:tc>
    </w:tr>
  </w:tbl>
  <w:p w14:paraId="43867B24" w14:textId="4B5CB1FA" w:rsidR="0033665F" w:rsidRPr="007217B9" w:rsidRDefault="004B2814" w:rsidP="004B2814">
    <w:pPr>
      <w:pStyle w:val="Footer"/>
      <w:rPr>
        <w:sz w:val="2"/>
      </w:rPr>
    </w:pPr>
    <w:r>
      <w:rPr>
        <w:sz w:val="2"/>
      </w:rPr>
      <w:fldChar w:fldCharType="begin"/>
    </w:r>
    <w:r>
      <w:rPr>
        <w:sz w:val="2"/>
      </w:rPr>
      <w:instrText xml:space="preserve"> DOCPROPERTY  iManageFooter </w:instrText>
    </w:r>
    <w:r>
      <w:rPr>
        <w:sz w:val="2"/>
      </w:rPr>
      <w:fldChar w:fldCharType="separate"/>
    </w:r>
    <w:r w:rsidR="00337E69">
      <w:rPr>
        <w:sz w:val="2"/>
      </w:rPr>
      <w:t>[9479258:49678382_3]</w:t>
    </w:r>
    <w:r>
      <w:rPr>
        <w:sz w:val="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7613027"/>
      <w:docPartObj>
        <w:docPartGallery w:val="Page Numbers (Bottom of Page)"/>
        <w:docPartUnique/>
      </w:docPartObj>
    </w:sdtPr>
    <w:sdtEndPr>
      <w:rPr>
        <w:noProof/>
      </w:rPr>
    </w:sdtEndPr>
    <w:sdtContent>
      <w:p w14:paraId="600DF8D9" w14:textId="4C523F89" w:rsidR="00D21C23" w:rsidRDefault="00D21C2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05817B" w14:textId="2864A3E6" w:rsidR="00F045C8" w:rsidRPr="004B2814" w:rsidRDefault="00F045C8" w:rsidP="004B2814">
    <w:pPr>
      <w:pStyle w:val="Foo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656A5C" w:rsidRPr="007217B9" w14:paraId="047310E7" w14:textId="77777777">
        <w:trPr>
          <w:trHeight w:hRule="exact" w:val="440"/>
        </w:trPr>
        <w:tc>
          <w:tcPr>
            <w:tcW w:w="2211" w:type="dxa"/>
            <w:tcBorders>
              <w:top w:val="single" w:sz="2" w:space="0" w:color="auto"/>
              <w:right w:val="single" w:sz="2" w:space="0" w:color="auto"/>
            </w:tcBorders>
          </w:tcPr>
          <w:p w14:paraId="757F5AA9" w14:textId="77777777" w:rsidR="00656A5C" w:rsidRPr="007217B9" w:rsidRDefault="00656A5C">
            <w:pPr>
              <w:pStyle w:val="Footer"/>
              <w:spacing w:before="60"/>
            </w:pPr>
            <w:r w:rsidRPr="007217B9">
              <w:rPr>
                <w:rFonts w:ascii="Symbol" w:eastAsia="Symbol" w:hAnsi="Symbol" w:cs="Symbol"/>
              </w:rPr>
              <w:t>ã</w:t>
            </w:r>
            <w:r w:rsidRPr="007217B9">
              <w:t xml:space="preserve"> </w:t>
            </w:r>
            <w:r>
              <w:t>King &amp; Wood Mallesons</w:t>
            </w:r>
          </w:p>
          <w:p w14:paraId="31C5EDB2" w14:textId="77777777" w:rsidR="00656A5C" w:rsidRPr="007217B9" w:rsidRDefault="00656A5C">
            <w:pPr>
              <w:pStyle w:val="Footer"/>
            </w:pPr>
            <w:r>
              <w:rPr>
                <w:noProof/>
              </w:rPr>
              <w:fldChar w:fldCharType="begin"/>
            </w:r>
            <w:r>
              <w:rPr>
                <w:noProof/>
              </w:rPr>
              <w:instrText xml:space="preserve"> FILENAME  \* Lower \ \* MERGEFORMAT </w:instrText>
            </w:r>
            <w:r>
              <w:rPr>
                <w:noProof/>
              </w:rPr>
              <w:fldChar w:fldCharType="separate"/>
            </w:r>
            <w:r>
              <w:rPr>
                <w:noProof/>
              </w:rPr>
              <w:t>cis tender 2 draft wem capacity investment scheme agreement stage b (maddocks review - incorp(45244361.3)</w:t>
            </w:r>
            <w:r>
              <w:rPr>
                <w:noProof/>
              </w:rPr>
              <w:fldChar w:fldCharType="end"/>
            </w:r>
          </w:p>
        </w:tc>
        <w:tc>
          <w:tcPr>
            <w:tcW w:w="7371" w:type="dxa"/>
            <w:tcBorders>
              <w:left w:val="nil"/>
            </w:tcBorders>
          </w:tcPr>
          <w:p w14:paraId="113C9983" w14:textId="77777777" w:rsidR="00656A5C" w:rsidRPr="007217B9" w:rsidRDefault="00656A5C">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5CD9F3E1" w14:textId="7C75B1E5" w:rsidR="00656A5C" w:rsidRPr="007217B9" w:rsidRDefault="00656A5C">
            <w:pPr>
              <w:pStyle w:val="Footer"/>
              <w:ind w:left="113"/>
            </w:pPr>
            <w:r w:rsidRPr="007217B9">
              <w:fldChar w:fldCharType="begin"/>
            </w:r>
            <w:r w:rsidRPr="007217B9">
              <w:instrText xml:space="preserve"> SAVEDATE \@ “d MMMM yyyy” </w:instrText>
            </w:r>
            <w:r w:rsidRPr="007217B9">
              <w:fldChar w:fldCharType="separate"/>
            </w:r>
            <w:r w:rsidR="008F7CD3">
              <w:rPr>
                <w:noProof/>
              </w:rPr>
              <w:t xml:space="preserve"> August 2025</w:t>
            </w:r>
            <w:r w:rsidRPr="007217B9">
              <w:fldChar w:fldCharType="end"/>
            </w:r>
          </w:p>
        </w:tc>
        <w:tc>
          <w:tcPr>
            <w:tcW w:w="567" w:type="dxa"/>
          </w:tcPr>
          <w:p w14:paraId="306DEEE8" w14:textId="77777777" w:rsidR="00656A5C" w:rsidRPr="007217B9" w:rsidRDefault="00656A5C">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4D5C207E" w14:textId="77777777" w:rsidR="00656A5C" w:rsidRPr="007217B9" w:rsidRDefault="00656A5C">
      <w:pPr>
        <w:pStyle w:val="Footer"/>
        <w:rPr>
          <w:sz w:val="2"/>
        </w:rPr>
      </w:pPr>
    </w:p>
    <w:p w14:paraId="625772EA" w14:textId="77777777" w:rsidR="00656A5C" w:rsidRDefault="00656A5C">
      <w:pPr>
        <w:pStyle w:val="Footer"/>
      </w:pPr>
    </w:p>
    <w:p w14:paraId="4FE05F7C" w14:textId="77777777" w:rsidR="00656A5C" w:rsidRDefault="00656A5C"/>
    <w:p w14:paraId="6DBC0823" w14:textId="77777777" w:rsidR="00656A5C" w:rsidRPr="007217B9" w:rsidRDefault="00656A5C">
      <w:pPr>
        <w:pStyle w:val="Header"/>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61911CBA" w14:textId="77777777" w:rsidR="00656A5C" w:rsidRDefault="00656A5C">
      <w:pPr>
        <w:pStyle w:val="Header"/>
      </w:pPr>
    </w:p>
    <w:p w14:paraId="1707E8B6" w14:textId="77777777" w:rsidR="00656A5C" w:rsidRDefault="00656A5C"/>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656A5C" w:rsidRPr="007217B9" w14:paraId="591BC672" w14:textId="77777777">
        <w:trPr>
          <w:trHeight w:hRule="exact" w:val="440"/>
        </w:trPr>
        <w:tc>
          <w:tcPr>
            <w:tcW w:w="2211" w:type="dxa"/>
            <w:tcBorders>
              <w:top w:val="single" w:sz="2" w:space="0" w:color="auto"/>
              <w:right w:val="single" w:sz="2" w:space="0" w:color="auto"/>
            </w:tcBorders>
          </w:tcPr>
          <w:p w14:paraId="25773921" w14:textId="77777777" w:rsidR="00656A5C" w:rsidRPr="007217B9" w:rsidRDefault="00656A5C">
            <w:pPr>
              <w:pStyle w:val="Footer"/>
              <w:spacing w:before="60"/>
            </w:pPr>
            <w:r w:rsidRPr="007217B9">
              <w:rPr>
                <w:rFonts w:ascii="Symbol" w:eastAsia="Symbol" w:hAnsi="Symbol" w:cs="Symbol"/>
              </w:rPr>
              <w:t>ã</w:t>
            </w:r>
            <w:r w:rsidRPr="007217B9">
              <w:t xml:space="preserve"> </w:t>
            </w:r>
            <w:r>
              <w:t>King &amp; Wood Mallesons</w:t>
            </w:r>
          </w:p>
          <w:p w14:paraId="69D76481" w14:textId="77777777" w:rsidR="00656A5C" w:rsidRPr="007217B9" w:rsidRDefault="00656A5C">
            <w:pPr>
              <w:pStyle w:val="Footer"/>
            </w:pPr>
            <w:r>
              <w:rPr>
                <w:noProof/>
              </w:rPr>
              <w:fldChar w:fldCharType="begin"/>
            </w:r>
            <w:r>
              <w:rPr>
                <w:noProof/>
              </w:rPr>
              <w:instrText xml:space="preserve"> FILENAME  \* Lower \ \* MERGEFORMAT </w:instrText>
            </w:r>
            <w:r>
              <w:rPr>
                <w:noProof/>
              </w:rPr>
              <w:fldChar w:fldCharType="separate"/>
            </w:r>
            <w:r>
              <w:rPr>
                <w:noProof/>
              </w:rPr>
              <w:t>cis tender 2 draft wem capacity investment scheme agreement stage b (maddocks review - incorp(45244361.3)</w:t>
            </w:r>
            <w:r>
              <w:rPr>
                <w:noProof/>
              </w:rPr>
              <w:fldChar w:fldCharType="end"/>
            </w:r>
          </w:p>
        </w:tc>
        <w:tc>
          <w:tcPr>
            <w:tcW w:w="7371" w:type="dxa"/>
            <w:tcBorders>
              <w:left w:val="nil"/>
            </w:tcBorders>
          </w:tcPr>
          <w:p w14:paraId="07378794" w14:textId="77777777" w:rsidR="00656A5C" w:rsidRPr="007217B9" w:rsidRDefault="00656A5C">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7858DCA7" w14:textId="4A368F08" w:rsidR="00656A5C" w:rsidRPr="007217B9" w:rsidRDefault="00656A5C">
            <w:pPr>
              <w:pStyle w:val="Footer"/>
              <w:ind w:left="113"/>
            </w:pPr>
            <w:r w:rsidRPr="007217B9">
              <w:fldChar w:fldCharType="begin"/>
            </w:r>
            <w:r w:rsidRPr="007217B9">
              <w:instrText xml:space="preserve"> SAVEDATE \@ “d MMMM yyyy” </w:instrText>
            </w:r>
            <w:r w:rsidRPr="007217B9">
              <w:fldChar w:fldCharType="separate"/>
            </w:r>
            <w:r w:rsidR="008F7CD3">
              <w:rPr>
                <w:noProof/>
              </w:rPr>
              <w:t xml:space="preserve"> August 2025</w:t>
            </w:r>
            <w:r w:rsidRPr="007217B9">
              <w:fldChar w:fldCharType="end"/>
            </w:r>
          </w:p>
        </w:tc>
        <w:tc>
          <w:tcPr>
            <w:tcW w:w="567" w:type="dxa"/>
          </w:tcPr>
          <w:p w14:paraId="0415F319" w14:textId="77777777" w:rsidR="00656A5C" w:rsidRPr="007217B9" w:rsidRDefault="00656A5C">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1998DE61" w14:textId="77777777" w:rsidR="00656A5C" w:rsidRPr="007217B9" w:rsidRDefault="00656A5C">
      <w:pPr>
        <w:pStyle w:val="Footer"/>
        <w:rPr>
          <w:sz w:val="2"/>
        </w:rPr>
      </w:pPr>
    </w:p>
    <w:p w14:paraId="1897F659" w14:textId="77777777" w:rsidR="00656A5C" w:rsidRDefault="00656A5C">
      <w:pPr>
        <w:pStyle w:val="Footer"/>
      </w:pPr>
    </w:p>
    <w:p w14:paraId="18D27646" w14:textId="77777777" w:rsidR="00656A5C" w:rsidRDefault="00656A5C"/>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656A5C" w:rsidRPr="007217B9" w14:paraId="39E73945" w14:textId="77777777">
        <w:trPr>
          <w:trHeight w:hRule="exact" w:val="440"/>
        </w:trPr>
        <w:tc>
          <w:tcPr>
            <w:tcW w:w="2211" w:type="dxa"/>
            <w:tcBorders>
              <w:top w:val="single" w:sz="2" w:space="0" w:color="auto"/>
              <w:right w:val="single" w:sz="2" w:space="0" w:color="auto"/>
            </w:tcBorders>
          </w:tcPr>
          <w:p w14:paraId="5D1008E9" w14:textId="77777777" w:rsidR="00656A5C" w:rsidRPr="007217B9" w:rsidRDefault="00656A5C">
            <w:pPr>
              <w:pStyle w:val="Footer"/>
              <w:spacing w:before="60"/>
            </w:pPr>
            <w:r w:rsidRPr="007217B9">
              <w:rPr>
                <w:rFonts w:ascii="Symbol" w:eastAsia="Symbol" w:hAnsi="Symbol" w:cs="Symbol"/>
              </w:rPr>
              <w:t>ã</w:t>
            </w:r>
            <w:r w:rsidRPr="007217B9">
              <w:t xml:space="preserve"> </w:t>
            </w:r>
            <w:r>
              <w:t>King &amp; Wood Mallesons</w:t>
            </w:r>
          </w:p>
          <w:p w14:paraId="4B32B64C" w14:textId="77777777" w:rsidR="00656A5C" w:rsidRPr="007217B9" w:rsidRDefault="00656A5C">
            <w:pPr>
              <w:pStyle w:val="Footer"/>
            </w:pPr>
            <w:r>
              <w:rPr>
                <w:noProof/>
              </w:rPr>
              <w:fldChar w:fldCharType="begin"/>
            </w:r>
            <w:r>
              <w:rPr>
                <w:noProof/>
              </w:rPr>
              <w:instrText xml:space="preserve"> FILENAME  \* Lower \ \* MERGEFORMAT </w:instrText>
            </w:r>
            <w:r>
              <w:rPr>
                <w:noProof/>
              </w:rPr>
              <w:fldChar w:fldCharType="separate"/>
            </w:r>
            <w:r>
              <w:rPr>
                <w:noProof/>
              </w:rPr>
              <w:t>cis tender 2 draft wem capacity investment scheme agreement stage b (maddocks review - incorp(45244361.3)</w:t>
            </w:r>
            <w:r>
              <w:rPr>
                <w:noProof/>
              </w:rPr>
              <w:fldChar w:fldCharType="end"/>
            </w:r>
          </w:p>
        </w:tc>
        <w:tc>
          <w:tcPr>
            <w:tcW w:w="7371" w:type="dxa"/>
            <w:tcBorders>
              <w:left w:val="nil"/>
            </w:tcBorders>
          </w:tcPr>
          <w:p w14:paraId="738871C6" w14:textId="77777777" w:rsidR="00656A5C" w:rsidRPr="007217B9" w:rsidRDefault="00656A5C">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5481B5E9" w14:textId="2A1A1507" w:rsidR="00656A5C" w:rsidRPr="007217B9" w:rsidRDefault="00656A5C">
            <w:pPr>
              <w:pStyle w:val="Footer"/>
              <w:ind w:left="113"/>
            </w:pPr>
            <w:r w:rsidRPr="007217B9">
              <w:fldChar w:fldCharType="begin"/>
            </w:r>
            <w:r w:rsidRPr="007217B9">
              <w:instrText xml:space="preserve"> SAVEDATE \@ “d MMMM yyyy” </w:instrText>
            </w:r>
            <w:r w:rsidRPr="007217B9">
              <w:fldChar w:fldCharType="separate"/>
            </w:r>
            <w:r w:rsidR="008F7CD3">
              <w:rPr>
                <w:noProof/>
              </w:rPr>
              <w:t xml:space="preserve"> August 2025</w:t>
            </w:r>
            <w:r w:rsidRPr="007217B9">
              <w:fldChar w:fldCharType="end"/>
            </w:r>
          </w:p>
        </w:tc>
        <w:tc>
          <w:tcPr>
            <w:tcW w:w="567" w:type="dxa"/>
          </w:tcPr>
          <w:p w14:paraId="0F2C8496" w14:textId="77777777" w:rsidR="00656A5C" w:rsidRPr="007217B9" w:rsidRDefault="00656A5C">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768CF08B" w14:textId="77777777" w:rsidR="00656A5C" w:rsidRPr="007217B9" w:rsidRDefault="00656A5C">
      <w:pPr>
        <w:pStyle w:val="Footer"/>
        <w:rPr>
          <w:sz w:val="2"/>
        </w:rPr>
      </w:pPr>
    </w:p>
    <w:p w14:paraId="17F4F497" w14:textId="77777777" w:rsidR="00656A5C" w:rsidRDefault="00656A5C">
      <w:pPr>
        <w:pStyle w:val="Footer"/>
      </w:pPr>
    </w:p>
    <w:p w14:paraId="2B581481" w14:textId="77777777" w:rsidR="00656A5C" w:rsidRDefault="00656A5C"/>
    <w:p w14:paraId="6D1775EC" w14:textId="77777777" w:rsidR="00656A5C" w:rsidRPr="007217B9" w:rsidRDefault="00656A5C">
      <w:pPr>
        <w:pStyle w:val="Header"/>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3813CF81" w14:textId="77777777" w:rsidR="00656A5C" w:rsidRDefault="00656A5C">
      <w:pPr>
        <w:pStyle w:val="Header"/>
      </w:pPr>
    </w:p>
    <w:p w14:paraId="6B0C4993" w14:textId="77777777" w:rsidR="00656A5C" w:rsidRDefault="00656A5C"/>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656A5C" w:rsidRPr="007217B9" w14:paraId="11D800F6" w14:textId="77777777">
        <w:trPr>
          <w:trHeight w:hRule="exact" w:val="440"/>
        </w:trPr>
        <w:tc>
          <w:tcPr>
            <w:tcW w:w="2211" w:type="dxa"/>
            <w:tcBorders>
              <w:top w:val="single" w:sz="2" w:space="0" w:color="auto"/>
              <w:right w:val="single" w:sz="2" w:space="0" w:color="auto"/>
            </w:tcBorders>
          </w:tcPr>
          <w:p w14:paraId="516F71B4" w14:textId="77777777" w:rsidR="00656A5C" w:rsidRPr="007217B9" w:rsidRDefault="00656A5C">
            <w:pPr>
              <w:pStyle w:val="Footer"/>
              <w:spacing w:before="60"/>
            </w:pPr>
            <w:r w:rsidRPr="007217B9">
              <w:rPr>
                <w:rFonts w:ascii="Symbol" w:eastAsia="Symbol" w:hAnsi="Symbol" w:cs="Symbol"/>
              </w:rPr>
              <w:t>ã</w:t>
            </w:r>
            <w:r w:rsidRPr="007217B9">
              <w:t xml:space="preserve"> </w:t>
            </w:r>
            <w:r>
              <w:t>King &amp; Wood Mallesons</w:t>
            </w:r>
          </w:p>
          <w:p w14:paraId="3B69F669" w14:textId="77777777" w:rsidR="00656A5C" w:rsidRPr="007217B9" w:rsidRDefault="00656A5C">
            <w:pPr>
              <w:pStyle w:val="Footer"/>
            </w:pPr>
            <w:r>
              <w:rPr>
                <w:noProof/>
              </w:rPr>
              <w:fldChar w:fldCharType="begin"/>
            </w:r>
            <w:r>
              <w:rPr>
                <w:noProof/>
              </w:rPr>
              <w:instrText xml:space="preserve"> FILENAME  \* Lower \ \* MERGEFORMAT </w:instrText>
            </w:r>
            <w:r>
              <w:rPr>
                <w:noProof/>
              </w:rPr>
              <w:fldChar w:fldCharType="separate"/>
            </w:r>
            <w:r>
              <w:rPr>
                <w:noProof/>
              </w:rPr>
              <w:t>cis tender 2 draft wem capacity investment scheme agreement stage b (maddocks review - incorp(45244361.3)</w:t>
            </w:r>
            <w:r>
              <w:rPr>
                <w:noProof/>
              </w:rPr>
              <w:fldChar w:fldCharType="end"/>
            </w:r>
          </w:p>
        </w:tc>
        <w:tc>
          <w:tcPr>
            <w:tcW w:w="7371" w:type="dxa"/>
            <w:tcBorders>
              <w:left w:val="nil"/>
            </w:tcBorders>
          </w:tcPr>
          <w:p w14:paraId="6B1EE2D3" w14:textId="77777777" w:rsidR="00656A5C" w:rsidRPr="007217B9" w:rsidRDefault="00656A5C">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1AF099D6" w14:textId="45A56F54" w:rsidR="00656A5C" w:rsidRPr="007217B9" w:rsidRDefault="00656A5C">
            <w:pPr>
              <w:pStyle w:val="Footer"/>
              <w:ind w:left="113"/>
            </w:pPr>
            <w:r w:rsidRPr="007217B9">
              <w:fldChar w:fldCharType="begin"/>
            </w:r>
            <w:r w:rsidRPr="007217B9">
              <w:instrText xml:space="preserve"> SAVEDATE \@ “d MMMM yyyy” </w:instrText>
            </w:r>
            <w:r w:rsidRPr="007217B9">
              <w:fldChar w:fldCharType="separate"/>
            </w:r>
            <w:r w:rsidR="008F7CD3">
              <w:rPr>
                <w:noProof/>
              </w:rPr>
              <w:t xml:space="preserve"> August 2025</w:t>
            </w:r>
            <w:r w:rsidRPr="007217B9">
              <w:fldChar w:fldCharType="end"/>
            </w:r>
          </w:p>
        </w:tc>
        <w:tc>
          <w:tcPr>
            <w:tcW w:w="567" w:type="dxa"/>
          </w:tcPr>
          <w:p w14:paraId="1B4A70D9" w14:textId="77777777" w:rsidR="00656A5C" w:rsidRPr="007217B9" w:rsidRDefault="00656A5C">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26A9A5D3" w14:textId="77777777" w:rsidR="00656A5C" w:rsidRPr="007217B9" w:rsidRDefault="00656A5C">
      <w:pPr>
        <w:pStyle w:val="Footer"/>
        <w:rPr>
          <w:sz w:val="2"/>
        </w:rPr>
      </w:pPr>
    </w:p>
    <w:p w14:paraId="554B5BEE" w14:textId="77777777" w:rsidR="00656A5C" w:rsidRDefault="00656A5C">
      <w:pPr>
        <w:pStyle w:val="Footer"/>
      </w:pPr>
    </w:p>
    <w:p w14:paraId="47128FDA" w14:textId="77777777" w:rsidR="00656A5C" w:rsidRDefault="00656A5C"/>
    <w:tbl>
      <w:tblPr>
        <w:tblW w:w="10149" w:type="dxa"/>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656A5C" w:rsidRPr="007217B9" w14:paraId="56254771" w14:textId="77777777" w:rsidTr="00D00429">
        <w:trPr>
          <w:trHeight w:hRule="exact" w:val="440"/>
        </w:trPr>
        <w:tc>
          <w:tcPr>
            <w:tcW w:w="2211" w:type="dxa"/>
            <w:tcBorders>
              <w:top w:val="single" w:sz="2" w:space="0" w:color="auto"/>
              <w:right w:val="single" w:sz="2" w:space="0" w:color="auto"/>
            </w:tcBorders>
          </w:tcPr>
          <w:p w14:paraId="2E258898" w14:textId="77777777" w:rsidR="00656A5C" w:rsidRPr="007217B9" w:rsidRDefault="00656A5C" w:rsidP="00D00429">
            <w:pPr>
              <w:pStyle w:val="Footer"/>
              <w:spacing w:before="60"/>
            </w:pPr>
            <w:r w:rsidRPr="007217B9">
              <w:rPr>
                <w:rFonts w:ascii="Symbol" w:eastAsia="Symbol" w:hAnsi="Symbol" w:cs="Symbol"/>
              </w:rPr>
              <w:t>ã</w:t>
            </w:r>
            <w:r w:rsidRPr="007217B9">
              <w:t xml:space="preserve"> </w:t>
            </w:r>
            <w:r>
              <w:t>King &amp; Wood Mallesons</w:t>
            </w:r>
          </w:p>
          <w:p w14:paraId="70F6065C" w14:textId="77777777" w:rsidR="00656A5C" w:rsidRPr="007217B9" w:rsidRDefault="00656A5C" w:rsidP="00D00429">
            <w:pPr>
              <w:pStyle w:val="Footer"/>
            </w:pPr>
            <w:r>
              <w:rPr>
                <w:noProof/>
              </w:rPr>
              <w:fldChar w:fldCharType="begin"/>
            </w:r>
            <w:r>
              <w:rPr>
                <w:noProof/>
              </w:rPr>
              <w:instrText xml:space="preserve"> FILENAME  \* Lower \ \* MERGEFORMAT </w:instrText>
            </w:r>
            <w:r>
              <w:rPr>
                <w:noProof/>
              </w:rPr>
              <w:fldChar w:fldCharType="separate"/>
            </w:r>
            <w:r>
              <w:rPr>
                <w:noProof/>
              </w:rPr>
              <w:t>cis tender 2 draft wem capacity investment scheme agreement stage b (maddocks review - incorp(45244361.3)</w:t>
            </w:r>
            <w:r>
              <w:rPr>
                <w:noProof/>
              </w:rPr>
              <w:fldChar w:fldCharType="end"/>
            </w:r>
          </w:p>
        </w:tc>
        <w:tc>
          <w:tcPr>
            <w:tcW w:w="7371" w:type="dxa"/>
            <w:tcBorders>
              <w:left w:val="nil"/>
            </w:tcBorders>
          </w:tcPr>
          <w:p w14:paraId="295EDAC7" w14:textId="77777777" w:rsidR="00656A5C" w:rsidRPr="007217B9" w:rsidRDefault="00656A5C" w:rsidP="00D00429">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36FBD8BD" w14:textId="76ACD5C9" w:rsidR="00656A5C" w:rsidRPr="007217B9" w:rsidRDefault="00656A5C" w:rsidP="00D00429">
            <w:pPr>
              <w:pStyle w:val="Footer"/>
              <w:ind w:left="113"/>
            </w:pPr>
            <w:r w:rsidRPr="007217B9">
              <w:fldChar w:fldCharType="begin"/>
            </w:r>
            <w:r w:rsidRPr="007217B9">
              <w:instrText xml:space="preserve"> SAVEDATE \@ “d MMMM yyyy” </w:instrText>
            </w:r>
            <w:r w:rsidRPr="007217B9">
              <w:fldChar w:fldCharType="separate"/>
            </w:r>
            <w:r w:rsidR="008F7CD3">
              <w:rPr>
                <w:noProof/>
              </w:rPr>
              <w:t xml:space="preserve"> August 2025</w:t>
            </w:r>
            <w:r w:rsidRPr="007217B9">
              <w:fldChar w:fldCharType="end"/>
            </w:r>
          </w:p>
        </w:tc>
        <w:tc>
          <w:tcPr>
            <w:tcW w:w="567" w:type="dxa"/>
          </w:tcPr>
          <w:p w14:paraId="76B69955" w14:textId="77777777" w:rsidR="00656A5C" w:rsidRPr="007217B9" w:rsidRDefault="00656A5C" w:rsidP="00D00429">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6F3293BD" w14:textId="77777777" w:rsidR="00656A5C" w:rsidRPr="005A0A6F" w:rsidRDefault="00656A5C" w:rsidP="005A0A6F">
      <w:pPr>
        <w:pStyle w:val="Footer"/>
        <w:rPr>
          <w:sz w:val="2"/>
        </w:rPr>
      </w:pPr>
    </w:p>
    <w:p w14:paraId="025AA3C3" w14:textId="77777777" w:rsidR="00656A5C" w:rsidRDefault="00656A5C">
      <w:pPr>
        <w:pStyle w:val="Footer"/>
      </w:pPr>
    </w:p>
    <w:p w14:paraId="6A492B1B" w14:textId="77777777" w:rsidR="00656A5C" w:rsidRDefault="00656A5C"/>
    <w:p w14:paraId="14079EA7" w14:textId="77777777" w:rsidR="00656A5C" w:rsidRDefault="00656A5C">
      <w:pPr>
        <w:pStyle w:val="Header"/>
      </w:pPr>
      <w:r>
        <w:rPr>
          <w:noProof/>
        </w:rPr>
        <w:fldChar w:fldCharType="begin"/>
      </w:r>
      <w:r>
        <w:rPr>
          <w:noProof/>
        </w:rPr>
        <w:instrText xml:space="preserve"> STYLEREF PrecNameCover \* MERGEFORMAT </w:instrText>
      </w:r>
      <w:r>
        <w:rPr>
          <w:noProof/>
        </w:rPr>
        <w:fldChar w:fldCharType="separate"/>
      </w:r>
      <w:r>
        <w:rPr>
          <w:noProof/>
        </w:rPr>
        <w:t>Capacity Investment Scheme Agreement</w:t>
      </w:r>
      <w:r>
        <w:rPr>
          <w:noProof/>
        </w:rPr>
        <w:fldChar w:fldCharType="end"/>
      </w:r>
    </w:p>
    <w:p w14:paraId="035E301C" w14:textId="77777777" w:rsidR="00656A5C" w:rsidRDefault="00656A5C">
      <w:pPr>
        <w:pStyle w:val="Header"/>
      </w:pPr>
    </w:p>
    <w:p w14:paraId="4F684191" w14:textId="77777777" w:rsidR="00656A5C" w:rsidRDefault="00656A5C"/>
    <w:p w14:paraId="6DA835A2" w14:textId="77777777" w:rsidR="00656A5C" w:rsidRDefault="00656A5C"/>
    <w:p w14:paraId="691E7F83" w14:textId="77777777" w:rsidR="00656A5C" w:rsidRDefault="00656A5C"/>
    <w:p w14:paraId="520EA193" w14:textId="77777777" w:rsidR="00656A5C" w:rsidRDefault="00656A5C"/>
  </w:footnote>
  <w:footnote w:type="continuationSeparator" w:id="0">
    <w:p w14:paraId="7FE586A5" w14:textId="77777777" w:rsidR="00656A5C" w:rsidRDefault="00656A5C">
      <w:r>
        <w:continuationSeparator/>
      </w:r>
    </w:p>
  </w:footnote>
  <w:footnote w:type="continuationNotice" w:id="1">
    <w:p w14:paraId="6B253E26" w14:textId="77777777" w:rsidR="00656A5C" w:rsidRDefault="00656A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3DF36" w14:textId="569EE599" w:rsidR="005B60E4" w:rsidRDefault="005F41F9">
    <w:pPr>
      <w:pStyle w:val="Header"/>
    </w:pPr>
    <w:r>
      <w:rPr>
        <w:noProof/>
      </w:rPr>
      <mc:AlternateContent>
        <mc:Choice Requires="wps">
          <w:drawing>
            <wp:anchor distT="0" distB="0" distL="0" distR="0" simplePos="0" relativeHeight="251658244" behindDoc="0" locked="0" layoutInCell="1" allowOverlap="1" wp14:anchorId="28DB13EC" wp14:editId="39D18D9C">
              <wp:simplePos x="635" y="635"/>
              <wp:positionH relativeFrom="page">
                <wp:align>center</wp:align>
              </wp:positionH>
              <wp:positionV relativeFrom="page">
                <wp:align>top</wp:align>
              </wp:positionV>
              <wp:extent cx="551815" cy="376555"/>
              <wp:effectExtent l="0" t="0" r="635" b="4445"/>
              <wp:wrapNone/>
              <wp:docPr id="15916223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FF37020" w14:textId="7921534A"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DB13EC"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3FF37020" w14:textId="7921534A"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D0F3C" w14:textId="012ECACB" w:rsidR="005F41F9" w:rsidRDefault="005F41F9">
    <w:pPr>
      <w:pStyle w:val="Header"/>
    </w:pPr>
    <w:r>
      <w:rPr>
        <w:noProof/>
      </w:rPr>
      <mc:AlternateContent>
        <mc:Choice Requires="wps">
          <w:drawing>
            <wp:anchor distT="0" distB="0" distL="0" distR="0" simplePos="0" relativeHeight="251658249" behindDoc="0" locked="0" layoutInCell="1" allowOverlap="1" wp14:anchorId="7B267947" wp14:editId="02A40920">
              <wp:simplePos x="635" y="635"/>
              <wp:positionH relativeFrom="page">
                <wp:align>center</wp:align>
              </wp:positionH>
              <wp:positionV relativeFrom="page">
                <wp:align>top</wp:align>
              </wp:positionV>
              <wp:extent cx="551815" cy="376555"/>
              <wp:effectExtent l="0" t="0" r="635" b="4445"/>
              <wp:wrapNone/>
              <wp:docPr id="432867750"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4FEC04E" w14:textId="5C244348"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267947" id="_x0000_t202" coordsize="21600,21600" o:spt="202" path="m,l,21600r21600,l21600,xe">
              <v:stroke joinstyle="miter"/>
              <v:path gradientshapeok="t" o:connecttype="rect"/>
            </v:shapetype>
            <v:shape id="Text Box 11" o:spid="_x0000_s1036" type="#_x0000_t202" alt="OFFICIAL" style="position:absolute;margin-left:0;margin-top:0;width:43.45pt;height:29.65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hDg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FlX+hDgIAAB0E&#10;AAAOAAAAAAAAAAAAAAAAAC4CAABkcnMvZTJvRG9jLnhtbFBLAQItABQABgAIAAAAIQDDiR132gAA&#10;AAMBAAAPAAAAAAAAAAAAAAAAAGgEAABkcnMvZG93bnJldi54bWxQSwUGAAAAAAQABADzAAAAbwUA&#10;AAAA&#10;" filled="f" stroked="f">
              <v:textbox style="mso-fit-shape-to-text:t" inset="0,15pt,0,0">
                <w:txbxContent>
                  <w:p w14:paraId="24FEC04E" w14:textId="5C244348"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32B67" w14:textId="78366CE6" w:rsidR="00D366FD" w:rsidRPr="007217B9" w:rsidRDefault="00D366FD" w:rsidP="00D366FD">
    <w:pPr>
      <w:pStyle w:val="Header"/>
    </w:pPr>
  </w:p>
  <w:p w14:paraId="0984E377" w14:textId="77777777" w:rsidR="0033665F" w:rsidRPr="007217B9" w:rsidRDefault="0033665F"/>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29B0" w14:textId="74B2C06A" w:rsidR="001742AB" w:rsidRPr="007217B9" w:rsidRDefault="005F41F9" w:rsidP="001742AB">
    <w:pPr>
      <w:pStyle w:val="Header"/>
    </w:pPr>
    <w:r>
      <w:rPr>
        <w:noProof/>
      </w:rPr>
      <mc:AlternateContent>
        <mc:Choice Requires="wps">
          <w:drawing>
            <wp:anchor distT="0" distB="0" distL="0" distR="0" simplePos="0" relativeHeight="251658248" behindDoc="0" locked="0" layoutInCell="1" allowOverlap="1" wp14:anchorId="566E0FB4" wp14:editId="398A1DBF">
              <wp:simplePos x="635" y="635"/>
              <wp:positionH relativeFrom="page">
                <wp:align>center</wp:align>
              </wp:positionH>
              <wp:positionV relativeFrom="page">
                <wp:align>top</wp:align>
              </wp:positionV>
              <wp:extent cx="551815" cy="376555"/>
              <wp:effectExtent l="0" t="0" r="635" b="4445"/>
              <wp:wrapNone/>
              <wp:docPr id="993784923"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8F0E315" w14:textId="1C444B16"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6E0FB4" id="_x0000_t202" coordsize="21600,21600" o:spt="202" path="m,l,21600r21600,l21600,xe">
              <v:stroke joinstyle="miter"/>
              <v:path gradientshapeok="t" o:connecttype="rect"/>
            </v:shapetype>
            <v:shape id="Text Box 10" o:spid="_x0000_s1038" type="#_x0000_t202" alt="OFFICIAL" style="position:absolute;margin-left:0;margin-top:0;width:43.45pt;height:29.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MapYhENAgAAHQQA&#10;AA4AAAAAAAAAAAAAAAAALgIAAGRycy9lMm9Eb2MueG1sUEsBAi0AFAAGAAgAAAAhAMOJHXfaAAAA&#10;AwEAAA8AAAAAAAAAAAAAAAAAZwQAAGRycy9kb3ducmV2LnhtbFBLBQYAAAAABAAEAPMAAABuBQAA&#10;AAA=&#10;" filled="f" stroked="f">
              <v:textbox style="mso-fit-shape-to-text:t" inset="0,15pt,0,0">
                <w:txbxContent>
                  <w:p w14:paraId="08F0E315" w14:textId="1C444B16"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r w:rsidR="001742AB">
      <w:rPr>
        <w:noProof/>
      </w:rPr>
      <w:fldChar w:fldCharType="begin"/>
    </w:r>
    <w:r w:rsidR="001742AB">
      <w:rPr>
        <w:noProof/>
      </w:rPr>
      <w:instrText xml:space="preserve">  STYLEREF  PrecNameCover  \* MERGEFORMAT  \* MERGEFORMAT </w:instrText>
    </w:r>
    <w:r w:rsidR="001742AB">
      <w:rPr>
        <w:noProof/>
      </w:rPr>
      <w:fldChar w:fldCharType="separate"/>
    </w:r>
    <w:r w:rsidR="000749E3">
      <w:rPr>
        <w:noProof/>
      </w:rPr>
      <w:t>Capacity Investment Scheme Agreement</w:t>
    </w:r>
    <w:r w:rsidR="001742AB">
      <w:rPr>
        <w:noProof/>
      </w:rPr>
      <w:fldChar w:fldCharType="end"/>
    </w:r>
  </w:p>
  <w:p w14:paraId="0E8B47EA" w14:textId="77777777" w:rsidR="0033665F" w:rsidRPr="007217B9" w:rsidRDefault="0033665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7D1AC" w14:textId="036D1B6B" w:rsidR="005F41F9" w:rsidRDefault="005F41F9">
    <w:pPr>
      <w:pStyle w:val="Header"/>
    </w:pPr>
    <w:r>
      <w:rPr>
        <w:noProof/>
      </w:rPr>
      <mc:AlternateContent>
        <mc:Choice Requires="wps">
          <w:drawing>
            <wp:anchor distT="0" distB="0" distL="0" distR="0" simplePos="0" relativeHeight="251658250" behindDoc="0" locked="0" layoutInCell="1" allowOverlap="1" wp14:anchorId="0BC18D99" wp14:editId="42598064">
              <wp:simplePos x="635" y="635"/>
              <wp:positionH relativeFrom="page">
                <wp:align>center</wp:align>
              </wp:positionH>
              <wp:positionV relativeFrom="page">
                <wp:align>top</wp:align>
              </wp:positionV>
              <wp:extent cx="551815" cy="376555"/>
              <wp:effectExtent l="0" t="0" r="635" b="4445"/>
              <wp:wrapNone/>
              <wp:docPr id="842739967"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F1EE26C" w14:textId="4EE11E6D"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C18D99" id="_x0000_t202" coordsize="21600,21600" o:spt="202" path="m,l,21600r21600,l21600,xe">
              <v:stroke joinstyle="miter"/>
              <v:path gradientshapeok="t" o:connecttype="rect"/>
            </v:shapetype>
            <v:shape id="Text Box 14" o:spid="_x0000_s1040" type="#_x0000_t202" alt="OFFICIAL" style="position:absolute;margin-left:0;margin-top:0;width:43.45pt;height:29.65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wdqDgIAAB0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dg9zdT+1tojjiVg3Hh3vJVh7XXzIcX5nDDOAiq&#10;NjzjIRX0NYWTRUkL7sff/DEficcoJT0qpqYGJU2J+mZwIVFcySju8jLHm5vc28kwe/0AqMMCn4Tl&#10;yYx5QU2mdKDfUM/LWAhDzHAsV9MwmQ9hlC6+By6Wy5SEOrIsrM3G8ggd+Ypkvg5vzNkT4wFX9QST&#10;nFj1jvgxN/7p7XIfkP60lcjtSOSJctRg2uvpvUSR/3pPWZdXvfgJ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c1wdqDgIAAB0E&#10;AAAOAAAAAAAAAAAAAAAAAC4CAABkcnMvZTJvRG9jLnhtbFBLAQItABQABgAIAAAAIQDDiR132gAA&#10;AAMBAAAPAAAAAAAAAAAAAAAAAGgEAABkcnMvZG93bnJldi54bWxQSwUGAAAAAAQABADzAAAAbwUA&#10;AAAA&#10;" filled="f" stroked="f">
              <v:textbox style="mso-fit-shape-to-text:t" inset="0,15pt,0,0">
                <w:txbxContent>
                  <w:p w14:paraId="2F1EE26C" w14:textId="4EE11E6D"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533E9" w14:textId="0AC90AF3" w:rsidR="005F41F9" w:rsidRDefault="005F41F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6D95" w14:textId="5FF876B8" w:rsidR="005F41F9" w:rsidRDefault="005F41F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17554" w14:textId="372B4738" w:rsidR="005F41F9" w:rsidRDefault="005F41F9">
    <w:pPr>
      <w:pStyle w:val="Header"/>
    </w:pPr>
    <w:r>
      <w:rPr>
        <w:noProof/>
      </w:rPr>
      <mc:AlternateContent>
        <mc:Choice Requires="wps">
          <w:drawing>
            <wp:anchor distT="0" distB="0" distL="0" distR="0" simplePos="0" relativeHeight="251658251" behindDoc="0" locked="0" layoutInCell="1" allowOverlap="1" wp14:anchorId="125807E9" wp14:editId="2E080669">
              <wp:simplePos x="635" y="635"/>
              <wp:positionH relativeFrom="page">
                <wp:align>center</wp:align>
              </wp:positionH>
              <wp:positionV relativeFrom="page">
                <wp:align>top</wp:align>
              </wp:positionV>
              <wp:extent cx="551815" cy="376555"/>
              <wp:effectExtent l="0" t="0" r="635" b="4445"/>
              <wp:wrapNone/>
              <wp:docPr id="1201563492"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6BDCE13" w14:textId="3A9769CC"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5807E9" id="_x0000_t202" coordsize="21600,21600" o:spt="202" path="m,l,21600r21600,l21600,xe">
              <v:stroke joinstyle="miter"/>
              <v:path gradientshapeok="t" o:connecttype="rect"/>
            </v:shapetype>
            <v:shape id="Text Box 17" o:spid="_x0000_s1043" type="#_x0000_t202" alt="OFFICIAL" style="position:absolute;margin-left:0;margin-top:0;width:43.45pt;height:29.65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PEaWY8NAgAAHQQA&#10;AA4AAAAAAAAAAAAAAAAALgIAAGRycy9lMm9Eb2MueG1sUEsBAi0AFAAGAAgAAAAhAMOJHXfaAAAA&#10;AwEAAA8AAAAAAAAAAAAAAAAAZwQAAGRycy9kb3ducmV2LnhtbFBLBQYAAAAABAAEAPMAAABuBQAA&#10;AAA=&#10;" filled="f" stroked="f">
              <v:textbox style="mso-fit-shape-to-text:t" inset="0,15pt,0,0">
                <w:txbxContent>
                  <w:p w14:paraId="06BDCE13" w14:textId="3A9769CC"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9D1B5" w14:textId="09C0F7D5" w:rsidR="005F41F9" w:rsidRDefault="005F41F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4D514" w14:textId="7046C8D2" w:rsidR="005F41F9" w:rsidRDefault="005F41F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729C0" w14:textId="64BBCF09" w:rsidR="005F41F9" w:rsidRDefault="005F41F9">
    <w:pPr>
      <w:pStyle w:val="Header"/>
    </w:pPr>
    <w:r>
      <w:rPr>
        <w:noProof/>
      </w:rPr>
      <mc:AlternateContent>
        <mc:Choice Requires="wps">
          <w:drawing>
            <wp:anchor distT="0" distB="0" distL="0" distR="0" simplePos="0" relativeHeight="251658252" behindDoc="0" locked="0" layoutInCell="1" allowOverlap="1" wp14:anchorId="14027BB1" wp14:editId="0B0C0D7B">
              <wp:simplePos x="635" y="635"/>
              <wp:positionH relativeFrom="page">
                <wp:align>center</wp:align>
              </wp:positionH>
              <wp:positionV relativeFrom="page">
                <wp:align>top</wp:align>
              </wp:positionV>
              <wp:extent cx="551815" cy="376555"/>
              <wp:effectExtent l="0" t="0" r="635" b="4445"/>
              <wp:wrapNone/>
              <wp:docPr id="445284119"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8ED548B" w14:textId="53D139D4"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027BB1" id="_x0000_t202" coordsize="21600,21600" o:spt="202" path="m,l,21600r21600,l21600,xe">
              <v:stroke joinstyle="miter"/>
              <v:path gradientshapeok="t" o:connecttype="rect"/>
            </v:shapetype>
            <v:shape id="Text Box 20" o:spid="_x0000_s1045" type="#_x0000_t202" alt="OFFICIAL" style="position:absolute;margin-left:0;margin-top:0;width:43.45pt;height:29.65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Dz0Dw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c+n9nfQnHAqB+PCveXrDmtvmA/PzOGGcRBU&#10;bXjCQyroawpni5IW3I+/+WM+Eo9RSnpUTE0NSpoS9c3gQqK4klF8zsscb25y7ybDHPQ9oA4LfBKW&#10;JzPmBTWZ0oF+RT2vYiEMMcOxXE3DZN6HUbr4HrhYrVIS6siysDFbyyN05CuS+TK8MmfPjAdc1SNM&#10;cmLVG+LH3Pint6tDQPrTViK3I5FnylGDaa/n9xJF/us9ZV1f9fInAA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K2Q89A8CAAAd&#10;BAAADgAAAAAAAAAAAAAAAAAuAgAAZHJzL2Uyb0RvYy54bWxQSwECLQAUAAYACAAAACEAw4kdd9oA&#10;AAADAQAADwAAAAAAAAAAAAAAAABpBAAAZHJzL2Rvd25yZXYueG1sUEsFBgAAAAAEAAQA8wAAAHAF&#10;AAAAAA==&#10;" filled="f" stroked="f">
              <v:textbox style="mso-fit-shape-to-text:t" inset="0,15pt,0,0">
                <w:txbxContent>
                  <w:p w14:paraId="48ED548B" w14:textId="53D139D4"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E4DF4" w14:textId="3C8E20DD" w:rsidR="005B60E4" w:rsidRDefault="005B60E4">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6A02B" w14:textId="45629B8E" w:rsidR="005F41F9" w:rsidRDefault="005F41F9">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C92E5" w14:textId="3AD2F7F9" w:rsidR="00D573DB" w:rsidRPr="007217B9" w:rsidRDefault="00D573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79FBB" w14:textId="1759E36E" w:rsidR="007140AD" w:rsidRDefault="00B17D18" w:rsidP="007140AD">
    <w:pPr>
      <w:pStyle w:val="Header"/>
      <w:ind w:left="-851" w:right="-652"/>
      <w:rPr>
        <w:noProof/>
      </w:rPr>
    </w:pPr>
    <w:fldSimple w:instr="STYLEREF  PrecNameCover  \* MERGEFORMAT  \* MERGEFORMAT">
      <w:r w:rsidR="0057509B">
        <w:rPr>
          <w:noProof/>
        </w:rPr>
        <w:t>Capacity Investment Scheme Agreement</w:t>
      </w:r>
    </w:fldSimple>
    <w:r w:rsidR="007140AD">
      <w:rPr>
        <w:noProof/>
      </w:rPr>
      <w:t xml:space="preserve"> </w:t>
    </w:r>
  </w:p>
  <w:p w14:paraId="3667E30A" w14:textId="484E073C" w:rsidR="007140AD" w:rsidRDefault="007140AD" w:rsidP="007140AD">
    <w:pPr>
      <w:pStyle w:val="Header"/>
    </w:pPr>
    <w:r>
      <w:rPr>
        <w:noProof/>
      </w:rPr>
      <w:t xml:space="preserve">Tender </w:t>
    </w:r>
    <w:r w:rsidR="00C81DEA">
      <w:rPr>
        <w:noProof/>
      </w:rPr>
      <w:t>6</w:t>
    </w:r>
    <w:r>
      <w:rPr>
        <w:noProof/>
      </w:rPr>
      <w:t xml:space="preserve"> WEM Dispatchable (Proforma) August 2025</w:t>
    </w:r>
  </w:p>
  <w:p w14:paraId="5B872C4E" w14:textId="278DAF8E" w:rsidR="0033665F" w:rsidRPr="007217B9" w:rsidRDefault="003A4E51">
    <w:pPr>
      <w:pStyle w:val="Header"/>
      <w:spacing w:after="1985"/>
    </w:pPr>
    <w:r>
      <w:rPr>
        <w:noProof/>
      </w:rPr>
      <mc:AlternateContent>
        <mc:Choice Requires="wps">
          <w:drawing>
            <wp:anchor distT="0" distB="0" distL="114300" distR="114300" simplePos="0" relativeHeight="251658243" behindDoc="0" locked="0" layoutInCell="0" allowOverlap="1" wp14:anchorId="50D7111F" wp14:editId="0194A1FF">
              <wp:simplePos x="0" y="0"/>
              <wp:positionH relativeFrom="column">
                <wp:posOffset>2498090</wp:posOffset>
              </wp:positionH>
              <wp:positionV relativeFrom="paragraph">
                <wp:posOffset>-1347470</wp:posOffset>
              </wp:positionV>
              <wp:extent cx="2835275" cy="54927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wps:spPr>
                    <wps:txbx>
                      <w:txbxContent>
                        <w:p w14:paraId="7B331625" w14:textId="77777777" w:rsidR="0033665F" w:rsidRDefault="0033665F">
                          <w:pPr>
                            <w:jc w:val="right"/>
                            <w:rPr>
                              <w:sz w:val="18"/>
                            </w:rPr>
                          </w:pPr>
                          <w:r>
                            <w:rPr>
                              <w:sz w:val="18"/>
                            </w:rPr>
                            <w:t>DRAFT [NO.]: [Date]</w:t>
                          </w:r>
                        </w:p>
                        <w:p w14:paraId="71E586CB" w14:textId="77777777" w:rsidR="0033665F" w:rsidRDefault="0033665F">
                          <w:pPr>
                            <w:jc w:val="right"/>
                            <w:rPr>
                              <w:sz w:val="18"/>
                            </w:rPr>
                          </w:pPr>
                          <w:r>
                            <w:rPr>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7111F" id="Rectangle 1" o:spid="_x0000_s1028" style="position:absolute;margin-left:196.7pt;margin-top:-106.1pt;width:223.25pt;height:43.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Eyn7ZdYBAACeAwAADgAAAAAAAAAAAAAAAAAuAgAAZHJzL2Uyb0RvYy54bWxQSwECLQAUAAYACAAA&#10;ACEAJoVEG+MAAAANAQAADwAAAAAAAAAAAAAAAAAwBAAAZHJzL2Rvd25yZXYueG1sUEsFBgAAAAAE&#10;AAQA8wAAAEAFAAAAAA==&#10;" o:allowincell="f" filled="f" stroked="f">
              <v:textbox inset="1pt,1pt,1pt,1pt">
                <w:txbxContent>
                  <w:p w14:paraId="7B331625" w14:textId="77777777" w:rsidR="0033665F" w:rsidRDefault="0033665F">
                    <w:pPr>
                      <w:jc w:val="right"/>
                      <w:rPr>
                        <w:sz w:val="18"/>
                      </w:rPr>
                    </w:pPr>
                    <w:r>
                      <w:rPr>
                        <w:sz w:val="18"/>
                      </w:rPr>
                      <w:t>DRAFT [NO.]: [Date]</w:t>
                    </w:r>
                  </w:p>
                  <w:p w14:paraId="71E586CB" w14:textId="77777777" w:rsidR="0033665F" w:rsidRDefault="0033665F">
                    <w:pPr>
                      <w:jc w:val="right"/>
                      <w:rPr>
                        <w:sz w:val="18"/>
                      </w:rPr>
                    </w:pPr>
                    <w:r>
                      <w:rPr>
                        <w:sz w:val="18"/>
                      </w:rPr>
                      <w:t>Marked to show changes from draft [No.]: [Date]</w:t>
                    </w:r>
                  </w:p>
                </w:txbxContent>
              </v:textbox>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C4AC6" w14:textId="6224E9AA" w:rsidR="005F41F9" w:rsidRDefault="005F41F9">
    <w:pPr>
      <w:pStyle w:val="Header"/>
    </w:pPr>
    <w:r>
      <w:rPr>
        <w:noProof/>
      </w:rPr>
      <mc:AlternateContent>
        <mc:Choice Requires="wps">
          <w:drawing>
            <wp:anchor distT="0" distB="0" distL="0" distR="0" simplePos="0" relativeHeight="251658245" behindDoc="0" locked="0" layoutInCell="1" allowOverlap="1" wp14:anchorId="3D250EC7" wp14:editId="255DFC13">
              <wp:simplePos x="635" y="635"/>
              <wp:positionH relativeFrom="page">
                <wp:align>center</wp:align>
              </wp:positionH>
              <wp:positionV relativeFrom="page">
                <wp:align>top</wp:align>
              </wp:positionV>
              <wp:extent cx="551815" cy="376555"/>
              <wp:effectExtent l="0" t="0" r="635" b="4445"/>
              <wp:wrapNone/>
              <wp:docPr id="98491039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C755A9B" w14:textId="4D21D7D5"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250EC7" id="_x0000_t202" coordsize="21600,21600" o:spt="202" path="m,l,21600r21600,l21600,xe">
              <v:stroke joinstyle="miter"/>
              <v:path gradientshapeok="t" o:connecttype="rect"/>
            </v:shapetype>
            <v:shape id="Text Box 5" o:spid="_x0000_s1029" type="#_x0000_t202" alt="OFFICIAL" style="position:absolute;margin-left:0;margin-top:0;width:43.45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4C755A9B" w14:textId="4D21D7D5"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A0652" w14:textId="53FDD7CD" w:rsidR="0033665F" w:rsidRPr="007217B9" w:rsidRDefault="0033665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3" w:name="HeaderFirstPage"/>
  <w:p w14:paraId="2CE0C69D" w14:textId="1247D2C2" w:rsidR="0033665F" w:rsidRPr="007217B9" w:rsidRDefault="00F3354A">
    <w:pPr>
      <w:pStyle w:val="Header"/>
    </w:pPr>
    <w:r>
      <w:fldChar w:fldCharType="begin"/>
    </w:r>
    <w:r>
      <w:instrText>STYLEREF  PrecNameCover  \* MERGEFORMAT  \* MERGEFORMAT</w:instrText>
    </w:r>
    <w:r>
      <w:fldChar w:fldCharType="separate"/>
    </w:r>
    <w:r w:rsidR="0057509B">
      <w:rPr>
        <w:noProof/>
      </w:rPr>
      <w:t>Capacity Investment Scheme Agreement</w:t>
    </w:r>
    <w:r>
      <w:rPr>
        <w:noProof/>
      </w:rPr>
      <w:fldChar w:fldCharType="end"/>
    </w:r>
  </w:p>
  <w:p w14:paraId="4630474E" w14:textId="77777777" w:rsidR="0033665F" w:rsidRPr="007217B9" w:rsidRDefault="0033665F">
    <w:pPr>
      <w:pStyle w:val="Header"/>
      <w:spacing w:after="1240"/>
    </w:pPr>
    <w:r w:rsidRPr="007217B9">
      <w:rPr>
        <w:b w:val="0"/>
      </w:rPr>
      <w:t>Contents</w:t>
    </w:r>
    <w:bookmarkEnd w:id="13"/>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EFE75" w14:textId="57211600" w:rsidR="005F41F9" w:rsidRDefault="005F41F9">
    <w:pPr>
      <w:pStyle w:val="Header"/>
    </w:pPr>
    <w:r>
      <w:rPr>
        <w:noProof/>
      </w:rPr>
      <mc:AlternateContent>
        <mc:Choice Requires="wps">
          <w:drawing>
            <wp:anchor distT="0" distB="0" distL="0" distR="0" simplePos="0" relativeHeight="251658246" behindDoc="0" locked="0" layoutInCell="1" allowOverlap="1" wp14:anchorId="2B55D18C" wp14:editId="1A128A7C">
              <wp:simplePos x="635" y="635"/>
              <wp:positionH relativeFrom="page">
                <wp:align>center</wp:align>
              </wp:positionH>
              <wp:positionV relativeFrom="page">
                <wp:align>top</wp:align>
              </wp:positionV>
              <wp:extent cx="551815" cy="376555"/>
              <wp:effectExtent l="0" t="0" r="635" b="4445"/>
              <wp:wrapNone/>
              <wp:docPr id="1403314336"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4A519C5" w14:textId="6CDA5B3A"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55D18C" id="_x0000_t202" coordsize="21600,21600" o:spt="202" path="m,l,21600r21600,l21600,xe">
              <v:stroke joinstyle="miter"/>
              <v:path gradientshapeok="t" o:connecttype="rect"/>
            </v:shapetype>
            <v:shape id="Text Box 8" o:spid="_x0000_s1032" type="#_x0000_t202" alt="OFFICIAL" style="position:absolute;margin-left:0;margin-top:0;width:43.45pt;height:29.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2wDgIAABw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Lda2wDgIAABwE&#10;AAAOAAAAAAAAAAAAAAAAAC4CAABkcnMvZTJvRG9jLnhtbFBLAQItABQABgAIAAAAIQDDiR132gAA&#10;AAMBAAAPAAAAAAAAAAAAAAAAAGgEAABkcnMvZG93bnJldi54bWxQSwUGAAAAAAQABADzAAAAbwUA&#10;AAAA&#10;" filled="f" stroked="f">
              <v:textbox style="mso-fit-shape-to-text:t" inset="0,15pt,0,0">
                <w:txbxContent>
                  <w:p w14:paraId="24A519C5" w14:textId="6CDA5B3A"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2B5B8" w14:textId="178C2CD3" w:rsidR="0033665F" w:rsidRPr="007217B9" w:rsidRDefault="005F41F9">
    <w:pPr>
      <w:pStyle w:val="Header"/>
    </w:pPr>
    <w:r>
      <w:rPr>
        <w:noProof/>
      </w:rPr>
      <mc:AlternateContent>
        <mc:Choice Requires="wps">
          <w:drawing>
            <wp:anchor distT="0" distB="0" distL="0" distR="0" simplePos="0" relativeHeight="251658247" behindDoc="0" locked="0" layoutInCell="1" allowOverlap="1" wp14:anchorId="77A05ACA" wp14:editId="545770AA">
              <wp:simplePos x="635" y="635"/>
              <wp:positionH relativeFrom="page">
                <wp:align>center</wp:align>
              </wp:positionH>
              <wp:positionV relativeFrom="page">
                <wp:align>top</wp:align>
              </wp:positionV>
              <wp:extent cx="551815" cy="376555"/>
              <wp:effectExtent l="0" t="0" r="635" b="4445"/>
              <wp:wrapNone/>
              <wp:docPr id="1089482348"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7EF5C63" w14:textId="04B7F5E5"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A05ACA" id="_x0000_t202" coordsize="21600,21600" o:spt="202" path="m,l,21600r21600,l21600,xe">
              <v:stroke joinstyle="miter"/>
              <v:path gradientshapeok="t" o:connecttype="rect"/>
            </v:shapetype>
            <v:shape id="Text Box 9" o:spid="_x0000_s1033" type="#_x0000_t202" alt="OFFICIAL" style="position:absolute;margin-left:0;margin-top:0;width:43.45pt;height:29.6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NDg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fU9HbqfgvNEYdyMO7bW77qsPSa+fDMHC4Y50DR&#10;hic8pIK+pnCyKGnB/fybP+Yj7xilpEfB1NSgoilR3w3uI2orGcVtXuZ4c5N7Oxlmr+8BZVjgi7A8&#10;mTEvqMmUDvQrynkZC2GIGY7lahom8z6MysXnwMVymZJQRpaFtdlYHqEjXZHLl+GVOXsiPOCmHmFS&#10;E6ve8T7mxj+9Xe4Dsp+WEqkdiTwxjhJMaz09l6jxt/eUdXnUi1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yh+NDgIAABwE&#10;AAAOAAAAAAAAAAAAAAAAAC4CAABkcnMvZTJvRG9jLnhtbFBLAQItABQABgAIAAAAIQDDiR132gAA&#10;AAMBAAAPAAAAAAAAAAAAAAAAAGgEAABkcnMvZG93bnJldi54bWxQSwUGAAAAAAQABADzAAAAbwUA&#10;AAAA&#10;" filled="f" stroked="f">
              <v:textbox style="mso-fit-shape-to-text:t" inset="0,15pt,0,0">
                <w:txbxContent>
                  <w:p w14:paraId="07EF5C63" w14:textId="04B7F5E5"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6AAD7" w14:textId="3E69D6AD" w:rsidR="0033665F" w:rsidRPr="007217B9" w:rsidRDefault="0033665F">
    <w:pPr>
      <w:pStyle w:val="Header"/>
    </w:pPr>
    <w:r>
      <w:rPr>
        <w:noProof/>
      </w:rPr>
      <w:fldChar w:fldCharType="begin"/>
    </w:r>
    <w:r>
      <w:rPr>
        <w:noProof/>
      </w:rPr>
      <w:instrText xml:space="preserve">  STYLEREF  PrecNameCover  \* MERGEFORMAT  \* MERGEFORMAT </w:instrText>
    </w:r>
    <w:r>
      <w:rPr>
        <w:noProof/>
      </w:rPr>
      <w:fldChar w:fldCharType="separate"/>
    </w:r>
    <w:r w:rsidR="0057509B">
      <w:rPr>
        <w:noProof/>
      </w:rPr>
      <w:t>Capacity Investment Scheme Agreement</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CAEB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086A3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442EE8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86840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290EB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32D33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9821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891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C8E5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C36B5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A66639E2"/>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lowerLetter"/>
      <w:pStyle w:val="Heading6"/>
      <w:lvlText w:val="(a%6)"/>
      <w:lvlJc w:val="left"/>
      <w:pPr>
        <w:tabs>
          <w:tab w:val="num" w:pos="3686"/>
        </w:tabs>
        <w:ind w:left="3686" w:hanging="738"/>
      </w:pPr>
      <w:rPr>
        <w:rFonts w:hint="default"/>
      </w:rPr>
    </w:lvl>
    <w:lvl w:ilvl="6">
      <w:start w:val="28"/>
      <w:numFmt w:val="none"/>
      <w:pStyle w:val="Heading7"/>
      <w:suff w:val="nothing"/>
      <w:lvlText w:val=""/>
      <w:lvlJc w:val="left"/>
      <w:pPr>
        <w:ind w:left="737" w:firstLine="0"/>
      </w:pPr>
      <w:rPr>
        <w:rFonts w:hint="default"/>
      </w:rPr>
    </w:lvl>
    <w:lvl w:ilvl="7">
      <w:start w:val="3"/>
      <w:numFmt w:val="lowerLetter"/>
      <w:pStyle w:val="Heading8"/>
      <w:lvlText w:val="(%8)"/>
      <w:lvlJc w:val="left"/>
      <w:pPr>
        <w:tabs>
          <w:tab w:val="num" w:pos="1474"/>
        </w:tabs>
        <w:ind w:left="1474" w:hanging="737"/>
      </w:pPr>
      <w:rPr>
        <w:rFonts w:hint="default"/>
        <w:b w:val="0"/>
        <w:bCs w:val="0"/>
      </w:rPr>
    </w:lvl>
    <w:lvl w:ilvl="8">
      <w:start w:val="1"/>
      <w:numFmt w:val="lowerRoman"/>
      <w:pStyle w:val="Heading9"/>
      <w:lvlText w:val="(%9)"/>
      <w:lvlJc w:val="left"/>
      <w:pPr>
        <w:tabs>
          <w:tab w:val="num" w:pos="2439"/>
        </w:tabs>
        <w:ind w:left="2439" w:hanging="737"/>
      </w:pPr>
      <w:rPr>
        <w:rFonts w:hint="default"/>
      </w:rPr>
    </w:lvl>
  </w:abstractNum>
  <w:abstractNum w:abstractNumId="11" w15:restartNumberingAfterBreak="0">
    <w:nsid w:val="000578C9"/>
    <w:multiLevelType w:val="singleLevel"/>
    <w:tmpl w:val="1A2EDE14"/>
    <w:lvl w:ilvl="0">
      <w:start w:val="1"/>
      <w:numFmt w:val="bullet"/>
      <w:pStyle w:val="ListBulletTable"/>
      <w:lvlText w:val=""/>
      <w:lvlJc w:val="left"/>
      <w:pPr>
        <w:tabs>
          <w:tab w:val="left" w:pos="284"/>
        </w:tabs>
        <w:ind w:left="284" w:hanging="284"/>
      </w:pPr>
      <w:rPr>
        <w:rFonts w:ascii="Symbol" w:hAnsi="Symbol" w:hint="default"/>
        <w:b w:val="0"/>
        <w:i w:val="0"/>
        <w:sz w:val="16"/>
        <w:szCs w:val="16"/>
      </w:rPr>
    </w:lvl>
  </w:abstractNum>
  <w:abstractNum w:abstractNumId="12" w15:restartNumberingAfterBreak="0">
    <w:nsid w:val="02245648"/>
    <w:multiLevelType w:val="multilevel"/>
    <w:tmpl w:val="681A37D6"/>
    <w:lvl w:ilvl="0">
      <w:start w:val="1"/>
      <w:numFmt w:val="decimal"/>
      <w:pStyle w:val="Numpara1"/>
      <w:lvlText w:val="%1."/>
      <w:lvlJc w:val="left"/>
      <w:pPr>
        <w:ind w:left="851" w:hanging="851"/>
      </w:pPr>
      <w:rPr>
        <w:rFonts w:hint="default"/>
        <w:b/>
        <w:bCs w:val="0"/>
        <w:sz w:val="28"/>
        <w:szCs w:val="28"/>
      </w:rPr>
    </w:lvl>
    <w:lvl w:ilvl="1">
      <w:start w:val="1"/>
      <w:numFmt w:val="decimal"/>
      <w:pStyle w:val="Numpara2"/>
      <w:lvlText w:val="%1.%2"/>
      <w:lvlJc w:val="left"/>
      <w:pPr>
        <w:ind w:left="851" w:hanging="851"/>
      </w:pPr>
      <w:rPr>
        <w:rFonts w:hint="default"/>
        <w:sz w:val="20"/>
        <w:szCs w:val="20"/>
      </w:rPr>
    </w:lvl>
    <w:lvl w:ilvl="2">
      <w:start w:val="1"/>
      <w:numFmt w:val="decimal"/>
      <w:pStyle w:val="Numpara3"/>
      <w:lvlText w:val="%1.%2.%3"/>
      <w:lvlJc w:val="left"/>
      <w:pPr>
        <w:ind w:left="1701" w:hanging="850"/>
      </w:pPr>
      <w:rPr>
        <w:rFonts w:hint="default"/>
        <w:sz w:val="20"/>
        <w:szCs w:val="20"/>
      </w:rPr>
    </w:lvl>
    <w:lvl w:ilvl="3">
      <w:start w:val="1"/>
      <w:numFmt w:val="lowerLetter"/>
      <w:pStyle w:val="Numpara4"/>
      <w:lvlText w:val="(%4)"/>
      <w:lvlJc w:val="left"/>
      <w:pPr>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13" w15:restartNumberingAfterBreak="0">
    <w:nsid w:val="036A1691"/>
    <w:multiLevelType w:val="hybridMultilevel"/>
    <w:tmpl w:val="3CAE501E"/>
    <w:lvl w:ilvl="0" w:tplc="BAB897EC">
      <w:start w:val="1"/>
      <w:numFmt w:val="lowerLetter"/>
      <w:lvlText w:val="(%1)"/>
      <w:lvlJc w:val="left"/>
      <w:pPr>
        <w:ind w:left="735" w:hanging="735"/>
      </w:pPr>
      <w:rPr>
        <w:rFonts w:hint="default"/>
      </w:rPr>
    </w:lvl>
    <w:lvl w:ilvl="1" w:tplc="A8401C88" w:tentative="1">
      <w:start w:val="1"/>
      <w:numFmt w:val="lowerLetter"/>
      <w:lvlText w:val="%2."/>
      <w:lvlJc w:val="left"/>
      <w:pPr>
        <w:ind w:left="1080" w:hanging="360"/>
      </w:pPr>
    </w:lvl>
    <w:lvl w:ilvl="2" w:tplc="DA4AE33E" w:tentative="1">
      <w:start w:val="1"/>
      <w:numFmt w:val="lowerRoman"/>
      <w:lvlText w:val="%3."/>
      <w:lvlJc w:val="right"/>
      <w:pPr>
        <w:ind w:left="1800" w:hanging="180"/>
      </w:pPr>
    </w:lvl>
    <w:lvl w:ilvl="3" w:tplc="7C58DFBE" w:tentative="1">
      <w:start w:val="1"/>
      <w:numFmt w:val="decimal"/>
      <w:lvlText w:val="%4."/>
      <w:lvlJc w:val="left"/>
      <w:pPr>
        <w:ind w:left="2520" w:hanging="360"/>
      </w:pPr>
    </w:lvl>
    <w:lvl w:ilvl="4" w:tplc="FA0A1F14" w:tentative="1">
      <w:start w:val="1"/>
      <w:numFmt w:val="lowerLetter"/>
      <w:lvlText w:val="%5."/>
      <w:lvlJc w:val="left"/>
      <w:pPr>
        <w:ind w:left="3240" w:hanging="360"/>
      </w:pPr>
    </w:lvl>
    <w:lvl w:ilvl="5" w:tplc="A254DB62" w:tentative="1">
      <w:start w:val="1"/>
      <w:numFmt w:val="lowerRoman"/>
      <w:lvlText w:val="%6."/>
      <w:lvlJc w:val="right"/>
      <w:pPr>
        <w:ind w:left="3960" w:hanging="180"/>
      </w:pPr>
    </w:lvl>
    <w:lvl w:ilvl="6" w:tplc="EFD2FBD0" w:tentative="1">
      <w:start w:val="1"/>
      <w:numFmt w:val="decimal"/>
      <w:lvlText w:val="%7."/>
      <w:lvlJc w:val="left"/>
      <w:pPr>
        <w:ind w:left="4680" w:hanging="360"/>
      </w:pPr>
    </w:lvl>
    <w:lvl w:ilvl="7" w:tplc="E8CEAC3C" w:tentative="1">
      <w:start w:val="1"/>
      <w:numFmt w:val="lowerLetter"/>
      <w:lvlText w:val="%8."/>
      <w:lvlJc w:val="left"/>
      <w:pPr>
        <w:ind w:left="5400" w:hanging="360"/>
      </w:pPr>
    </w:lvl>
    <w:lvl w:ilvl="8" w:tplc="1B4E0966" w:tentative="1">
      <w:start w:val="1"/>
      <w:numFmt w:val="lowerRoman"/>
      <w:lvlText w:val="%9."/>
      <w:lvlJc w:val="right"/>
      <w:pPr>
        <w:ind w:left="6120" w:hanging="180"/>
      </w:pPr>
    </w:lvl>
  </w:abstractNum>
  <w:abstractNum w:abstractNumId="14" w15:restartNumberingAfterBreak="0">
    <w:nsid w:val="04EF7FED"/>
    <w:multiLevelType w:val="hybridMultilevel"/>
    <w:tmpl w:val="0D36193C"/>
    <w:lvl w:ilvl="0" w:tplc="C6647A3A">
      <w:start w:val="1"/>
      <w:numFmt w:val="upperLetter"/>
      <w:pStyle w:val="Heading10"/>
      <w:lvlText w:val="(%1)"/>
      <w:lvlJc w:val="left"/>
      <w:pPr>
        <w:ind w:left="2847" w:hanging="360"/>
      </w:pPr>
      <w:rPr>
        <w:rFonts w:hint="default"/>
      </w:rPr>
    </w:lvl>
    <w:lvl w:ilvl="1" w:tplc="81DE7F0E" w:tentative="1">
      <w:start w:val="1"/>
      <w:numFmt w:val="lowerLetter"/>
      <w:lvlText w:val="%2."/>
      <w:lvlJc w:val="left"/>
      <w:pPr>
        <w:ind w:left="3567" w:hanging="360"/>
      </w:pPr>
    </w:lvl>
    <w:lvl w:ilvl="2" w:tplc="9F9EF1F0" w:tentative="1">
      <w:start w:val="1"/>
      <w:numFmt w:val="lowerRoman"/>
      <w:lvlText w:val="%3."/>
      <w:lvlJc w:val="right"/>
      <w:pPr>
        <w:ind w:left="4287" w:hanging="180"/>
      </w:pPr>
    </w:lvl>
    <w:lvl w:ilvl="3" w:tplc="1A6ACCF0" w:tentative="1">
      <w:start w:val="1"/>
      <w:numFmt w:val="decimal"/>
      <w:lvlText w:val="%4."/>
      <w:lvlJc w:val="left"/>
      <w:pPr>
        <w:ind w:left="5007" w:hanging="360"/>
      </w:pPr>
    </w:lvl>
    <w:lvl w:ilvl="4" w:tplc="A73C2F64" w:tentative="1">
      <w:start w:val="1"/>
      <w:numFmt w:val="lowerLetter"/>
      <w:lvlText w:val="%5."/>
      <w:lvlJc w:val="left"/>
      <w:pPr>
        <w:ind w:left="5727" w:hanging="360"/>
      </w:pPr>
    </w:lvl>
    <w:lvl w:ilvl="5" w:tplc="7230056A" w:tentative="1">
      <w:start w:val="1"/>
      <w:numFmt w:val="lowerRoman"/>
      <w:lvlText w:val="%6."/>
      <w:lvlJc w:val="right"/>
      <w:pPr>
        <w:ind w:left="6447" w:hanging="180"/>
      </w:pPr>
    </w:lvl>
    <w:lvl w:ilvl="6" w:tplc="2A567232" w:tentative="1">
      <w:start w:val="1"/>
      <w:numFmt w:val="decimal"/>
      <w:lvlText w:val="%7."/>
      <w:lvlJc w:val="left"/>
      <w:pPr>
        <w:ind w:left="7167" w:hanging="360"/>
      </w:pPr>
    </w:lvl>
    <w:lvl w:ilvl="7" w:tplc="4C7EE3EE" w:tentative="1">
      <w:start w:val="1"/>
      <w:numFmt w:val="lowerLetter"/>
      <w:lvlText w:val="%8."/>
      <w:lvlJc w:val="left"/>
      <w:pPr>
        <w:ind w:left="7887" w:hanging="360"/>
      </w:pPr>
    </w:lvl>
    <w:lvl w:ilvl="8" w:tplc="CFCEC940" w:tentative="1">
      <w:start w:val="1"/>
      <w:numFmt w:val="lowerRoman"/>
      <w:lvlText w:val="%9."/>
      <w:lvlJc w:val="right"/>
      <w:pPr>
        <w:ind w:left="8607" w:hanging="180"/>
      </w:pPr>
    </w:lvl>
  </w:abstractNum>
  <w:abstractNum w:abstractNumId="15" w15:restartNumberingAfterBreak="0">
    <w:nsid w:val="0A3E30F8"/>
    <w:multiLevelType w:val="hybridMultilevel"/>
    <w:tmpl w:val="8EECA014"/>
    <w:lvl w:ilvl="0" w:tplc="4F4EC3EA">
      <w:start w:val="1"/>
      <w:numFmt w:val="lowerLetter"/>
      <w:lvlText w:val="(%1)"/>
      <w:lvlJc w:val="left"/>
      <w:pPr>
        <w:ind w:left="2204" w:hanging="360"/>
      </w:pPr>
      <w:rPr>
        <w:rFonts w:hint="default"/>
        <w:sz w:val="18"/>
        <w:szCs w:val="20"/>
      </w:rPr>
    </w:lvl>
    <w:lvl w:ilvl="1" w:tplc="0C090019" w:tentative="1">
      <w:start w:val="1"/>
      <w:numFmt w:val="lowerLetter"/>
      <w:lvlText w:val="%2."/>
      <w:lvlJc w:val="left"/>
      <w:pPr>
        <w:ind w:left="2924" w:hanging="360"/>
      </w:pPr>
    </w:lvl>
    <w:lvl w:ilvl="2" w:tplc="0C09001B" w:tentative="1">
      <w:start w:val="1"/>
      <w:numFmt w:val="lowerRoman"/>
      <w:lvlText w:val="%3."/>
      <w:lvlJc w:val="right"/>
      <w:pPr>
        <w:ind w:left="3644" w:hanging="180"/>
      </w:pPr>
    </w:lvl>
    <w:lvl w:ilvl="3" w:tplc="0C09000F" w:tentative="1">
      <w:start w:val="1"/>
      <w:numFmt w:val="decimal"/>
      <w:lvlText w:val="%4."/>
      <w:lvlJc w:val="left"/>
      <w:pPr>
        <w:ind w:left="4364" w:hanging="360"/>
      </w:pPr>
    </w:lvl>
    <w:lvl w:ilvl="4" w:tplc="0C090019" w:tentative="1">
      <w:start w:val="1"/>
      <w:numFmt w:val="lowerLetter"/>
      <w:lvlText w:val="%5."/>
      <w:lvlJc w:val="left"/>
      <w:pPr>
        <w:ind w:left="5084" w:hanging="360"/>
      </w:pPr>
    </w:lvl>
    <w:lvl w:ilvl="5" w:tplc="0C09001B" w:tentative="1">
      <w:start w:val="1"/>
      <w:numFmt w:val="lowerRoman"/>
      <w:lvlText w:val="%6."/>
      <w:lvlJc w:val="right"/>
      <w:pPr>
        <w:ind w:left="5804" w:hanging="180"/>
      </w:pPr>
    </w:lvl>
    <w:lvl w:ilvl="6" w:tplc="0C09000F" w:tentative="1">
      <w:start w:val="1"/>
      <w:numFmt w:val="decimal"/>
      <w:lvlText w:val="%7."/>
      <w:lvlJc w:val="left"/>
      <w:pPr>
        <w:ind w:left="6524" w:hanging="360"/>
      </w:pPr>
    </w:lvl>
    <w:lvl w:ilvl="7" w:tplc="0C090019" w:tentative="1">
      <w:start w:val="1"/>
      <w:numFmt w:val="lowerLetter"/>
      <w:lvlText w:val="%8."/>
      <w:lvlJc w:val="left"/>
      <w:pPr>
        <w:ind w:left="7244" w:hanging="360"/>
      </w:pPr>
    </w:lvl>
    <w:lvl w:ilvl="8" w:tplc="0C09001B" w:tentative="1">
      <w:start w:val="1"/>
      <w:numFmt w:val="lowerRoman"/>
      <w:lvlText w:val="%9."/>
      <w:lvlJc w:val="right"/>
      <w:pPr>
        <w:ind w:left="7964" w:hanging="180"/>
      </w:pPr>
    </w:lvl>
  </w:abstractNum>
  <w:abstractNum w:abstractNumId="16" w15:restartNumberingAfterBreak="0">
    <w:nsid w:val="0E3B1B91"/>
    <w:multiLevelType w:val="hybridMultilevel"/>
    <w:tmpl w:val="B5727F2E"/>
    <w:lvl w:ilvl="0" w:tplc="FFFFFFFF">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E7F4E89"/>
    <w:multiLevelType w:val="multilevel"/>
    <w:tmpl w:val="45509892"/>
    <w:styleLink w:val="ListLgl"/>
    <w:lvl w:ilvl="0">
      <w:start w:val="1"/>
      <w:numFmt w:val="decimal"/>
      <w:pStyle w:val="NumLgl1LDS"/>
      <w:lvlText w:val="%1."/>
      <w:lvlJc w:val="left"/>
      <w:pPr>
        <w:ind w:left="851" w:hanging="851"/>
      </w:pPr>
      <w:rPr>
        <w:rFonts w:ascii="Arial" w:hAnsi="Arial" w:cs="Arial" w:hint="default"/>
      </w:rPr>
    </w:lvl>
    <w:lvl w:ilvl="1">
      <w:start w:val="1"/>
      <w:numFmt w:val="decimal"/>
      <w:pStyle w:val="NumLgl2LDS"/>
      <w:lvlText w:val="%1.%2"/>
      <w:lvlJc w:val="left"/>
      <w:pPr>
        <w:ind w:left="851" w:hanging="851"/>
      </w:pPr>
      <w:rPr>
        <w:rFonts w:hint="default"/>
      </w:rPr>
    </w:lvl>
    <w:lvl w:ilvl="2">
      <w:start w:val="1"/>
      <w:numFmt w:val="lowerLetter"/>
      <w:pStyle w:val="NumLgl3LDS"/>
      <w:lvlText w:val="(%3)"/>
      <w:lvlJc w:val="left"/>
      <w:pPr>
        <w:ind w:left="1418" w:hanging="567"/>
      </w:pPr>
      <w:rPr>
        <w:rFonts w:hint="default"/>
      </w:rPr>
    </w:lvl>
    <w:lvl w:ilvl="3">
      <w:start w:val="1"/>
      <w:numFmt w:val="lowerRoman"/>
      <w:pStyle w:val="NumLgl4LDS"/>
      <w:lvlText w:val="(%4)"/>
      <w:lvlJc w:val="left"/>
      <w:pPr>
        <w:ind w:left="1985" w:hanging="567"/>
      </w:pPr>
      <w:rPr>
        <w:rFonts w:hint="default"/>
      </w:rPr>
    </w:lvl>
    <w:lvl w:ilvl="4">
      <w:start w:val="1"/>
      <w:numFmt w:val="upperLetter"/>
      <w:pStyle w:val="NumLgl5LDS"/>
      <w:lvlText w:val="(%5)"/>
      <w:lvlJc w:val="left"/>
      <w:pPr>
        <w:ind w:left="255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FC831C4"/>
    <w:multiLevelType w:val="multilevel"/>
    <w:tmpl w:val="C08084CE"/>
    <w:styleLink w:val="ItemListHeading"/>
    <w:lvl w:ilvl="0">
      <w:start w:val="1"/>
      <w:numFmt w:val="decimal"/>
      <w:pStyle w:val="Item"/>
      <w:suff w:val="nothing"/>
      <w:lvlText w:val="Item %1"/>
      <w:lvlJc w:val="left"/>
      <w:pPr>
        <w:ind w:left="0" w:firstLine="0"/>
      </w:pPr>
      <w:rPr>
        <w:rFonts w:ascii="Arial" w:hAnsi="Arial" w:hint="default"/>
        <w:b/>
        <w:sz w:val="20"/>
      </w:rPr>
    </w:lvl>
    <w:lvl w:ilvl="1">
      <w:start w:val="1"/>
      <w:numFmt w:val="upperLetter"/>
      <w:pStyle w:val="ItemSub"/>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07F05D4"/>
    <w:multiLevelType w:val="multilevel"/>
    <w:tmpl w:val="0C09001D"/>
    <w:styleLink w:val="1ai1"/>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A265184"/>
    <w:multiLevelType w:val="multilevel"/>
    <w:tmpl w:val="7562A7FC"/>
    <w:lvl w:ilvl="0">
      <w:start w:val="1"/>
      <w:numFmt w:val="decimal"/>
      <w:pStyle w:val="legalSchedule"/>
      <w:lvlText w:val="Schedule %1"/>
      <w:lvlJc w:val="left"/>
      <w:pPr>
        <w:ind w:left="2552" w:hanging="2552"/>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1C046C21"/>
    <w:multiLevelType w:val="multilevel"/>
    <w:tmpl w:val="4FA6FBCE"/>
    <w:styleLink w:val="ScheduleListNumbers"/>
    <w:lvl w:ilvl="0">
      <w:start w:val="1"/>
      <w:numFmt w:val="decimal"/>
      <w:pStyle w:val="SchedulePageHeading"/>
      <w:lvlText w:val="Schedule %1"/>
      <w:lvlJc w:val="left"/>
      <w:pPr>
        <w:tabs>
          <w:tab w:val="num" w:pos="2268"/>
        </w:tabs>
        <w:ind w:left="2268" w:hanging="2268"/>
      </w:pPr>
      <w:rPr>
        <w:rFonts w:hint="default"/>
      </w:rPr>
    </w:lvl>
    <w:lvl w:ilvl="1">
      <w:start w:val="1"/>
      <w:numFmt w:val="decimal"/>
      <w:pStyle w:val="SchedH1"/>
      <w:lvlText w:val="%2"/>
      <w:lvlJc w:val="left"/>
      <w:pPr>
        <w:tabs>
          <w:tab w:val="num" w:pos="737"/>
        </w:tabs>
        <w:ind w:left="0" w:firstLine="0"/>
      </w:pPr>
      <w:rPr>
        <w:rFonts w:hint="default"/>
      </w:rPr>
    </w:lvl>
    <w:lvl w:ilvl="2">
      <w:start w:val="1"/>
      <w:numFmt w:val="decimal"/>
      <w:pStyle w:val="SchedH2"/>
      <w:lvlText w:val="%2.%3"/>
      <w:lvlJc w:val="left"/>
      <w:pPr>
        <w:tabs>
          <w:tab w:val="num" w:pos="737"/>
        </w:tabs>
        <w:ind w:left="737" w:hanging="737"/>
      </w:pPr>
      <w:rPr>
        <w:rFonts w:hint="default"/>
      </w:rPr>
    </w:lvl>
    <w:lvl w:ilvl="3">
      <w:start w:val="1"/>
      <w:numFmt w:val="lowerLetter"/>
      <w:pStyle w:val="SchedH3"/>
      <w:lvlText w:val="(%4)"/>
      <w:lvlJc w:val="left"/>
      <w:pPr>
        <w:tabs>
          <w:tab w:val="num" w:pos="1474"/>
        </w:tabs>
        <w:ind w:left="1474" w:hanging="737"/>
      </w:pPr>
      <w:rPr>
        <w:rFonts w:hint="default"/>
      </w:rPr>
    </w:lvl>
    <w:lvl w:ilvl="4">
      <w:start w:val="1"/>
      <w:numFmt w:val="lowerRoman"/>
      <w:pStyle w:val="SchedH4"/>
      <w:lvlText w:val="(%5)"/>
      <w:lvlJc w:val="left"/>
      <w:pPr>
        <w:tabs>
          <w:tab w:val="num" w:pos="2211"/>
        </w:tabs>
        <w:ind w:left="2211"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3CE5AA5"/>
    <w:multiLevelType w:val="singleLevel"/>
    <w:tmpl w:val="3BF23702"/>
    <w:styleLink w:val="ItemListHeading1"/>
    <w:lvl w:ilvl="0">
      <w:start w:val="1"/>
      <w:numFmt w:val="decimal"/>
      <w:pStyle w:val="ListNumberTable"/>
      <w:lvlText w:val="%1"/>
      <w:lvlJc w:val="left"/>
      <w:pPr>
        <w:tabs>
          <w:tab w:val="left" w:pos="567"/>
        </w:tabs>
        <w:ind w:left="567"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abstractNum>
  <w:abstractNum w:abstractNumId="23" w15:restartNumberingAfterBreak="0">
    <w:nsid w:val="278550F3"/>
    <w:multiLevelType w:val="hybridMultilevel"/>
    <w:tmpl w:val="8EECA014"/>
    <w:lvl w:ilvl="0" w:tplc="FFFFFFFF">
      <w:start w:val="1"/>
      <w:numFmt w:val="lowerLetter"/>
      <w:lvlText w:val="(%1)"/>
      <w:lvlJc w:val="left"/>
      <w:pPr>
        <w:ind w:left="2204" w:hanging="360"/>
      </w:pPr>
      <w:rPr>
        <w:rFonts w:hint="default"/>
        <w:sz w:val="18"/>
        <w:szCs w:val="20"/>
      </w:rPr>
    </w:lvl>
    <w:lvl w:ilvl="1" w:tplc="FFFFFFFF" w:tentative="1">
      <w:start w:val="1"/>
      <w:numFmt w:val="lowerLetter"/>
      <w:lvlText w:val="%2."/>
      <w:lvlJc w:val="left"/>
      <w:pPr>
        <w:ind w:left="2924" w:hanging="360"/>
      </w:pPr>
    </w:lvl>
    <w:lvl w:ilvl="2" w:tplc="FFFFFFFF" w:tentative="1">
      <w:start w:val="1"/>
      <w:numFmt w:val="lowerRoman"/>
      <w:lvlText w:val="%3."/>
      <w:lvlJc w:val="right"/>
      <w:pPr>
        <w:ind w:left="3644" w:hanging="180"/>
      </w:pPr>
    </w:lvl>
    <w:lvl w:ilvl="3" w:tplc="FFFFFFFF" w:tentative="1">
      <w:start w:val="1"/>
      <w:numFmt w:val="decimal"/>
      <w:lvlText w:val="%4."/>
      <w:lvlJc w:val="left"/>
      <w:pPr>
        <w:ind w:left="4364" w:hanging="360"/>
      </w:pPr>
    </w:lvl>
    <w:lvl w:ilvl="4" w:tplc="FFFFFFFF" w:tentative="1">
      <w:start w:val="1"/>
      <w:numFmt w:val="lowerLetter"/>
      <w:lvlText w:val="%5."/>
      <w:lvlJc w:val="left"/>
      <w:pPr>
        <w:ind w:left="5084" w:hanging="360"/>
      </w:pPr>
    </w:lvl>
    <w:lvl w:ilvl="5" w:tplc="FFFFFFFF" w:tentative="1">
      <w:start w:val="1"/>
      <w:numFmt w:val="lowerRoman"/>
      <w:lvlText w:val="%6."/>
      <w:lvlJc w:val="right"/>
      <w:pPr>
        <w:ind w:left="5804" w:hanging="180"/>
      </w:pPr>
    </w:lvl>
    <w:lvl w:ilvl="6" w:tplc="FFFFFFFF" w:tentative="1">
      <w:start w:val="1"/>
      <w:numFmt w:val="decimal"/>
      <w:lvlText w:val="%7."/>
      <w:lvlJc w:val="left"/>
      <w:pPr>
        <w:ind w:left="6524" w:hanging="360"/>
      </w:pPr>
    </w:lvl>
    <w:lvl w:ilvl="7" w:tplc="FFFFFFFF" w:tentative="1">
      <w:start w:val="1"/>
      <w:numFmt w:val="lowerLetter"/>
      <w:lvlText w:val="%8."/>
      <w:lvlJc w:val="left"/>
      <w:pPr>
        <w:ind w:left="7244" w:hanging="360"/>
      </w:pPr>
    </w:lvl>
    <w:lvl w:ilvl="8" w:tplc="FFFFFFFF" w:tentative="1">
      <w:start w:val="1"/>
      <w:numFmt w:val="lowerRoman"/>
      <w:lvlText w:val="%9."/>
      <w:lvlJc w:val="right"/>
      <w:pPr>
        <w:ind w:left="7964" w:hanging="180"/>
      </w:pPr>
    </w:lvl>
  </w:abstractNum>
  <w:abstractNum w:abstractNumId="24" w15:restartNumberingAfterBreak="0">
    <w:nsid w:val="27FF10DC"/>
    <w:multiLevelType w:val="multilevel"/>
    <w:tmpl w:val="6E589150"/>
    <w:styleLink w:val="RecitalsListHeading"/>
    <w:lvl w:ilvl="0">
      <w:start w:val="1"/>
      <w:numFmt w:val="upperLetter"/>
      <w:pStyle w:val="Recitals"/>
      <w:lvlText w:val="%1"/>
      <w:lvlJc w:val="left"/>
      <w:pPr>
        <w:tabs>
          <w:tab w:val="num" w:pos="737"/>
        </w:tabs>
        <w:ind w:left="737" w:hanging="737"/>
      </w:pPr>
      <w:rPr>
        <w:rFonts w:ascii="Arial" w:hAnsi="Arial" w:hint="default"/>
        <w:b/>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296E1CAA"/>
    <w:multiLevelType w:val="hybridMultilevel"/>
    <w:tmpl w:val="A176B2A4"/>
    <w:lvl w:ilvl="0" w:tplc="7F1CB48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A32683D"/>
    <w:multiLevelType w:val="multilevel"/>
    <w:tmpl w:val="EBF83E26"/>
    <w:lvl w:ilvl="0">
      <w:start w:val="1"/>
      <w:numFmt w:val="bullet"/>
      <w:pStyle w:val="ListBulletlvl1"/>
      <w:lvlText w:val=""/>
      <w:lvlJc w:val="left"/>
      <w:pPr>
        <w:ind w:left="284" w:hanging="284"/>
      </w:pPr>
      <w:rPr>
        <w:rFonts w:ascii="Wingdings" w:hAnsi="Wingdings" w:hint="default"/>
        <w:color w:val="C0504D" w:themeColor="accent2"/>
      </w:rPr>
    </w:lvl>
    <w:lvl w:ilvl="1">
      <w:start w:val="1"/>
      <w:numFmt w:val="bullet"/>
      <w:pStyle w:val="ListBulletlvl2"/>
      <w:lvlText w:val="−"/>
      <w:lvlJc w:val="left"/>
      <w:pPr>
        <w:ind w:left="568" w:hanging="284"/>
      </w:pPr>
      <w:rPr>
        <w:rFonts w:ascii="Arial" w:hAnsi="Arial" w:hint="default"/>
        <w:color w:val="C0504D" w:themeColor="accent2"/>
      </w:rPr>
    </w:lvl>
    <w:lvl w:ilvl="2">
      <w:start w:val="1"/>
      <w:numFmt w:val="bullet"/>
      <w:pStyle w:val="ListBulletlvl3"/>
      <w:lvlText w:val=""/>
      <w:lvlJc w:val="left"/>
      <w:pPr>
        <w:ind w:left="852" w:hanging="284"/>
      </w:pPr>
      <w:rPr>
        <w:rFonts w:ascii="Wingdings 2" w:hAnsi="Wingdings 2" w:hint="default"/>
        <w:color w:val="C0504D" w:themeColor="accent2"/>
      </w:rPr>
    </w:lvl>
    <w:lvl w:ilvl="3">
      <w:start w:val="1"/>
      <w:numFmt w:val="bullet"/>
      <w:lvlText w:val=""/>
      <w:lvlJc w:val="left"/>
      <w:pPr>
        <w:tabs>
          <w:tab w:val="num" w:pos="1419"/>
        </w:tabs>
        <w:ind w:left="1136" w:hanging="284"/>
      </w:pPr>
      <w:rPr>
        <w:rFonts w:ascii="Symbol" w:hAnsi="Symbol" w:hint="default"/>
      </w:rPr>
    </w:lvl>
    <w:lvl w:ilvl="4">
      <w:start w:val="1"/>
      <w:numFmt w:val="bullet"/>
      <w:lvlText w:val="o"/>
      <w:lvlJc w:val="left"/>
      <w:pPr>
        <w:tabs>
          <w:tab w:val="num" w:pos="1703"/>
        </w:tabs>
        <w:ind w:left="1420" w:hanging="284"/>
      </w:pPr>
      <w:rPr>
        <w:rFonts w:ascii="Courier New" w:hAnsi="Courier New" w:cs="Courier New" w:hint="default"/>
      </w:rPr>
    </w:lvl>
    <w:lvl w:ilvl="5">
      <w:start w:val="1"/>
      <w:numFmt w:val="bullet"/>
      <w:lvlText w:val=""/>
      <w:lvlJc w:val="left"/>
      <w:pPr>
        <w:tabs>
          <w:tab w:val="num" w:pos="1987"/>
        </w:tabs>
        <w:ind w:left="1704" w:hanging="284"/>
      </w:pPr>
      <w:rPr>
        <w:rFonts w:ascii="Wingdings" w:hAnsi="Wingdings" w:hint="default"/>
      </w:rPr>
    </w:lvl>
    <w:lvl w:ilvl="6">
      <w:start w:val="1"/>
      <w:numFmt w:val="bullet"/>
      <w:lvlText w:val=""/>
      <w:lvlJc w:val="left"/>
      <w:pPr>
        <w:tabs>
          <w:tab w:val="num" w:pos="2271"/>
        </w:tabs>
        <w:ind w:left="1988" w:hanging="284"/>
      </w:pPr>
      <w:rPr>
        <w:rFonts w:ascii="Symbol" w:hAnsi="Symbol" w:hint="default"/>
      </w:rPr>
    </w:lvl>
    <w:lvl w:ilvl="7">
      <w:start w:val="1"/>
      <w:numFmt w:val="bullet"/>
      <w:lvlText w:val="o"/>
      <w:lvlJc w:val="left"/>
      <w:pPr>
        <w:tabs>
          <w:tab w:val="num" w:pos="2555"/>
        </w:tabs>
        <w:ind w:left="2272" w:hanging="284"/>
      </w:pPr>
      <w:rPr>
        <w:rFonts w:ascii="Courier New" w:hAnsi="Courier New" w:cs="Courier New" w:hint="default"/>
      </w:rPr>
    </w:lvl>
    <w:lvl w:ilvl="8">
      <w:start w:val="1"/>
      <w:numFmt w:val="bullet"/>
      <w:lvlText w:val=""/>
      <w:lvlJc w:val="left"/>
      <w:pPr>
        <w:tabs>
          <w:tab w:val="num" w:pos="2839"/>
        </w:tabs>
        <w:ind w:left="2556" w:hanging="284"/>
      </w:pPr>
      <w:rPr>
        <w:rFonts w:ascii="Wingdings" w:hAnsi="Wingdings" w:hint="default"/>
      </w:rPr>
    </w:lvl>
  </w:abstractNum>
  <w:abstractNum w:abstractNumId="27" w15:restartNumberingAfterBreak="0">
    <w:nsid w:val="2E7D2E6C"/>
    <w:multiLevelType w:val="singleLevel"/>
    <w:tmpl w:val="08D664FA"/>
    <w:lvl w:ilvl="0">
      <w:start w:val="1"/>
      <w:numFmt w:val="lowerLetter"/>
      <w:lvlText w:val="(%1)"/>
      <w:lvlJc w:val="left"/>
      <w:pPr>
        <w:tabs>
          <w:tab w:val="num" w:pos="737"/>
        </w:tabs>
        <w:ind w:left="737" w:hanging="737"/>
      </w:pPr>
      <w:rPr>
        <w:rFonts w:hint="default"/>
      </w:rPr>
    </w:lvl>
  </w:abstractNum>
  <w:abstractNum w:abstractNumId="28" w15:restartNumberingAfterBreak="0">
    <w:nsid w:val="312E6F2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54420B6"/>
    <w:multiLevelType w:val="multilevel"/>
    <w:tmpl w:val="54000904"/>
    <w:styleLink w:val="ListItemsLDS"/>
    <w:lvl w:ilvl="0">
      <w:start w:val="1"/>
      <w:numFmt w:val="decimal"/>
      <w:lvlText w:val="Item %1"/>
      <w:lvlJc w:val="left"/>
      <w:pPr>
        <w:ind w:left="851" w:hanging="851"/>
      </w:pPr>
      <w:rPr>
        <w:rFonts w:ascii="Arial" w:hAnsi="Arial" w:cs="Arial" w:hint="default"/>
      </w:rPr>
    </w:lvl>
    <w:lvl w:ilvl="1">
      <w:start w:val="1"/>
      <w:numFmt w:val="decimal"/>
      <w:lvlText w:val="%1.%2"/>
      <w:lvlJc w:val="left"/>
      <w:pPr>
        <w:ind w:left="851" w:hanging="851"/>
      </w:pPr>
      <w:rPr>
        <w:rFonts w:hint="default"/>
      </w:rPr>
    </w:lvl>
    <w:lvl w:ilvl="2">
      <w:start w:val="1"/>
      <w:numFmt w:val="lowerLetter"/>
      <w:lvlText w:val="(%3)"/>
      <w:lvlJc w:val="left"/>
      <w:pPr>
        <w:ind w:left="1418" w:hanging="567"/>
      </w:pPr>
      <w:rPr>
        <w:rFonts w:hint="default"/>
      </w:rPr>
    </w:lvl>
    <w:lvl w:ilvl="3">
      <w:start w:val="1"/>
      <w:numFmt w:val="lowerRoman"/>
      <w:lvlText w:val="(%4)"/>
      <w:lvlJc w:val="left"/>
      <w:pPr>
        <w:ind w:left="2268" w:hanging="850"/>
      </w:pPr>
      <w:rPr>
        <w:rFonts w:hint="default"/>
      </w:rPr>
    </w:lvl>
    <w:lvl w:ilvl="4">
      <w:start w:val="1"/>
      <w:numFmt w:val="upperLetter"/>
      <w:lvlText w:val="(%5)"/>
      <w:lvlJc w:val="left"/>
      <w:pPr>
        <w:ind w:left="3119"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9663DE0"/>
    <w:multiLevelType w:val="hybridMultilevel"/>
    <w:tmpl w:val="8DA80C4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D5A7286"/>
    <w:multiLevelType w:val="multilevel"/>
    <w:tmpl w:val="3B546826"/>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b w:val="0"/>
        <w:i w:val="0"/>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5"/>
        </w:tabs>
        <w:ind w:left="2835" w:hanging="709"/>
      </w:pPr>
      <w:rPr>
        <w:rFonts w:hint="default"/>
      </w:rPr>
    </w:lvl>
    <w:lvl w:ilvl="5">
      <w:start w:val="1"/>
      <w:numFmt w:val="decimal"/>
      <w:pStyle w:val="Schedule5"/>
      <w:lvlText w:val="(%6)"/>
      <w:lvlJc w:val="left"/>
      <w:pPr>
        <w:tabs>
          <w:tab w:val="num" w:pos="3544"/>
        </w:tabs>
        <w:ind w:left="3544" w:hanging="709"/>
      </w:pPr>
      <w:rPr>
        <w:rFonts w:hint="default"/>
      </w:rPr>
    </w:lvl>
    <w:lvl w:ilvl="6">
      <w:start w:val="2"/>
      <w:numFmt w:val="decimal"/>
      <w:lvlText w:val="%7."/>
      <w:lvlJc w:val="left"/>
      <w:pPr>
        <w:tabs>
          <w:tab w:val="num" w:pos="709"/>
        </w:tabs>
        <w:ind w:left="709" w:hanging="709"/>
      </w:pPr>
      <w:rPr>
        <w:rFonts w:hint="default"/>
      </w:rPr>
    </w:lvl>
    <w:lvl w:ilvl="7">
      <w:start w:val="1"/>
      <w:numFmt w:val="lowerLetter"/>
      <w:lvlText w:val="(%8)"/>
      <w:lvlJc w:val="left"/>
      <w:pPr>
        <w:tabs>
          <w:tab w:val="num" w:pos="1418"/>
        </w:tabs>
        <w:ind w:left="1418" w:hanging="709"/>
      </w:pPr>
      <w:rPr>
        <w:rFonts w:hint="default"/>
      </w:rPr>
    </w:lvl>
    <w:lvl w:ilvl="8">
      <w:start w:val="1"/>
      <w:numFmt w:val="lowerRoman"/>
      <w:lvlText w:val="(%9)"/>
      <w:lvlJc w:val="left"/>
      <w:pPr>
        <w:tabs>
          <w:tab w:val="num" w:pos="2126"/>
        </w:tabs>
        <w:ind w:left="2126" w:hanging="708"/>
      </w:pPr>
      <w:rPr>
        <w:rFonts w:hint="default"/>
      </w:rPr>
    </w:lvl>
  </w:abstractNum>
  <w:abstractNum w:abstractNumId="32" w15:restartNumberingAfterBreak="0">
    <w:nsid w:val="3D8F4CC3"/>
    <w:multiLevelType w:val="multilevel"/>
    <w:tmpl w:val="FF82E842"/>
    <w:lvl w:ilvl="0">
      <w:start w:val="1"/>
      <w:numFmt w:val="decimal"/>
      <w:pStyle w:val="RedHeading1"/>
      <w:lvlText w:val="%1"/>
      <w:lvlJc w:val="left"/>
      <w:pPr>
        <w:tabs>
          <w:tab w:val="num" w:pos="709"/>
        </w:tabs>
        <w:ind w:left="709" w:hanging="709"/>
      </w:pPr>
      <w:rPr>
        <w:rFonts w:ascii="Times New Roman" w:hAnsi="Times New Roman"/>
        <w:b w:val="0"/>
        <w:i w:val="0"/>
        <w:sz w:val="24"/>
      </w:rPr>
    </w:lvl>
    <w:lvl w:ilvl="1">
      <w:start w:val="1"/>
      <w:numFmt w:val="decimal"/>
      <w:pStyle w:val="RedHeading2"/>
      <w:lvlText w:val="%1.%2"/>
      <w:lvlJc w:val="left"/>
      <w:pPr>
        <w:tabs>
          <w:tab w:val="num" w:pos="1417"/>
        </w:tabs>
        <w:ind w:left="1417" w:hanging="708"/>
      </w:pPr>
      <w:rPr>
        <w:rFonts w:ascii="Times New Roman" w:hAnsi="Times New Roman"/>
        <w:b w:val="0"/>
        <w:i w:val="0"/>
        <w:sz w:val="24"/>
      </w:rPr>
    </w:lvl>
    <w:lvl w:ilvl="2">
      <w:start w:val="1"/>
      <w:numFmt w:val="lowerLetter"/>
      <w:pStyle w:val="RedHeading3"/>
      <w:lvlText w:val="(%3)"/>
      <w:lvlJc w:val="left"/>
      <w:pPr>
        <w:tabs>
          <w:tab w:val="num" w:pos="2126"/>
        </w:tabs>
        <w:ind w:left="2126" w:hanging="709"/>
      </w:pPr>
      <w:rPr>
        <w:rFonts w:ascii="Times New Roman" w:hAnsi="Times New Roman"/>
        <w:b w:val="0"/>
        <w:i w:val="0"/>
        <w:sz w:val="24"/>
      </w:rPr>
    </w:lvl>
    <w:lvl w:ilvl="3">
      <w:start w:val="1"/>
      <w:numFmt w:val="decimal"/>
      <w:pStyle w:val="RedHeading4"/>
      <w:lvlText w:val="(%4)"/>
      <w:lvlJc w:val="left"/>
      <w:pPr>
        <w:tabs>
          <w:tab w:val="num" w:pos="2835"/>
        </w:tabs>
        <w:ind w:left="2835" w:hanging="709"/>
      </w:pPr>
      <w:rPr>
        <w:rFonts w:ascii="Times New Roman" w:hAnsi="Times New Roman"/>
        <w:b w:val="0"/>
        <w:i w:val="0"/>
        <w:sz w:val="24"/>
      </w:rPr>
    </w:lvl>
    <w:lvl w:ilvl="4">
      <w:start w:val="1"/>
      <w:numFmt w:val="upperLetter"/>
      <w:pStyle w:val="RedHeading5"/>
      <w:lvlText w:val="(%5)"/>
      <w:lvlJc w:val="left"/>
      <w:pPr>
        <w:tabs>
          <w:tab w:val="num" w:pos="3543"/>
        </w:tabs>
        <w:ind w:left="3543" w:hanging="708"/>
      </w:pPr>
      <w:rPr>
        <w:rFonts w:ascii="Times New Roman" w:hAnsi="Times New Roman"/>
        <w:b w:val="0"/>
        <w:i w:val="0"/>
        <w:sz w:val="24"/>
      </w:rPr>
    </w:lvl>
    <w:lvl w:ilvl="5">
      <w:start w:val="1"/>
      <w:numFmt w:val="lowerRoman"/>
      <w:pStyle w:val="RedHeading6"/>
      <w:lvlText w:val="(%6)"/>
      <w:lvlJc w:val="left"/>
      <w:pPr>
        <w:tabs>
          <w:tab w:val="num" w:pos="4252"/>
        </w:tabs>
        <w:ind w:left="4252" w:hanging="709"/>
      </w:pPr>
      <w:rPr>
        <w:rFonts w:ascii="Times New Roman" w:hAnsi="Times New Roman"/>
        <w:b w:val="0"/>
        <w:i w:val="0"/>
        <w:sz w:val="24"/>
      </w:rPr>
    </w:lvl>
    <w:lvl w:ilvl="6">
      <w:start w:val="1"/>
      <w:numFmt w:val="none"/>
      <w:pStyle w:val="RedHeading7"/>
      <w:lvlText w:val="%7"/>
      <w:lvlJc w:val="left"/>
      <w:pPr>
        <w:tabs>
          <w:tab w:val="num" w:pos="1417"/>
        </w:tabs>
        <w:ind w:left="1417" w:hanging="708"/>
      </w:pPr>
      <w:rPr>
        <w:rFonts w:ascii="Times New Roman" w:hAnsi="Times New Roman"/>
        <w:b w:val="0"/>
        <w:i w:val="0"/>
        <w:sz w:val="24"/>
      </w:rPr>
    </w:lvl>
    <w:lvl w:ilvl="7">
      <w:start w:val="1"/>
      <w:numFmt w:val="none"/>
      <w:pStyle w:val="RedHeading8"/>
      <w:lvlText w:val="%8"/>
      <w:lvlJc w:val="left"/>
      <w:pPr>
        <w:tabs>
          <w:tab w:val="num" w:pos="1417"/>
        </w:tabs>
        <w:ind w:left="1417" w:hanging="708"/>
      </w:pPr>
      <w:rPr>
        <w:rFonts w:ascii="Times New Roman" w:hAnsi="Times New Roman"/>
        <w:b w:val="0"/>
        <w:i w:val="0"/>
        <w:sz w:val="24"/>
      </w:rPr>
    </w:lvl>
    <w:lvl w:ilvl="8">
      <w:start w:val="1"/>
      <w:numFmt w:val="none"/>
      <w:pStyle w:val="RedHeading9"/>
      <w:lvlText w:val="%9"/>
      <w:lvlJc w:val="left"/>
      <w:pPr>
        <w:tabs>
          <w:tab w:val="num" w:pos="1417"/>
        </w:tabs>
        <w:ind w:left="1417" w:hanging="708"/>
      </w:pPr>
      <w:rPr>
        <w:rFonts w:ascii="Times New Roman" w:hAnsi="Times New Roman"/>
        <w:b w:val="0"/>
        <w:i w:val="0"/>
        <w:sz w:val="24"/>
      </w:rPr>
    </w:lvl>
  </w:abstractNum>
  <w:abstractNum w:abstractNumId="33" w15:restartNumberingAfterBreak="0">
    <w:nsid w:val="3EE526C6"/>
    <w:multiLevelType w:val="multilevel"/>
    <w:tmpl w:val="B49075D6"/>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ind w:left="1361" w:hanging="681"/>
      </w:pPr>
      <w:rPr>
        <w:rFonts w:hint="default"/>
      </w:rPr>
    </w:lvl>
    <w:lvl w:ilvl="2">
      <w:start w:val="1"/>
      <w:numFmt w:val="lowerRoman"/>
      <w:pStyle w:val="DefinitionL3"/>
      <w:lvlText w:val="(%3)"/>
      <w:lvlJc w:val="left"/>
      <w:pPr>
        <w:tabs>
          <w:tab w:val="num" w:pos="2041"/>
        </w:tabs>
        <w:ind w:left="2041" w:hanging="680"/>
      </w:pPr>
      <w:rPr>
        <w:rFonts w:hint="default"/>
      </w:rPr>
    </w:lvl>
    <w:lvl w:ilvl="3">
      <w:start w:val="1"/>
      <w:numFmt w:val="upperLetter"/>
      <w:pStyle w:val="DefinitionL4"/>
      <w:lvlText w:val="(%4)"/>
      <w:lvlJc w:val="left"/>
      <w:pPr>
        <w:tabs>
          <w:tab w:val="num" w:pos="2722"/>
        </w:tabs>
        <w:ind w:left="2722" w:hanging="681"/>
      </w:pPr>
      <w:rPr>
        <w:rFonts w:hint="default"/>
      </w:rPr>
    </w:lvl>
    <w:lvl w:ilvl="4">
      <w:start w:val="1"/>
      <w:numFmt w:val="upperRoman"/>
      <w:pStyle w:val="DefinitionL5"/>
      <w:lvlText w:val="(%5)"/>
      <w:lvlJc w:val="left"/>
      <w:pPr>
        <w:tabs>
          <w:tab w:val="num" w:pos="3402"/>
        </w:tabs>
        <w:ind w:left="3402" w:hanging="680"/>
      </w:pPr>
      <w:rPr>
        <w:rFonts w:hint="default"/>
      </w:rPr>
    </w:lvl>
    <w:lvl w:ilvl="5">
      <w:start w:val="1"/>
      <w:numFmt w:val="decimal"/>
      <w:pStyle w:val="DefinitionL6"/>
      <w:lvlText w:val="(%6)"/>
      <w:lvlJc w:val="left"/>
      <w:pPr>
        <w:tabs>
          <w:tab w:val="num" w:pos="4082"/>
        </w:tabs>
        <w:ind w:left="4082" w:hanging="680"/>
      </w:pPr>
      <w:rPr>
        <w:rFonts w:hint="default"/>
      </w:rPr>
    </w:lvl>
    <w:lvl w:ilvl="6">
      <w:start w:val="1"/>
      <w:numFmt w:val="upperLetter"/>
      <w:pStyle w:val="DefinitionL7"/>
      <w:lvlText w:val="%7."/>
      <w:lvlJc w:val="left"/>
      <w:pPr>
        <w:tabs>
          <w:tab w:val="num" w:pos="4763"/>
        </w:tabs>
        <w:ind w:left="4763" w:hanging="681"/>
      </w:pPr>
      <w:rPr>
        <w:rFonts w:hint="default"/>
      </w:rPr>
    </w:lvl>
    <w:lvl w:ilvl="7">
      <w:start w:val="1"/>
      <w:numFmt w:val="upperRoman"/>
      <w:pStyle w:val="DefinitionL8"/>
      <w:lvlText w:val="%8."/>
      <w:lvlJc w:val="left"/>
      <w:pPr>
        <w:tabs>
          <w:tab w:val="num" w:pos="5443"/>
        </w:tabs>
        <w:ind w:left="5443" w:hanging="680"/>
      </w:pPr>
      <w:rPr>
        <w:rFonts w:hint="default"/>
      </w:rPr>
    </w:lvl>
    <w:lvl w:ilvl="8">
      <w:start w:val="1"/>
      <w:numFmt w:val="lowerLetter"/>
      <w:pStyle w:val="DefinitionL9"/>
      <w:lvlText w:val="%9."/>
      <w:lvlJc w:val="left"/>
      <w:pPr>
        <w:tabs>
          <w:tab w:val="num" w:pos="6124"/>
        </w:tabs>
        <w:ind w:left="6124" w:hanging="681"/>
      </w:pPr>
      <w:rPr>
        <w:rFonts w:hint="default"/>
      </w:rPr>
    </w:lvl>
  </w:abstractNum>
  <w:abstractNum w:abstractNumId="34" w15:restartNumberingAfterBreak="0">
    <w:nsid w:val="401D5F41"/>
    <w:multiLevelType w:val="multilevel"/>
    <w:tmpl w:val="CF72CDD8"/>
    <w:styleLink w:val="MELegal"/>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pStyle w:val="MELegal3"/>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decimal"/>
      <w:pStyle w:val="MELegal7"/>
      <w:lvlText w:val="(%7)"/>
      <w:lvlJc w:val="left"/>
      <w:pPr>
        <w:tabs>
          <w:tab w:val="num" w:pos="4082"/>
        </w:tabs>
        <w:ind w:left="4082" w:hanging="680"/>
      </w:pPr>
      <w:rPr>
        <w:rFonts w:hint="default"/>
      </w:rPr>
    </w:lvl>
    <w:lvl w:ilvl="7">
      <w:start w:val="1"/>
      <w:numFmt w:val="upperLetter"/>
      <w:pStyle w:val="MELegal8"/>
      <w:lvlText w:val="%8."/>
      <w:lvlJc w:val="left"/>
      <w:pPr>
        <w:tabs>
          <w:tab w:val="num" w:pos="4763"/>
        </w:tabs>
        <w:ind w:left="4763" w:hanging="681"/>
      </w:pPr>
      <w:rPr>
        <w:rFonts w:hint="default"/>
      </w:rPr>
    </w:lvl>
    <w:lvl w:ilvl="8">
      <w:start w:val="1"/>
      <w:numFmt w:val="upperRoman"/>
      <w:pStyle w:val="MELegal9"/>
      <w:lvlText w:val="%9."/>
      <w:lvlJc w:val="left"/>
      <w:pPr>
        <w:tabs>
          <w:tab w:val="num" w:pos="5443"/>
        </w:tabs>
        <w:ind w:left="5443" w:hanging="680"/>
      </w:pPr>
      <w:rPr>
        <w:rFonts w:hint="default"/>
      </w:rPr>
    </w:lvl>
  </w:abstractNum>
  <w:abstractNum w:abstractNumId="35" w15:restartNumberingAfterBreak="0">
    <w:nsid w:val="439E57EB"/>
    <w:multiLevelType w:val="multilevel"/>
    <w:tmpl w:val="97FC3F78"/>
    <w:lvl w:ilvl="0">
      <w:start w:val="1"/>
      <w:numFmt w:val="decimal"/>
      <w:pStyle w:val="ScheduleL1"/>
      <w:suff w:val="nothing"/>
      <w:lvlText w:val="Schedule %1"/>
      <w:lvlJc w:val="left"/>
      <w:pPr>
        <w:ind w:left="0" w:firstLine="0"/>
      </w:pPr>
      <w:rPr>
        <w:rFonts w:hint="default"/>
      </w:rPr>
    </w:lvl>
    <w:lvl w:ilvl="1">
      <w:start w:val="1"/>
      <w:numFmt w:val="decimal"/>
      <w:pStyle w:val="ScheduleL2"/>
      <w:lvlText w:val="%2."/>
      <w:lvlJc w:val="left"/>
      <w:pPr>
        <w:ind w:left="680" w:hanging="680"/>
      </w:pPr>
      <w:rPr>
        <w:rFonts w:hint="default"/>
      </w:rPr>
    </w:lvl>
    <w:lvl w:ilvl="2">
      <w:start w:val="1"/>
      <w:numFmt w:val="decimal"/>
      <w:pStyle w:val="ScheduleL3"/>
      <w:lvlText w:val="%2.%3"/>
      <w:lvlJc w:val="left"/>
      <w:pPr>
        <w:ind w:left="680" w:hanging="680"/>
      </w:pPr>
      <w:rPr>
        <w:rFonts w:hint="default"/>
      </w:rPr>
    </w:lvl>
    <w:lvl w:ilvl="3">
      <w:start w:val="1"/>
      <w:numFmt w:val="lowerLetter"/>
      <w:pStyle w:val="ScheduleL4"/>
      <w:lvlText w:val="(%4)"/>
      <w:lvlJc w:val="left"/>
      <w:pPr>
        <w:ind w:left="1361" w:hanging="681"/>
      </w:pPr>
      <w:rPr>
        <w:rFonts w:hint="default"/>
      </w:rPr>
    </w:lvl>
    <w:lvl w:ilvl="4">
      <w:start w:val="1"/>
      <w:numFmt w:val="lowerRoman"/>
      <w:pStyle w:val="ScheduleL5"/>
      <w:lvlText w:val="(%5)"/>
      <w:lvlJc w:val="left"/>
      <w:pPr>
        <w:ind w:left="2041" w:hanging="680"/>
      </w:pPr>
      <w:rPr>
        <w:rFonts w:hint="default"/>
      </w:rPr>
    </w:lvl>
    <w:lvl w:ilvl="5">
      <w:start w:val="1"/>
      <w:numFmt w:val="upperLetter"/>
      <w:pStyle w:val="ScheduleL6"/>
      <w:lvlText w:val="(%6)"/>
      <w:lvlJc w:val="left"/>
      <w:pPr>
        <w:tabs>
          <w:tab w:val="num" w:pos="2722"/>
        </w:tabs>
        <w:ind w:left="2722" w:hanging="681"/>
      </w:pPr>
      <w:rPr>
        <w:rFonts w:hint="default"/>
      </w:rPr>
    </w:lvl>
    <w:lvl w:ilvl="6">
      <w:start w:val="1"/>
      <w:numFmt w:val="upperRoman"/>
      <w:pStyle w:val="ScheduleL7"/>
      <w:lvlText w:val="(%7)"/>
      <w:lvlJc w:val="left"/>
      <w:pPr>
        <w:tabs>
          <w:tab w:val="num" w:pos="3402"/>
        </w:tabs>
        <w:ind w:left="3402" w:hanging="680"/>
      </w:pPr>
      <w:rPr>
        <w:rFonts w:hint="default"/>
      </w:rPr>
    </w:lvl>
    <w:lvl w:ilvl="7">
      <w:start w:val="1"/>
      <w:numFmt w:val="decimal"/>
      <w:pStyle w:val="ScheduleL8"/>
      <w:lvlText w:val="(%8)"/>
      <w:lvlJc w:val="left"/>
      <w:pPr>
        <w:tabs>
          <w:tab w:val="num" w:pos="4082"/>
        </w:tabs>
        <w:ind w:left="4082" w:hanging="680"/>
      </w:pPr>
      <w:rPr>
        <w:rFonts w:hint="default"/>
      </w:rPr>
    </w:lvl>
    <w:lvl w:ilvl="8">
      <w:start w:val="1"/>
      <w:numFmt w:val="upperLetter"/>
      <w:pStyle w:val="ScheduleL9"/>
      <w:lvlText w:val="%9."/>
      <w:lvlJc w:val="left"/>
      <w:pPr>
        <w:tabs>
          <w:tab w:val="num" w:pos="4763"/>
        </w:tabs>
        <w:ind w:left="4763" w:hanging="681"/>
      </w:pPr>
      <w:rPr>
        <w:rFonts w:hint="default"/>
      </w:rPr>
    </w:lvl>
  </w:abstractNum>
  <w:abstractNum w:abstractNumId="36" w15:restartNumberingAfterBreak="0">
    <w:nsid w:val="460D24C2"/>
    <w:multiLevelType w:val="multilevel"/>
    <w:tmpl w:val="164E241E"/>
    <w:name w:val="GHdgNumbering"/>
    <w:styleLink w:val="GHdgNumbering"/>
    <w:lvl w:ilvl="0">
      <w:start w:val="1"/>
      <w:numFmt w:val="decimal"/>
      <w:pStyle w:val="GHdg1"/>
      <w:lvlText w:val="G%1"/>
      <w:lvlJc w:val="left"/>
      <w:pPr>
        <w:tabs>
          <w:tab w:val="num" w:pos="851"/>
        </w:tabs>
        <w:ind w:left="851" w:hanging="851"/>
      </w:pPr>
      <w:rPr>
        <w:rFonts w:hint="default"/>
      </w:rPr>
    </w:lvl>
    <w:lvl w:ilvl="1">
      <w:start w:val="1"/>
      <w:numFmt w:val="decimal"/>
      <w:pStyle w:val="GHdg2"/>
      <w:lvlText w:val="G%1.%2"/>
      <w:lvlJc w:val="left"/>
      <w:pPr>
        <w:tabs>
          <w:tab w:val="num" w:pos="851"/>
        </w:tabs>
        <w:ind w:left="851" w:hanging="851"/>
      </w:pPr>
      <w:rPr>
        <w:rFonts w:hint="default"/>
      </w:rPr>
    </w:lvl>
    <w:lvl w:ilvl="2">
      <w:start w:val="1"/>
      <w:numFmt w:val="lowerLetter"/>
      <w:pStyle w:val="GHdg3"/>
      <w:lvlText w:val="(%3)"/>
      <w:lvlJc w:val="left"/>
      <w:pPr>
        <w:tabs>
          <w:tab w:val="num" w:pos="1701"/>
        </w:tabs>
        <w:ind w:left="1701" w:hanging="850"/>
      </w:pPr>
      <w:rPr>
        <w:rFonts w:hint="default"/>
      </w:rPr>
    </w:lvl>
    <w:lvl w:ilvl="3">
      <w:start w:val="1"/>
      <w:numFmt w:val="decimal"/>
      <w:pStyle w:val="GHdg4"/>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7" w15:restartNumberingAfterBreak="0">
    <w:nsid w:val="48B15FC3"/>
    <w:multiLevelType w:val="multilevel"/>
    <w:tmpl w:val="0C09001F"/>
    <w:styleLink w:val="1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94C1D4F"/>
    <w:multiLevelType w:val="hybridMultilevel"/>
    <w:tmpl w:val="726AEF16"/>
    <w:lvl w:ilvl="0" w:tplc="CEB45556">
      <w:start w:val="1"/>
      <w:numFmt w:val="bullet"/>
      <w:pStyle w:val="Tablebullet"/>
      <w:lvlText w:val=""/>
      <w:lvlJc w:val="left"/>
      <w:pPr>
        <w:ind w:left="720" w:hanging="360"/>
      </w:pPr>
      <w:rPr>
        <w:rFonts w:ascii="Symbol" w:hAnsi="Symbol" w:hint="default"/>
      </w:rPr>
    </w:lvl>
    <w:lvl w:ilvl="1" w:tplc="B0240770">
      <w:start w:val="1"/>
      <w:numFmt w:val="bullet"/>
      <w:pStyle w:val="Table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9DA7D08"/>
    <w:multiLevelType w:val="multilevel"/>
    <w:tmpl w:val="0C090023"/>
    <w:styleLink w:val="ArticleSection1"/>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4ADA4B7D"/>
    <w:multiLevelType w:val="singleLevel"/>
    <w:tmpl w:val="A2E26016"/>
    <w:lvl w:ilvl="0">
      <w:start w:val="1"/>
      <w:numFmt w:val="decimal"/>
      <w:pStyle w:val="ListNumberTable2"/>
      <w:lvlText w:val="%1"/>
      <w:lvlJc w:val="left"/>
      <w:pPr>
        <w:tabs>
          <w:tab w:val="left" w:pos="284"/>
        </w:tabs>
        <w:ind w:left="284" w:hanging="284"/>
      </w:pPr>
      <w:rPr>
        <w:rFonts w:hint="default"/>
        <w:b w:val="0"/>
        <w:i w:val="0"/>
        <w:sz w:val="18"/>
        <w:szCs w:val="18"/>
      </w:rPr>
    </w:lvl>
  </w:abstractNum>
  <w:abstractNum w:abstractNumId="41" w15:restartNumberingAfterBreak="0">
    <w:nsid w:val="4F7C1DCC"/>
    <w:multiLevelType w:val="multilevel"/>
    <w:tmpl w:val="773CA376"/>
    <w:lvl w:ilvl="0">
      <w:start w:val="2"/>
      <w:numFmt w:val="decimal"/>
      <w:pStyle w:val="NumSch1LDS"/>
      <w:lvlText w:val="%1."/>
      <w:lvlJc w:val="left"/>
      <w:pPr>
        <w:ind w:left="851" w:hanging="851"/>
      </w:pPr>
      <w:rPr>
        <w:rFonts w:hint="default"/>
      </w:rPr>
    </w:lvl>
    <w:lvl w:ilvl="1">
      <w:start w:val="1"/>
      <w:numFmt w:val="decimal"/>
      <w:pStyle w:val="NumSch2LDS"/>
      <w:lvlText w:val="%1.%2"/>
      <w:lvlJc w:val="left"/>
      <w:pPr>
        <w:ind w:left="851" w:hanging="851"/>
      </w:pPr>
      <w:rPr>
        <w:rFonts w:hint="default"/>
        <w:b/>
        <w:i w:val="0"/>
      </w:rPr>
    </w:lvl>
    <w:lvl w:ilvl="2">
      <w:start w:val="1"/>
      <w:numFmt w:val="lowerLetter"/>
      <w:pStyle w:val="NumSch3LDS"/>
      <w:lvlText w:val="(%3)"/>
      <w:lvlJc w:val="left"/>
      <w:pPr>
        <w:ind w:left="1418" w:hanging="567"/>
      </w:pPr>
      <w:rPr>
        <w:rFonts w:hint="default"/>
      </w:rPr>
    </w:lvl>
    <w:lvl w:ilvl="3">
      <w:start w:val="1"/>
      <w:numFmt w:val="lowerRoman"/>
      <w:pStyle w:val="NumSch4LDS"/>
      <w:lvlText w:val="(%4)"/>
      <w:lvlJc w:val="left"/>
      <w:pPr>
        <w:ind w:left="2268" w:hanging="850"/>
      </w:pPr>
      <w:rPr>
        <w:rFonts w:hint="default"/>
      </w:rPr>
    </w:lvl>
    <w:lvl w:ilvl="4">
      <w:start w:val="1"/>
      <w:numFmt w:val="upperLetter"/>
      <w:pStyle w:val="NumSch5LDS"/>
      <w:lvlText w:val="(%5)"/>
      <w:lvlJc w:val="left"/>
      <w:pPr>
        <w:tabs>
          <w:tab w:val="num" w:pos="2268"/>
        </w:tabs>
        <w:ind w:left="283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50F51709"/>
    <w:multiLevelType w:val="hybridMultilevel"/>
    <w:tmpl w:val="246C9044"/>
    <w:lvl w:ilvl="0" w:tplc="FFFFFFFF">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1BE2D26"/>
    <w:multiLevelType w:val="multilevel"/>
    <w:tmpl w:val="F096609C"/>
    <w:styleLink w:val="RecitalsListHeading1"/>
    <w:lvl w:ilvl="0">
      <w:start w:val="1"/>
      <w:numFmt w:val="decimal"/>
      <w:lvlText w:val="%1."/>
      <w:lvlJc w:val="left"/>
      <w:pPr>
        <w:tabs>
          <w:tab w:val="num" w:pos="964"/>
        </w:tabs>
        <w:ind w:left="964" w:hanging="964"/>
      </w:pPr>
      <w:rPr>
        <w:rFonts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44" w15:restartNumberingAfterBreak="0">
    <w:nsid w:val="5DA00D99"/>
    <w:multiLevelType w:val="hybridMultilevel"/>
    <w:tmpl w:val="08563CEE"/>
    <w:lvl w:ilvl="0" w:tplc="612C574A">
      <w:start w:val="1"/>
      <w:numFmt w:val="bullet"/>
      <w:pStyle w:val="Bullets"/>
      <w:lvlText w:val="▪"/>
      <w:lvlJc w:val="left"/>
      <w:pPr>
        <w:ind w:left="1134" w:hanging="567"/>
      </w:pPr>
      <w:rPr>
        <w:rFonts w:ascii="Arial" w:hAnsi="Arial" w:cs="Times New Roman" w:hint="default"/>
        <w:color w:val="00AEEF"/>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5" w15:restartNumberingAfterBreak="0">
    <w:nsid w:val="5E024435"/>
    <w:multiLevelType w:val="multilevel"/>
    <w:tmpl w:val="D354F8D6"/>
    <w:styleLink w:val="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3091"/>
        </w:tabs>
        <w:ind w:left="3091"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6" w15:restartNumberingAfterBreak="0">
    <w:nsid w:val="606A14AC"/>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1764796"/>
    <w:multiLevelType w:val="multilevel"/>
    <w:tmpl w:val="0CF451A4"/>
    <w:lvl w:ilvl="0">
      <w:start w:val="1"/>
      <w:numFmt w:val="none"/>
      <w:pStyle w:val="sch1"/>
      <w:suff w:val="nothing"/>
      <w:lvlText w:val=""/>
      <w:lvlJc w:val="left"/>
      <w:pPr>
        <w:ind w:left="0" w:firstLine="0"/>
      </w:pPr>
      <w:rPr>
        <w:rFonts w:hint="default"/>
      </w:rPr>
    </w:lvl>
    <w:lvl w:ilvl="1">
      <w:start w:val="1"/>
      <w:numFmt w:val="decimal"/>
      <w:lvlText w:val="%2."/>
      <w:lvlJc w:val="left"/>
      <w:pPr>
        <w:tabs>
          <w:tab w:val="num" w:pos="720"/>
        </w:tabs>
        <w:ind w:left="720" w:hanging="720"/>
      </w:pPr>
      <w:rPr>
        <w:rFonts w:hint="default"/>
      </w:rPr>
    </w:lvl>
    <w:lvl w:ilvl="2">
      <w:start w:val="1"/>
      <w:numFmt w:val="decimal"/>
      <w:pStyle w:val="sch3"/>
      <w:lvlText w:val="%2.%3"/>
      <w:lvlJc w:val="left"/>
      <w:pPr>
        <w:tabs>
          <w:tab w:val="num" w:pos="862"/>
        </w:tabs>
        <w:ind w:left="862" w:hanging="720"/>
      </w:pPr>
      <w:rPr>
        <w:rFonts w:hint="default"/>
        <w:b/>
        <w:bCs/>
      </w:rPr>
    </w:lvl>
    <w:lvl w:ilvl="3">
      <w:start w:val="1"/>
      <w:numFmt w:val="lowerLetter"/>
      <w:pStyle w:val="sch4"/>
      <w:lvlText w:val="(%4)"/>
      <w:lvlJc w:val="left"/>
      <w:pPr>
        <w:tabs>
          <w:tab w:val="num" w:pos="1440"/>
        </w:tabs>
        <w:ind w:left="1440" w:hanging="720"/>
      </w:pPr>
      <w:rPr>
        <w:rFonts w:ascii="Arial" w:hAnsi="Arial" w:cs="Arial" w:hint="default"/>
        <w:b w:val="0"/>
        <w:i w:val="0"/>
      </w:rPr>
    </w:lvl>
    <w:lvl w:ilvl="4">
      <w:start w:val="1"/>
      <w:numFmt w:val="lowerRoman"/>
      <w:pStyle w:val="sch5"/>
      <w:lvlText w:val="(%5)"/>
      <w:lvlJc w:val="left"/>
      <w:pPr>
        <w:tabs>
          <w:tab w:val="num" w:pos="2160"/>
        </w:tabs>
        <w:ind w:left="2160" w:hanging="720"/>
      </w:pPr>
      <w:rPr>
        <w:rFonts w:hint="default"/>
      </w:rPr>
    </w:lvl>
    <w:lvl w:ilvl="5">
      <w:start w:val="1"/>
      <w:numFmt w:val="upperLetter"/>
      <w:pStyle w:val="sch6"/>
      <w:lvlText w:val="(%6)"/>
      <w:lvlJc w:val="left"/>
      <w:pPr>
        <w:tabs>
          <w:tab w:val="num" w:pos="2880"/>
        </w:tabs>
        <w:ind w:left="2880" w:hanging="720"/>
      </w:pPr>
      <w:rPr>
        <w:rFonts w:hint="default"/>
      </w:rPr>
    </w:lvl>
    <w:lvl w:ilvl="6">
      <w:start w:val="1"/>
      <w:numFmt w:val="upperRoman"/>
      <w:pStyle w:val="sch7"/>
      <w:lvlText w:val="(%7)"/>
      <w:lvlJc w:val="left"/>
      <w:pPr>
        <w:tabs>
          <w:tab w:val="num" w:pos="3600"/>
        </w:tabs>
        <w:ind w:left="3600" w:hanging="72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8" w15:restartNumberingAfterBreak="0">
    <w:nsid w:val="62203C09"/>
    <w:multiLevelType w:val="hybridMultilevel"/>
    <w:tmpl w:val="ED8A7EB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625A56D4"/>
    <w:multiLevelType w:val="multilevel"/>
    <w:tmpl w:val="706C3D58"/>
    <w:styleLink w:val="AnnexureListNumbers"/>
    <w:lvl w:ilvl="0">
      <w:start w:val="1"/>
      <w:numFmt w:val="upperLetter"/>
      <w:pStyle w:val="AnnexurePageHeading"/>
      <w:lvlText w:val="Annexure %1"/>
      <w:lvlJc w:val="left"/>
      <w:pPr>
        <w:tabs>
          <w:tab w:val="num" w:pos="2268"/>
        </w:tabs>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398051B"/>
    <w:multiLevelType w:val="singleLevel"/>
    <w:tmpl w:val="B7E698B0"/>
    <w:lvl w:ilvl="0">
      <w:start w:val="1"/>
      <w:numFmt w:val="lowerRoman"/>
      <w:lvlText w:val="(%1)"/>
      <w:lvlJc w:val="left"/>
      <w:pPr>
        <w:ind w:left="1474" w:hanging="737"/>
      </w:pPr>
      <w:rPr>
        <w:rFonts w:hint="default"/>
      </w:rPr>
    </w:lvl>
  </w:abstractNum>
  <w:abstractNum w:abstractNumId="51" w15:restartNumberingAfterBreak="0">
    <w:nsid w:val="67840C5B"/>
    <w:multiLevelType w:val="multilevel"/>
    <w:tmpl w:val="FB1AC1FE"/>
    <w:name w:val="w10NumberingNoTOCHdg"/>
    <w:lvl w:ilvl="0">
      <w:start w:val="1"/>
      <w:numFmt w:val="decimal"/>
      <w:pStyle w:val="NoTOCHdg1"/>
      <w:lvlText w:val="%1"/>
      <w:lvlJc w:val="left"/>
      <w:pPr>
        <w:ind w:left="851" w:hanging="851"/>
      </w:pPr>
      <w:rPr>
        <w:rFonts w:hint="default"/>
      </w:rPr>
    </w:lvl>
    <w:lvl w:ilvl="1">
      <w:start w:val="2"/>
      <w:numFmt w:val="decimal"/>
      <w:pStyle w:val="NoTOCHdg2"/>
      <w:lvlText w:val="%1.%2"/>
      <w:lvlJc w:val="left"/>
      <w:pPr>
        <w:ind w:left="851" w:hanging="851"/>
      </w:pPr>
      <w:rPr>
        <w:rFonts w:hint="default"/>
      </w:rPr>
    </w:lvl>
    <w:lvl w:ilvl="2">
      <w:start w:val="1"/>
      <w:numFmt w:val="lowerLetter"/>
      <w:pStyle w:val="NoTOCHdg3"/>
      <w:lvlText w:val="(%3)"/>
      <w:lvlJc w:val="left"/>
      <w:pPr>
        <w:ind w:left="1701" w:hanging="850"/>
      </w:pPr>
      <w:rPr>
        <w:rFonts w:hint="default"/>
      </w:rPr>
    </w:lvl>
    <w:lvl w:ilvl="3">
      <w:start w:val="1"/>
      <w:numFmt w:val="decimal"/>
      <w:pStyle w:val="NoTOCHdg4"/>
      <w:lvlText w:val="(%4)"/>
      <w:lvlJc w:val="left"/>
      <w:pPr>
        <w:tabs>
          <w:tab w:val="num" w:pos="1701"/>
        </w:tabs>
        <w:ind w:left="2552" w:hanging="851"/>
      </w:pPr>
      <w:rPr>
        <w:rFonts w:hint="default"/>
      </w:rPr>
    </w:lvl>
    <w:lvl w:ilvl="4">
      <w:start w:val="1"/>
      <w:numFmt w:val="upperLetter"/>
      <w:pStyle w:val="NoTOCHdg5"/>
      <w:lvlText w:val="(%5)"/>
      <w:lvlJc w:val="left"/>
      <w:pPr>
        <w:ind w:left="3402" w:hanging="850"/>
      </w:pPr>
      <w:rPr>
        <w:rFonts w:ascii="Arial" w:hAnsi="Arial" w:hint="default"/>
        <w:b w:val="0"/>
        <w:i w:val="0"/>
        <w:sz w:val="20"/>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2" w15:restartNumberingAfterBreak="0">
    <w:nsid w:val="67C54A45"/>
    <w:multiLevelType w:val="multilevel"/>
    <w:tmpl w:val="D4B6E438"/>
    <w:styleLink w:val="PartHeadingNumbering"/>
    <w:lvl w:ilvl="0">
      <w:start w:val="1"/>
      <w:numFmt w:val="decimal"/>
      <w:pStyle w:val="PartHeading"/>
      <w:suff w:val="space"/>
      <w:lvlText w:val="Part %1"/>
      <w:lvlJc w:val="left"/>
      <w:pPr>
        <w:ind w:left="0" w:firstLine="0"/>
      </w:pPr>
      <w:rPr>
        <w:rFonts w:ascii="Arial" w:hAnsi="Arial" w:hint="default"/>
        <w:b w:val="0"/>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9B500CD"/>
    <w:multiLevelType w:val="hybridMultilevel"/>
    <w:tmpl w:val="E8E41DDC"/>
    <w:lvl w:ilvl="0" w:tplc="7F1CB48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6ABB51F8"/>
    <w:multiLevelType w:val="hybridMultilevel"/>
    <w:tmpl w:val="69008B3E"/>
    <w:lvl w:ilvl="0" w:tplc="0C09000F">
      <w:start w:val="1"/>
      <w:numFmt w:val="decimal"/>
      <w:lvlText w:val="%1."/>
      <w:lvlJc w:val="left"/>
      <w:pPr>
        <w:ind w:left="360" w:hanging="360"/>
      </w:pPr>
    </w:lvl>
    <w:lvl w:ilvl="1" w:tplc="4982827A">
      <w:start w:val="1"/>
      <w:numFmt w:val="lowerLetter"/>
      <w:lvlText w:val="(%2)"/>
      <w:lvlJc w:val="left"/>
      <w:pPr>
        <w:ind w:left="1455" w:hanging="735"/>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5" w15:restartNumberingAfterBreak="0">
    <w:nsid w:val="6B28329D"/>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17F5D61"/>
    <w:multiLevelType w:val="singleLevel"/>
    <w:tmpl w:val="B7E698B0"/>
    <w:lvl w:ilvl="0">
      <w:start w:val="1"/>
      <w:numFmt w:val="lowerRoman"/>
      <w:lvlText w:val="(%1)"/>
      <w:lvlJc w:val="left"/>
      <w:pPr>
        <w:ind w:left="1474" w:hanging="737"/>
      </w:pPr>
      <w:rPr>
        <w:rFonts w:hint="default"/>
      </w:rPr>
    </w:lvl>
  </w:abstractNum>
  <w:abstractNum w:abstractNumId="57" w15:restartNumberingAfterBreak="0">
    <w:nsid w:val="74B47B1F"/>
    <w:multiLevelType w:val="hybridMultilevel"/>
    <w:tmpl w:val="3C6A325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pStyle w:val="level2"/>
      <w:lvlText w:val="o"/>
      <w:lvlJc w:val="left"/>
      <w:pPr>
        <w:tabs>
          <w:tab w:val="num" w:pos="1440"/>
        </w:tabs>
        <w:ind w:left="1440" w:hanging="360"/>
      </w:pPr>
      <w:rPr>
        <w:rFonts w:ascii="Courier New" w:hAnsi="Courier New" w:cs="Courier New" w:hint="default"/>
      </w:rPr>
    </w:lvl>
    <w:lvl w:ilvl="2" w:tplc="FFFFFFFF">
      <w:start w:val="1"/>
      <w:numFmt w:val="bullet"/>
      <w:pStyle w:val="level3"/>
      <w:lvlText w:val=""/>
      <w:lvlJc w:val="left"/>
      <w:pPr>
        <w:tabs>
          <w:tab w:val="num" w:pos="2160"/>
        </w:tabs>
        <w:ind w:left="2160" w:hanging="360"/>
      </w:pPr>
      <w:rPr>
        <w:rFonts w:ascii="Wingdings" w:hAnsi="Wingdings" w:hint="default"/>
      </w:rPr>
    </w:lvl>
    <w:lvl w:ilvl="3" w:tplc="FFFFFFFF">
      <w:start w:val="1"/>
      <w:numFmt w:val="bullet"/>
      <w:pStyle w:val="level4"/>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52B4A17"/>
    <w:multiLevelType w:val="multilevel"/>
    <w:tmpl w:val="D354F8D6"/>
    <w:numStyleLink w:val="Definitions"/>
  </w:abstractNum>
  <w:abstractNum w:abstractNumId="59" w15:restartNumberingAfterBreak="0">
    <w:nsid w:val="767B175C"/>
    <w:multiLevelType w:val="multilevel"/>
    <w:tmpl w:val="085E7732"/>
    <w:styleLink w:val="PartiesListHeading"/>
    <w:lvl w:ilvl="0">
      <w:start w:val="1"/>
      <w:numFmt w:val="decimal"/>
      <w:pStyle w:val="Parties"/>
      <w:lvlText w:val="(%1)"/>
      <w:lvlJc w:val="left"/>
      <w:pPr>
        <w:tabs>
          <w:tab w:val="num" w:pos="737"/>
        </w:tabs>
        <w:ind w:left="737" w:hanging="737"/>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786E7240"/>
    <w:multiLevelType w:val="multilevel"/>
    <w:tmpl w:val="AA8A0A60"/>
    <w:lvl w:ilvl="0">
      <w:start w:val="1"/>
      <w:numFmt w:val="lowerLetter"/>
      <w:pStyle w:val="legalDefinition"/>
      <w:lvlText w:val="(%1)"/>
      <w:lvlJc w:val="left"/>
      <w:pPr>
        <w:ind w:left="1560" w:hanging="850"/>
      </w:pPr>
      <w:rPr>
        <w:rFonts w:ascii="Arial" w:hAnsi="Arial" w:hint="default"/>
        <w:b w:val="0"/>
        <w:i w:val="0"/>
        <w:sz w:val="20"/>
        <w:szCs w:val="20"/>
      </w:rPr>
    </w:lvl>
    <w:lvl w:ilvl="1">
      <w:start w:val="1"/>
      <w:numFmt w:val="lowerRoman"/>
      <w:lvlText w:val="(%2)"/>
      <w:lvlJc w:val="left"/>
      <w:pPr>
        <w:ind w:left="2411" w:hanging="851"/>
      </w:pPr>
      <w:rPr>
        <w:rFonts w:hint="default"/>
        <w:b w:val="0"/>
        <w:bCs/>
      </w:rPr>
    </w:lvl>
    <w:lvl w:ilvl="2">
      <w:start w:val="1"/>
      <w:numFmt w:val="none"/>
      <w:lvlText w:val="%3."/>
      <w:lvlJc w:val="right"/>
      <w:pPr>
        <w:tabs>
          <w:tab w:val="num" w:pos="5139"/>
        </w:tabs>
        <w:ind w:left="32628" w:firstLine="0"/>
      </w:pPr>
      <w:rPr>
        <w:rFonts w:hint="default"/>
      </w:rPr>
    </w:lvl>
    <w:lvl w:ilvl="3">
      <w:start w:val="1"/>
      <w:numFmt w:val="none"/>
      <w:lvlText w:val="%4."/>
      <w:lvlJc w:val="left"/>
      <w:pPr>
        <w:tabs>
          <w:tab w:val="num" w:pos="5859"/>
        </w:tabs>
        <w:ind w:left="32628" w:firstLine="0"/>
      </w:pPr>
      <w:rPr>
        <w:rFonts w:hint="default"/>
      </w:rPr>
    </w:lvl>
    <w:lvl w:ilvl="4">
      <w:start w:val="1"/>
      <w:numFmt w:val="none"/>
      <w:lvlText w:val="%5."/>
      <w:lvlJc w:val="left"/>
      <w:pPr>
        <w:tabs>
          <w:tab w:val="num" w:pos="6579"/>
        </w:tabs>
        <w:ind w:left="32628" w:firstLine="0"/>
      </w:pPr>
      <w:rPr>
        <w:rFonts w:hint="default"/>
      </w:rPr>
    </w:lvl>
    <w:lvl w:ilvl="5">
      <w:start w:val="1"/>
      <w:numFmt w:val="none"/>
      <w:lvlText w:val=""/>
      <w:lvlJc w:val="right"/>
      <w:pPr>
        <w:tabs>
          <w:tab w:val="num" w:pos="7299"/>
        </w:tabs>
        <w:ind w:left="32628" w:firstLine="0"/>
      </w:pPr>
      <w:rPr>
        <w:rFonts w:hint="default"/>
      </w:rPr>
    </w:lvl>
    <w:lvl w:ilvl="6">
      <w:start w:val="1"/>
      <w:numFmt w:val="none"/>
      <w:lvlText w:val=""/>
      <w:lvlJc w:val="left"/>
      <w:pPr>
        <w:tabs>
          <w:tab w:val="num" w:pos="8019"/>
        </w:tabs>
        <w:ind w:left="32628" w:hanging="24969"/>
      </w:pPr>
      <w:rPr>
        <w:rFonts w:hint="default"/>
      </w:rPr>
    </w:lvl>
    <w:lvl w:ilvl="7">
      <w:start w:val="1"/>
      <w:numFmt w:val="none"/>
      <w:lvlText w:val=""/>
      <w:lvlJc w:val="left"/>
      <w:pPr>
        <w:tabs>
          <w:tab w:val="num" w:pos="8739"/>
        </w:tabs>
        <w:ind w:left="32628" w:firstLine="0"/>
      </w:pPr>
      <w:rPr>
        <w:rFonts w:hint="default"/>
      </w:rPr>
    </w:lvl>
    <w:lvl w:ilvl="8">
      <w:start w:val="1"/>
      <w:numFmt w:val="none"/>
      <w:lvlText w:val=""/>
      <w:lvlJc w:val="right"/>
      <w:pPr>
        <w:tabs>
          <w:tab w:val="num" w:pos="9459"/>
        </w:tabs>
        <w:ind w:left="32628" w:firstLine="0"/>
      </w:pPr>
      <w:rPr>
        <w:rFonts w:hint="default"/>
      </w:rPr>
    </w:lvl>
  </w:abstractNum>
  <w:abstractNum w:abstractNumId="61" w15:restartNumberingAfterBreak="0">
    <w:nsid w:val="790577E2"/>
    <w:multiLevelType w:val="multilevel"/>
    <w:tmpl w:val="49884102"/>
    <w:styleLink w:val="PartHeadingNumbering1"/>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62" w15:restartNumberingAfterBreak="0">
    <w:nsid w:val="7DAA3041"/>
    <w:multiLevelType w:val="hybridMultilevel"/>
    <w:tmpl w:val="3CAE501E"/>
    <w:lvl w:ilvl="0" w:tplc="F8264AE8">
      <w:start w:val="1"/>
      <w:numFmt w:val="lowerLetter"/>
      <w:lvlText w:val="(%1)"/>
      <w:lvlJc w:val="left"/>
      <w:pPr>
        <w:ind w:left="735" w:hanging="735"/>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331178388">
    <w:abstractNumId w:val="55"/>
  </w:num>
  <w:num w:numId="2" w16cid:durableId="1498770917">
    <w:abstractNumId w:val="46"/>
  </w:num>
  <w:num w:numId="3" w16cid:durableId="1632981332">
    <w:abstractNumId w:val="28"/>
  </w:num>
  <w:num w:numId="4" w16cid:durableId="1641037295">
    <w:abstractNumId w:val="9"/>
  </w:num>
  <w:num w:numId="5" w16cid:durableId="777220157">
    <w:abstractNumId w:val="7"/>
  </w:num>
  <w:num w:numId="6" w16cid:durableId="912927901">
    <w:abstractNumId w:val="6"/>
  </w:num>
  <w:num w:numId="7" w16cid:durableId="447234595">
    <w:abstractNumId w:val="5"/>
  </w:num>
  <w:num w:numId="8" w16cid:durableId="633945254">
    <w:abstractNumId w:val="4"/>
  </w:num>
  <w:num w:numId="9" w16cid:durableId="694773525">
    <w:abstractNumId w:val="8"/>
  </w:num>
  <w:num w:numId="10" w16cid:durableId="1652757051">
    <w:abstractNumId w:val="3"/>
  </w:num>
  <w:num w:numId="11" w16cid:durableId="1025904536">
    <w:abstractNumId w:val="2"/>
  </w:num>
  <w:num w:numId="12" w16cid:durableId="1588153428">
    <w:abstractNumId w:val="1"/>
  </w:num>
  <w:num w:numId="13" w16cid:durableId="566720465">
    <w:abstractNumId w:val="0"/>
  </w:num>
  <w:num w:numId="14" w16cid:durableId="90055682">
    <w:abstractNumId w:val="49"/>
  </w:num>
  <w:num w:numId="15" w16cid:durableId="2136944932">
    <w:abstractNumId w:val="59"/>
  </w:num>
  <w:num w:numId="16" w16cid:durableId="1975284725">
    <w:abstractNumId w:val="24"/>
  </w:num>
  <w:num w:numId="17" w16cid:durableId="1951619827">
    <w:abstractNumId w:val="18"/>
  </w:num>
  <w:num w:numId="18" w16cid:durableId="453982759">
    <w:abstractNumId w:val="61"/>
  </w:num>
  <w:num w:numId="19" w16cid:durableId="1993437495">
    <w:abstractNumId w:val="43"/>
  </w:num>
  <w:num w:numId="20" w16cid:durableId="271717006">
    <w:abstractNumId w:val="22"/>
  </w:num>
  <w:num w:numId="21" w16cid:durableId="191236281">
    <w:abstractNumId w:val="51"/>
  </w:num>
  <w:num w:numId="22" w16cid:durableId="1909655411">
    <w:abstractNumId w:val="40"/>
    <w:lvlOverride w:ilvl="0">
      <w:startOverride w:val="1"/>
    </w:lvlOverride>
  </w:num>
  <w:num w:numId="23" w16cid:durableId="2018340820">
    <w:abstractNumId w:val="45"/>
  </w:num>
  <w:num w:numId="24" w16cid:durableId="501431845">
    <w:abstractNumId w:val="58"/>
  </w:num>
  <w:num w:numId="25" w16cid:durableId="395280228">
    <w:abstractNumId w:val="36"/>
    <w:lvlOverride w:ilvl="0">
      <w:lvl w:ilvl="0">
        <w:numFmt w:val="decimal"/>
        <w:pStyle w:val="GHdg1"/>
        <w:lvlText w:val=""/>
        <w:lvlJc w:val="left"/>
      </w:lvl>
    </w:lvlOverride>
    <w:lvlOverride w:ilvl="1">
      <w:lvl w:ilvl="1">
        <w:start w:val="1"/>
        <w:numFmt w:val="decimal"/>
        <w:pStyle w:val="GHdg2"/>
        <w:lvlText w:val="G%1.%2"/>
        <w:lvlJc w:val="left"/>
        <w:pPr>
          <w:tabs>
            <w:tab w:val="num" w:pos="851"/>
          </w:tabs>
          <w:ind w:left="851" w:hanging="851"/>
        </w:pPr>
        <w:rPr>
          <w:rFonts w:hint="default"/>
          <w:b w:val="0"/>
        </w:rPr>
      </w:lvl>
    </w:lvlOverride>
  </w:num>
  <w:num w:numId="26" w16cid:durableId="1205018679">
    <w:abstractNumId w:val="36"/>
  </w:num>
  <w:num w:numId="27" w16cid:durableId="1041590776">
    <w:abstractNumId w:val="32"/>
  </w:num>
  <w:num w:numId="28" w16cid:durableId="121504917">
    <w:abstractNumId w:val="11"/>
  </w:num>
  <w:num w:numId="29" w16cid:durableId="1609655602">
    <w:abstractNumId w:val="31"/>
  </w:num>
  <w:num w:numId="30" w16cid:durableId="666518528">
    <w:abstractNumId w:val="41"/>
  </w:num>
  <w:num w:numId="31" w16cid:durableId="310334157">
    <w:abstractNumId w:val="37"/>
  </w:num>
  <w:num w:numId="32" w16cid:durableId="690572221">
    <w:abstractNumId w:val="19"/>
  </w:num>
  <w:num w:numId="33" w16cid:durableId="774446731">
    <w:abstractNumId w:val="39"/>
  </w:num>
  <w:num w:numId="34" w16cid:durableId="1947420662">
    <w:abstractNumId w:val="17"/>
    <w:lvlOverride w:ilvl="0">
      <w:lvl w:ilvl="0">
        <w:start w:val="1"/>
        <w:numFmt w:val="decimal"/>
        <w:pStyle w:val="NumLgl1LDS"/>
        <w:lvlText w:val="%1."/>
        <w:lvlJc w:val="left"/>
        <w:pPr>
          <w:ind w:left="851" w:hanging="851"/>
        </w:pPr>
        <w:rPr>
          <w:rFonts w:hint="default"/>
        </w:rPr>
      </w:lvl>
    </w:lvlOverride>
    <w:lvlOverride w:ilvl="1">
      <w:lvl w:ilvl="1">
        <w:start w:val="1"/>
        <w:numFmt w:val="decimal"/>
        <w:pStyle w:val="NumLgl2LDS"/>
        <w:lvlText w:val="%1.%2"/>
        <w:lvlJc w:val="left"/>
        <w:pPr>
          <w:ind w:left="851" w:hanging="851"/>
        </w:pPr>
        <w:rPr>
          <w:rFonts w:hint="default"/>
          <w:i w:val="0"/>
          <w:u w:val="none"/>
        </w:rPr>
      </w:lvl>
    </w:lvlOverride>
    <w:lvlOverride w:ilvl="2">
      <w:lvl w:ilvl="2">
        <w:start w:val="1"/>
        <w:numFmt w:val="lowerRoman"/>
        <w:pStyle w:val="NumLgl3LDS"/>
        <w:lvlText w:val="(%3)"/>
        <w:lvlJc w:val="left"/>
        <w:pPr>
          <w:ind w:left="1418" w:hanging="567"/>
        </w:pPr>
        <w:rPr>
          <w:rFonts w:ascii="Trebuchet MS" w:eastAsia="Times New Roman" w:hAnsi="Trebuchet MS" w:cs="Times New Roman"/>
        </w:rPr>
      </w:lvl>
    </w:lvlOverride>
    <w:lvlOverride w:ilvl="3">
      <w:lvl w:ilvl="3">
        <w:start w:val="1"/>
        <w:numFmt w:val="lowerRoman"/>
        <w:pStyle w:val="NumLgl4LDS"/>
        <w:lvlText w:val="(%4)"/>
        <w:lvlJc w:val="left"/>
        <w:pPr>
          <w:ind w:left="1985" w:hanging="567"/>
        </w:pPr>
        <w:rPr>
          <w:rFonts w:hint="default"/>
        </w:rPr>
      </w:lvl>
    </w:lvlOverride>
    <w:lvlOverride w:ilvl="4">
      <w:lvl w:ilvl="4">
        <w:start w:val="1"/>
        <w:numFmt w:val="upperLetter"/>
        <w:pStyle w:val="NumLgl5LDS"/>
        <w:lvlText w:val="(%5)"/>
        <w:lvlJc w:val="left"/>
        <w:pPr>
          <w:ind w:left="2552"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16cid:durableId="1964117475">
    <w:abstractNumId w:val="29"/>
  </w:num>
  <w:num w:numId="36" w16cid:durableId="587009292">
    <w:abstractNumId w:val="57"/>
  </w:num>
  <w:num w:numId="37" w16cid:durableId="2121292956">
    <w:abstractNumId w:val="17"/>
  </w:num>
  <w:num w:numId="38" w16cid:durableId="1620648995">
    <w:abstractNumId w:val="38"/>
  </w:num>
  <w:num w:numId="39" w16cid:durableId="1003818376">
    <w:abstractNumId w:val="44"/>
  </w:num>
  <w:num w:numId="40" w16cid:durableId="2102875419">
    <w:abstractNumId w:val="26"/>
  </w:num>
  <w:num w:numId="41" w16cid:durableId="5636641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974634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64781832">
    <w:abstractNumId w:val="21"/>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737"/>
          </w:tabs>
          <w:ind w:left="737" w:hanging="737"/>
        </w:pPr>
        <w:rPr>
          <w:rFonts w:hint="default"/>
        </w:rPr>
      </w:lvl>
    </w:lvlOverride>
    <w:lvlOverride w:ilvl="4">
      <w:lvl w:ilvl="4">
        <w:start w:val="1"/>
        <w:numFmt w:val="lowerRoman"/>
        <w:pStyle w:val="SchedH4"/>
        <w:lvlText w:val="(%5)"/>
        <w:lvlJc w:val="left"/>
        <w:pPr>
          <w:tabs>
            <w:tab w:val="num" w:pos="1447"/>
          </w:tabs>
          <w:ind w:left="1447" w:hanging="737"/>
        </w:pPr>
        <w:rPr>
          <w:rFonts w:hint="default"/>
          <w:b w:val="0"/>
          <w:bCs/>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4" w16cid:durableId="1979648448">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28"/>
        <w:numFmt w:val="none"/>
        <w:pStyle w:val="Heading7"/>
        <w:suff w:val="nothing"/>
        <w:lvlText w:val=""/>
        <w:lvlJc w:val="left"/>
        <w:pPr>
          <w:ind w:left="737" w:firstLine="0"/>
        </w:pPr>
        <w:rPr>
          <w:rFonts w:hint="default"/>
        </w:rPr>
      </w:lvl>
    </w:lvlOverride>
    <w:lvlOverride w:ilvl="7">
      <w:lvl w:ilvl="7">
        <w:start w:val="3"/>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45" w16cid:durableId="1626305870">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lvl>
    </w:lvlOverride>
    <w:lvlOverride w:ilvl="4">
      <w:lvl w:ilvl="4">
        <w:start w:val="1"/>
        <w:numFmt w:val="upperLetter"/>
        <w:pStyle w:val="Heading5"/>
        <w:lvlText w:val="(%5)"/>
        <w:lvlJc w:val="left"/>
        <w:pPr>
          <w:tabs>
            <w:tab w:val="num" w:pos="2948"/>
          </w:tabs>
          <w:ind w:left="2948" w:hanging="737"/>
        </w:p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46" w16cid:durableId="72911483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47" w16cid:durableId="1215236600">
    <w:abstractNumId w:val="54"/>
  </w:num>
  <w:num w:numId="48" w16cid:durableId="112947151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49" w16cid:durableId="1448810884">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50" w16cid:durableId="1467745579">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47"/>
          </w:tabs>
          <w:ind w:left="1447"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28"/>
        <w:numFmt w:val="none"/>
        <w:pStyle w:val="Heading7"/>
        <w:suff w:val="nothing"/>
        <w:lvlText w:val=""/>
        <w:lvlJc w:val="left"/>
        <w:pPr>
          <w:ind w:left="737" w:firstLine="0"/>
        </w:pPr>
        <w:rPr>
          <w:rFonts w:hint="default"/>
        </w:rPr>
      </w:lvl>
    </w:lvlOverride>
    <w:lvlOverride w:ilvl="7">
      <w:lvl w:ilvl="7">
        <w:start w:val="3"/>
        <w:numFmt w:val="lowerLetter"/>
        <w:pStyle w:val="Heading8"/>
        <w:lvlText w:val="(%8)"/>
        <w:lvlJc w:val="left"/>
        <w:pPr>
          <w:tabs>
            <w:tab w:val="num" w:pos="1474"/>
          </w:tabs>
          <w:ind w:left="1474"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51" w16cid:durableId="836386753">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28"/>
        <w:numFmt w:val="none"/>
        <w:pStyle w:val="Heading7"/>
        <w:suff w:val="nothing"/>
        <w:lvlText w:val=""/>
        <w:lvlJc w:val="left"/>
        <w:pPr>
          <w:ind w:left="737" w:firstLine="0"/>
        </w:pPr>
        <w:rPr>
          <w:rFonts w:hint="default"/>
        </w:rPr>
      </w:lvl>
    </w:lvlOverride>
    <w:lvlOverride w:ilvl="7">
      <w:lvl w:ilvl="7">
        <w:start w:val="3"/>
        <w:numFmt w:val="lowerLetter"/>
        <w:pStyle w:val="Heading8"/>
        <w:lvlText w:val="(%8)"/>
        <w:lvlJc w:val="left"/>
        <w:pPr>
          <w:tabs>
            <w:tab w:val="num" w:pos="1474"/>
          </w:tabs>
          <w:ind w:left="1474" w:hanging="737"/>
        </w:pPr>
        <w:rPr>
          <w:rFonts w:hint="default"/>
          <w:b w:val="0"/>
          <w:bCs w:val="0"/>
        </w:rPr>
      </w:lvl>
    </w:lvlOverride>
    <w:lvlOverride w:ilvl="8">
      <w:lvl w:ilvl="8">
        <w:start w:val="1"/>
        <w:numFmt w:val="lowerRoman"/>
        <w:pStyle w:val="Heading9"/>
        <w:lvlText w:val="(%9)"/>
        <w:lvlJc w:val="left"/>
        <w:pPr>
          <w:tabs>
            <w:tab w:val="num" w:pos="2439"/>
          </w:tabs>
          <w:ind w:left="2439" w:hanging="737"/>
        </w:pPr>
        <w:rPr>
          <w:rFonts w:hint="default"/>
        </w:rPr>
      </w:lvl>
    </w:lvlOverride>
  </w:num>
  <w:num w:numId="52" w16cid:durableId="537746262">
    <w:abstractNumId w:val="34"/>
    <w:lvlOverride w:ilvl="0">
      <w:lvl w:ilvl="0">
        <w:start w:val="1"/>
        <w:numFmt w:val="decimal"/>
        <w:pStyle w:val="MELegal1"/>
        <w:lvlText w:val="%1."/>
        <w:lvlJc w:val="left"/>
        <w:pPr>
          <w:ind w:left="680" w:hanging="680"/>
        </w:pPr>
        <w:rPr>
          <w:rFonts w:hint="default"/>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rPr>
      </w:lvl>
    </w:lvlOverride>
    <w:lvlOverride w:ilvl="3">
      <w:lvl w:ilvl="3">
        <w:start w:val="1"/>
        <w:numFmt w:val="lowerRoman"/>
        <w:pStyle w:val="MELegal4"/>
        <w:lvlText w:val="(%4)"/>
        <w:lvlJc w:val="left"/>
        <w:pPr>
          <w:ind w:left="2041" w:hanging="680"/>
        </w:pPr>
        <w:rPr>
          <w:rFonts w:hint="default"/>
        </w:rPr>
      </w:lvl>
    </w:lvlOverride>
    <w:lvlOverride w:ilvl="4">
      <w:lvl w:ilvl="4">
        <w:start w:val="1"/>
        <w:numFmt w:val="upperLetter"/>
        <w:pStyle w:val="MELegal5"/>
        <w:lvlText w:val="(%5)"/>
        <w:lvlJc w:val="left"/>
        <w:pPr>
          <w:tabs>
            <w:tab w:val="num" w:pos="2722"/>
          </w:tabs>
          <w:ind w:left="2722" w:hanging="681"/>
        </w:pPr>
        <w:rPr>
          <w:rFonts w:hint="default"/>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53" w16cid:durableId="732702880">
    <w:abstractNumId w:val="34"/>
  </w:num>
  <w:num w:numId="54" w16cid:durableId="912007334">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
        <w:lvlJc w:val="left"/>
      </w:lvl>
    </w:lvlOverride>
    <w:lvlOverride w:ilvl="2">
      <w:startOverride w:val="1"/>
      <w:lvl w:ilvl="2">
        <w:start w:val="1"/>
        <w:numFmt w:val="decimal"/>
        <w:pStyle w:val="Heading3"/>
        <w:lvlText w:val=""/>
        <w:lvlJc w:val="left"/>
      </w:lvl>
    </w:lvlOverride>
    <w:lvlOverride w:ilvl="3">
      <w:startOverride w:val="1"/>
      <w:lvl w:ilvl="3">
        <w:start w:val="1"/>
        <w:numFmt w:val="decimal"/>
        <w:pStyle w:val="Heading4"/>
        <w:lvlText w:val=""/>
        <w:lvlJc w:val="left"/>
      </w:lvl>
    </w:lvlOverride>
    <w:lvlOverride w:ilvl="4">
      <w:startOverride w:val="1"/>
      <w:lvl w:ilvl="4">
        <w:start w:val="1"/>
        <w:numFmt w:val="decimal"/>
        <w:pStyle w:val="Heading5"/>
        <w:lvlText w:val=""/>
        <w:lvlJc w:val="left"/>
      </w:lvl>
    </w:lvlOverride>
    <w:lvlOverride w:ilvl="5">
      <w:startOverride w:val="1"/>
      <w:lvl w:ilvl="5">
        <w:start w:val="1"/>
        <w:numFmt w:val="decimal"/>
        <w:pStyle w:val="Heading6"/>
        <w:lvlText w:val=""/>
        <w:lvlJc w:val="left"/>
      </w:lvl>
    </w:lvlOverride>
    <w:lvlOverride w:ilvl="6">
      <w:startOverride w:val="1"/>
      <w:lvl w:ilvl="6">
        <w:start w:val="1"/>
        <w:numFmt w:val="decimal"/>
        <w:pStyle w:val="Heading7"/>
        <w:lvlText w:val=""/>
        <w:lvlJc w:val="left"/>
      </w:lvl>
    </w:lvlOverride>
  </w:num>
  <w:num w:numId="55" w16cid:durableId="1594783091">
    <w:abstractNumId w:val="52"/>
  </w:num>
  <w:num w:numId="56" w16cid:durableId="782576992">
    <w:abstractNumId w:val="21"/>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7" w16cid:durableId="2008484597">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58" w16cid:durableId="61317187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48731906">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59617016">
    <w:abstractNumId w:val="62"/>
  </w:num>
  <w:num w:numId="61" w16cid:durableId="1220900335">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b w:val="0"/>
          <w:bCs w:val="0"/>
          <w:i w:val="0"/>
          <w:iCs w:val="0"/>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62" w16cid:durableId="194121877">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63" w16cid:durableId="1477527024">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28"/>
        <w:numFmt w:val="none"/>
        <w:pStyle w:val="Heading7"/>
        <w:suff w:val="nothing"/>
        <w:lvlText w:val=""/>
        <w:lvlJc w:val="left"/>
        <w:pPr>
          <w:ind w:left="737" w:firstLine="0"/>
        </w:pPr>
        <w:rPr>
          <w:rFonts w:hint="default"/>
        </w:rPr>
      </w:lvl>
    </w:lvlOverride>
    <w:lvlOverride w:ilvl="7">
      <w:lvl w:ilvl="7">
        <w:start w:val="3"/>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64" w16cid:durableId="1526753028">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65" w16cid:durableId="1297100722">
    <w:abstractNumId w:val="35"/>
  </w:num>
  <w:num w:numId="66" w16cid:durableId="711029624">
    <w:abstractNumId w:val="33"/>
  </w:num>
  <w:num w:numId="67" w16cid:durableId="189669293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75284706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641242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20390733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71" w16cid:durableId="1692947693">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72" w16cid:durableId="105384679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73" w16cid:durableId="1506818111">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74" w16cid:durableId="652880515">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75" w16cid:durableId="29622975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76" w16cid:durableId="108936685">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77" w16cid:durableId="1238789075">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78" w16cid:durableId="76010635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79" w16cid:durableId="1219433595">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80" w16cid:durableId="546265283">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81" w16cid:durableId="331179630">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82" w16cid:durableId="54945974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83" w16cid:durableId="530924143">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84" w16cid:durableId="1534805519">
    <w:abstractNumId w:val="10"/>
  </w:num>
  <w:num w:numId="85" w16cid:durableId="709115935">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86" w16cid:durableId="6422777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82"/>
    </w:lvlOverride>
    <w:lvlOverride w:ilvl="7">
      <w:startOverride w:val="8"/>
    </w:lvlOverride>
    <w:lvlOverride w:ilvl="8">
      <w:startOverride w:val="1"/>
    </w:lvlOverride>
  </w:num>
  <w:num w:numId="87" w16cid:durableId="18477456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357513086">
    <w:abstractNumId w:val="60"/>
  </w:num>
  <w:num w:numId="89" w16cid:durableId="97421735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5086703">
    <w:abstractNumId w:val="12"/>
  </w:num>
  <w:num w:numId="91" w16cid:durableId="572617130">
    <w:abstractNumId w:val="21"/>
  </w:num>
  <w:num w:numId="92" w16cid:durableId="119985817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9570260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54429601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047684387">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i w:val="0"/>
          <w:iCs w:val="0"/>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96" w16cid:durableId="82493010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801806176">
    <w:abstractNumId w:val="53"/>
  </w:num>
  <w:num w:numId="98" w16cid:durableId="713887800">
    <w:abstractNumId w:val="48"/>
  </w:num>
  <w:num w:numId="99" w16cid:durableId="1411658575">
    <w:abstractNumId w:val="25"/>
  </w:num>
  <w:num w:numId="100" w16cid:durableId="1999845796">
    <w:abstractNumId w:val="42"/>
  </w:num>
  <w:num w:numId="101" w16cid:durableId="1392967725">
    <w:abstractNumId w:val="16"/>
  </w:num>
  <w:num w:numId="102" w16cid:durableId="1677804586">
    <w:abstractNumId w:val="13"/>
  </w:num>
  <w:num w:numId="103" w16cid:durableId="1122844073">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47"/>
          </w:tabs>
          <w:ind w:left="1447" w:hanging="737"/>
        </w:pPr>
        <w:rPr>
          <w:b w:val="0"/>
          <w:bCs w:val="0"/>
        </w:rPr>
      </w:lvl>
    </w:lvlOverride>
    <w:lvlOverride w:ilvl="8">
      <w:startOverride w:val="1"/>
      <w:lvl w:ilvl="8">
        <w:start w:val="1"/>
        <w:numFmt w:val="lowerRoman"/>
        <w:pStyle w:val="Heading9"/>
        <w:lvlText w:val="(%9)"/>
        <w:lvlJc w:val="left"/>
        <w:pPr>
          <w:tabs>
            <w:tab w:val="num" w:pos="2439"/>
          </w:tabs>
          <w:ind w:left="2439" w:hanging="737"/>
        </w:pPr>
        <w:rPr>
          <w:rFonts w:hint="default"/>
        </w:rPr>
      </w:lvl>
    </w:lvlOverride>
  </w:num>
  <w:num w:numId="104" w16cid:durableId="1944998270">
    <w:abstractNumId w:val="14"/>
  </w:num>
  <w:num w:numId="105" w16cid:durableId="112947538">
    <w:abstractNumId w:val="27"/>
  </w:num>
  <w:num w:numId="106" w16cid:durableId="1533417358">
    <w:abstractNumId w:val="50"/>
  </w:num>
  <w:num w:numId="107" w16cid:durableId="302471604">
    <w:abstractNumId w:val="56"/>
  </w:num>
  <w:num w:numId="108" w16cid:durableId="2016879004">
    <w:abstractNumId w:val="21"/>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737"/>
          </w:tabs>
          <w:ind w:left="737"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9" w16cid:durableId="152675109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683672182">
    <w:abstractNumId w:val="20"/>
  </w:num>
  <w:num w:numId="111" w16cid:durableId="375128728">
    <w:abstractNumId w:val="21"/>
    <w:lvlOverride w:ilvl="0">
      <w:startOverride w:val="1"/>
      <w:lvl w:ilvl="0">
        <w:start w:val="1"/>
        <w:numFmt w:val="decimal"/>
        <w:pStyle w:val="SchedulePageHeading"/>
        <w:lvlText w:val="Schedule %1"/>
        <w:lvlJc w:val="left"/>
        <w:pPr>
          <w:tabs>
            <w:tab w:val="num" w:pos="2268"/>
          </w:tabs>
          <w:ind w:left="2268" w:hanging="2268"/>
        </w:pPr>
        <w:rPr>
          <w:rFonts w:hint="default"/>
        </w:rPr>
      </w:lvl>
    </w:lvlOverride>
    <w:lvlOverride w:ilvl="1">
      <w:startOverride w:val="1"/>
      <w:lvl w:ilvl="1">
        <w:start w:val="1"/>
        <w:numFmt w:val="decimal"/>
        <w:pStyle w:val="SchedH1"/>
        <w:lvlText w:val="%2"/>
        <w:lvlJc w:val="left"/>
        <w:pPr>
          <w:tabs>
            <w:tab w:val="num" w:pos="737"/>
          </w:tabs>
          <w:ind w:left="0" w:firstLine="0"/>
        </w:pPr>
        <w:rPr>
          <w:rFonts w:hint="default"/>
        </w:rPr>
      </w:lvl>
    </w:lvlOverride>
    <w:lvlOverride w:ilvl="2">
      <w:startOverride w:val="1"/>
      <w:lvl w:ilvl="2">
        <w:start w:val="1"/>
        <w:numFmt w:val="decimal"/>
        <w:pStyle w:val="SchedH2"/>
        <w:lvlText w:val="%2.%3"/>
        <w:lvlJc w:val="left"/>
        <w:pPr>
          <w:tabs>
            <w:tab w:val="num" w:pos="737"/>
          </w:tabs>
          <w:ind w:left="737" w:hanging="737"/>
        </w:pPr>
        <w:rPr>
          <w:rFonts w:hint="default"/>
        </w:rPr>
      </w:lvl>
    </w:lvlOverride>
    <w:lvlOverride w:ilvl="3">
      <w:startOverride w:val="1"/>
      <w:lvl w:ilvl="3">
        <w:start w:val="1"/>
        <w:numFmt w:val="lowerLetter"/>
        <w:pStyle w:val="SchedH3"/>
        <w:lvlText w:val="(%4)"/>
        <w:lvlJc w:val="left"/>
        <w:pPr>
          <w:tabs>
            <w:tab w:val="num" w:pos="1474"/>
          </w:tabs>
          <w:ind w:left="1474" w:hanging="737"/>
        </w:pPr>
        <w:rPr>
          <w:rFonts w:hint="default"/>
        </w:rPr>
      </w:lvl>
    </w:lvlOverride>
    <w:lvlOverride w:ilvl="4">
      <w:startOverride w:val="1"/>
      <w:lvl w:ilvl="4">
        <w:start w:val="1"/>
        <w:numFmt w:val="lowerRoman"/>
        <w:pStyle w:val="SchedH4"/>
        <w:lvlText w:val="(%5)"/>
        <w:lvlJc w:val="left"/>
        <w:pPr>
          <w:tabs>
            <w:tab w:val="num" w:pos="2211"/>
          </w:tabs>
          <w:ind w:left="2211" w:hanging="737"/>
        </w:pPr>
        <w:rPr>
          <w:rFonts w:hint="default"/>
        </w:rPr>
      </w:lvl>
    </w:lvlOverride>
    <w:lvlOverride w:ilvl="5">
      <w:startOverride w:val="1"/>
      <w:lvl w:ilvl="5">
        <w:start w:val="1"/>
        <w:numFmt w:val="upperLetter"/>
        <w:pStyle w:val="SchedH5"/>
        <w:lvlText w:val="(%6)"/>
        <w:lvlJc w:val="left"/>
        <w:pPr>
          <w:tabs>
            <w:tab w:val="num" w:pos="2948"/>
          </w:tabs>
          <w:ind w:left="2948" w:hanging="73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12" w16cid:durableId="1722749106">
    <w:abstractNumId w:val="30"/>
  </w:num>
  <w:num w:numId="113" w16cid:durableId="8666762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619408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653221964">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b w:val="0"/>
          <w:bCs w:val="0"/>
          <w:i w:val="0"/>
          <w:iCs w:val="0"/>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16" w16cid:durableId="1441222150">
    <w:abstractNumId w:val="15"/>
  </w:num>
  <w:num w:numId="117" w16cid:durableId="1146512082">
    <w:abstractNumId w:val="23"/>
  </w:num>
  <w:num w:numId="118" w16cid:durableId="1347830890">
    <w:abstractNumId w:val="1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6"/>
    </w:lvlOverride>
    <w:lvlOverride w:ilvl="7">
      <w:startOverride w:val="7"/>
    </w:lvlOverride>
    <w:lvlOverride w:ilvl="8">
      <w:startOverride w:val="1"/>
    </w:lvlOverride>
  </w:num>
  <w:num w:numId="119" w16cid:durableId="1461806425">
    <w:abstractNumId w:val="10"/>
    <w:lvlOverride w:ilvl="0">
      <w:startOverride w:val="1"/>
    </w:lvlOverride>
    <w:lvlOverride w:ilvl="1">
      <w:startOverride w:val="1"/>
    </w:lvlOverride>
    <w:lvlOverride w:ilvl="2">
      <w:startOverride w:val="3"/>
    </w:lvlOverride>
    <w:lvlOverride w:ilvl="3">
      <w:startOverride w:val="1"/>
    </w:lvlOverride>
    <w:lvlOverride w:ilvl="4">
      <w:startOverride w:val="2"/>
    </w:lvlOverride>
    <w:lvlOverride w:ilvl="5">
      <w:startOverride w:val="1"/>
    </w:lvlOverride>
    <w:lvlOverride w:ilvl="6">
      <w:startOverride w:val="1"/>
    </w:lvlOverride>
    <w:lvlOverride w:ilvl="7">
      <w:startOverride w:val="2"/>
    </w:lvlOverride>
    <w:lvlOverride w:ilvl="8">
      <w:startOverride w:val="1"/>
    </w:lvlOverride>
  </w:num>
  <w:num w:numId="120" w16cid:durableId="683360363">
    <w:abstractNumId w:val="10"/>
  </w:num>
  <w:num w:numId="121" w16cid:durableId="2285380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8"/>
    </w:lvlOverride>
    <w:lvlOverride w:ilvl="7">
      <w:startOverride w:val="5"/>
    </w:lvlOverride>
    <w:lvlOverride w:ilvl="8">
      <w:startOverride w:val="1"/>
    </w:lvlOverride>
  </w:num>
  <w:num w:numId="122" w16cid:durableId="12303843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23" w16cid:durableId="19993791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42"/>
    </w:lvlOverride>
    <w:lvlOverride w:ilvl="7">
      <w:startOverride w:val="1"/>
    </w:lvlOverride>
    <w:lvlOverride w:ilvl="8">
      <w:startOverride w:val="1"/>
    </w:lvlOverride>
  </w:num>
  <w:num w:numId="124" w16cid:durableId="5275232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76"/>
    </w:lvlOverride>
    <w:lvlOverride w:ilvl="7">
      <w:startOverride w:val="1"/>
    </w:lvlOverride>
    <w:lvlOverride w:ilvl="8">
      <w:startOverride w:val="1"/>
    </w:lvlOverride>
  </w:num>
  <w:num w:numId="125" w16cid:durableId="12802591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78"/>
    </w:lvlOverride>
    <w:lvlOverride w:ilvl="7">
      <w:startOverride w:val="1"/>
    </w:lvlOverride>
    <w:lvlOverride w:ilvl="8">
      <w:startOverride w:val="1"/>
    </w:lvlOverride>
  </w:num>
  <w:num w:numId="126" w16cid:durableId="6817834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79"/>
    </w:lvlOverride>
    <w:lvlOverride w:ilvl="7">
      <w:startOverride w:val="1"/>
    </w:lvlOverride>
    <w:lvlOverride w:ilvl="8">
      <w:startOverride w:val="1"/>
    </w:lvlOverride>
  </w:num>
  <w:num w:numId="127" w16cid:durableId="12208284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80"/>
    </w:lvlOverride>
    <w:lvlOverride w:ilvl="7">
      <w:startOverride w:val="1"/>
    </w:lvlOverride>
    <w:lvlOverride w:ilvl="8">
      <w:startOverride w:val="1"/>
    </w:lvlOverride>
  </w:num>
  <w:num w:numId="128" w16cid:durableId="12046023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3"/>
      <w:lvl w:ilvl="2">
        <w:start w:val="3"/>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0"/>
      <w:lvl w:ilvl="6">
        <w:start w:val="10"/>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29" w16cid:durableId="835341083">
    <w:abstractNumId w:val="1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20"/>
    </w:lvlOverride>
    <w:lvlOverride w:ilvl="7">
      <w:startOverride w:val="1"/>
    </w:lvlOverride>
    <w:lvlOverride w:ilvl="8">
      <w:startOverride w:val="1"/>
    </w:lvlOverride>
  </w:num>
  <w:num w:numId="130" w16cid:durableId="1228689625">
    <w:abstractNumId w:val="1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24"/>
    </w:lvlOverride>
    <w:lvlOverride w:ilvl="7">
      <w:startOverride w:val="1"/>
    </w:lvlOverride>
    <w:lvlOverride w:ilvl="8">
      <w:startOverride w:val="1"/>
    </w:lvlOverride>
  </w:num>
  <w:num w:numId="131" w16cid:durableId="873420997">
    <w:abstractNumId w:val="1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26"/>
    </w:lvlOverride>
    <w:lvlOverride w:ilvl="7">
      <w:startOverride w:val="1"/>
    </w:lvlOverride>
    <w:lvlOverride w:ilvl="8">
      <w:startOverride w:val="1"/>
    </w:lvlOverride>
  </w:num>
  <w:num w:numId="132" w16cid:durableId="406221580">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3"/>
      <w:lvl w:ilvl="2">
        <w:start w:val="3"/>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2"/>
      <w:lvl w:ilvl="4">
        <w:start w:val="2"/>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4"/>
      <w:lvl w:ilvl="6">
        <w:start w:val="14"/>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33" w16cid:durableId="16594624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3"/>
    </w:lvlOverride>
    <w:lvlOverride w:ilvl="7">
      <w:startOverride w:val="1"/>
    </w:lvlOverride>
    <w:lvlOverride w:ilvl="8">
      <w:startOverride w:val="1"/>
    </w:lvlOverride>
  </w:num>
  <w:num w:numId="134" w16cid:durableId="1009675584">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71"/>
      <w:lvl w:ilvl="6">
        <w:start w:val="7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b w:val="0"/>
          <w:bCs w:val="0"/>
        </w:rPr>
      </w:lvl>
    </w:lvlOverride>
    <w:lvlOverride w:ilvl="8">
      <w:startOverride w:val="1"/>
      <w:lvl w:ilvl="8">
        <w:start w:val="1"/>
        <w:numFmt w:val="lowerRoman"/>
        <w:pStyle w:val="Heading9"/>
        <w:lvlText w:val="(%9)"/>
        <w:lvlJc w:val="left"/>
        <w:pPr>
          <w:tabs>
            <w:tab w:val="num" w:pos="2439"/>
          </w:tabs>
          <w:ind w:left="2439" w:hanging="737"/>
        </w:pPr>
        <w:rPr>
          <w:rFonts w:hint="default"/>
        </w:rPr>
      </w:lvl>
    </w:lvlOverride>
  </w:num>
  <w:num w:numId="135" w16cid:durableId="2100444184">
    <w:abstractNumId w:val="1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5"/>
    </w:lvlOverride>
    <w:lvlOverride w:ilvl="7">
      <w:startOverride w:val="2"/>
    </w:lvlOverride>
    <w:lvlOverride w:ilvl="8">
      <w:startOverride w:val="1"/>
    </w:lvlOverride>
  </w:num>
  <w:num w:numId="136" w16cid:durableId="1272735936">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3"/>
      <w:lvl w:ilvl="2">
        <w:start w:val="3"/>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8"/>
      <w:lvl w:ilvl="6">
        <w:start w:val="8"/>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37" w16cid:durableId="426118381">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26"/>
      <w:lvl w:ilvl="6">
        <w:start w:val="26"/>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38" w16cid:durableId="1564482374">
    <w:abstractNumId w:val="10"/>
  </w:num>
  <w:num w:numId="139" w16cid:durableId="1668022291">
    <w:abstractNumId w:val="10"/>
  </w:num>
  <w:num w:numId="140" w16cid:durableId="1027564121">
    <w:abstractNumId w:val="10"/>
  </w:num>
  <w:num w:numId="141" w16cid:durableId="1514954205">
    <w:abstractNumId w:val="10"/>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37"/>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68946106_8"/>
    <w:docVar w:name="kwmDescription" w:val="[MARK-UP] Draft 2 - WEM CIS Tender 1 - Draft Capacity Investment Scheme Agreement - 11 July 2024"/>
    <w:docVar w:name="KWMSetGroupVis" w:val="-1"/>
  </w:docVars>
  <w:rsids>
    <w:rsidRoot w:val="00890FC3"/>
    <w:rsid w:val="00000265"/>
    <w:rsid w:val="000002DC"/>
    <w:rsid w:val="000004E5"/>
    <w:rsid w:val="00000845"/>
    <w:rsid w:val="000009BD"/>
    <w:rsid w:val="00000A34"/>
    <w:rsid w:val="00000F1C"/>
    <w:rsid w:val="00001178"/>
    <w:rsid w:val="00001188"/>
    <w:rsid w:val="000012CF"/>
    <w:rsid w:val="0000165C"/>
    <w:rsid w:val="000017ED"/>
    <w:rsid w:val="0000192A"/>
    <w:rsid w:val="00001A31"/>
    <w:rsid w:val="00001D94"/>
    <w:rsid w:val="00001FBF"/>
    <w:rsid w:val="00001FE1"/>
    <w:rsid w:val="00002075"/>
    <w:rsid w:val="000020BC"/>
    <w:rsid w:val="00002292"/>
    <w:rsid w:val="000024A2"/>
    <w:rsid w:val="00002562"/>
    <w:rsid w:val="0000268A"/>
    <w:rsid w:val="00002A4C"/>
    <w:rsid w:val="00002BAA"/>
    <w:rsid w:val="00002CCA"/>
    <w:rsid w:val="00002D0A"/>
    <w:rsid w:val="00002D75"/>
    <w:rsid w:val="00002FE7"/>
    <w:rsid w:val="0000302F"/>
    <w:rsid w:val="0000349D"/>
    <w:rsid w:val="000035E3"/>
    <w:rsid w:val="00003678"/>
    <w:rsid w:val="00003878"/>
    <w:rsid w:val="00003A6F"/>
    <w:rsid w:val="00003C26"/>
    <w:rsid w:val="00003EC5"/>
    <w:rsid w:val="00003F04"/>
    <w:rsid w:val="000042A3"/>
    <w:rsid w:val="00004326"/>
    <w:rsid w:val="00004377"/>
    <w:rsid w:val="00004468"/>
    <w:rsid w:val="000046FF"/>
    <w:rsid w:val="00004CE8"/>
    <w:rsid w:val="00004DA9"/>
    <w:rsid w:val="00004DC4"/>
    <w:rsid w:val="00004E7A"/>
    <w:rsid w:val="0000509F"/>
    <w:rsid w:val="000050B9"/>
    <w:rsid w:val="000052BD"/>
    <w:rsid w:val="00005348"/>
    <w:rsid w:val="000056AB"/>
    <w:rsid w:val="000056E8"/>
    <w:rsid w:val="000056EF"/>
    <w:rsid w:val="0000586B"/>
    <w:rsid w:val="00005C13"/>
    <w:rsid w:val="00005CA6"/>
    <w:rsid w:val="00005E10"/>
    <w:rsid w:val="00005E52"/>
    <w:rsid w:val="000060E4"/>
    <w:rsid w:val="000061CA"/>
    <w:rsid w:val="0000627E"/>
    <w:rsid w:val="00006452"/>
    <w:rsid w:val="00006598"/>
    <w:rsid w:val="00006948"/>
    <w:rsid w:val="00006DAF"/>
    <w:rsid w:val="00006E75"/>
    <w:rsid w:val="00006FAD"/>
    <w:rsid w:val="000071AD"/>
    <w:rsid w:val="0000795C"/>
    <w:rsid w:val="00007A0C"/>
    <w:rsid w:val="00007AC6"/>
    <w:rsid w:val="00007F05"/>
    <w:rsid w:val="00007F24"/>
    <w:rsid w:val="000103A0"/>
    <w:rsid w:val="0001072A"/>
    <w:rsid w:val="000109AF"/>
    <w:rsid w:val="00010A0A"/>
    <w:rsid w:val="00010C22"/>
    <w:rsid w:val="00010C60"/>
    <w:rsid w:val="00010C7D"/>
    <w:rsid w:val="00010EF9"/>
    <w:rsid w:val="0001120A"/>
    <w:rsid w:val="0001160B"/>
    <w:rsid w:val="000117B2"/>
    <w:rsid w:val="00011C9F"/>
    <w:rsid w:val="00011E91"/>
    <w:rsid w:val="00011F67"/>
    <w:rsid w:val="000126AB"/>
    <w:rsid w:val="000127D8"/>
    <w:rsid w:val="00012964"/>
    <w:rsid w:val="00012988"/>
    <w:rsid w:val="00012B22"/>
    <w:rsid w:val="00012D30"/>
    <w:rsid w:val="00012E43"/>
    <w:rsid w:val="00012FE4"/>
    <w:rsid w:val="00013377"/>
    <w:rsid w:val="000133F5"/>
    <w:rsid w:val="0001352D"/>
    <w:rsid w:val="000136AD"/>
    <w:rsid w:val="00013863"/>
    <w:rsid w:val="000138C1"/>
    <w:rsid w:val="00013924"/>
    <w:rsid w:val="00013A49"/>
    <w:rsid w:val="00013EF9"/>
    <w:rsid w:val="00013F74"/>
    <w:rsid w:val="000141DE"/>
    <w:rsid w:val="0001422E"/>
    <w:rsid w:val="000142CE"/>
    <w:rsid w:val="00014324"/>
    <w:rsid w:val="00014471"/>
    <w:rsid w:val="00014819"/>
    <w:rsid w:val="000149AE"/>
    <w:rsid w:val="00014CDD"/>
    <w:rsid w:val="000150E8"/>
    <w:rsid w:val="000159A7"/>
    <w:rsid w:val="00015A9F"/>
    <w:rsid w:val="00015B18"/>
    <w:rsid w:val="00015CC3"/>
    <w:rsid w:val="000160F6"/>
    <w:rsid w:val="0001613A"/>
    <w:rsid w:val="0001648A"/>
    <w:rsid w:val="00016531"/>
    <w:rsid w:val="000165C4"/>
    <w:rsid w:val="000165F2"/>
    <w:rsid w:val="0001687A"/>
    <w:rsid w:val="00016AAF"/>
    <w:rsid w:val="00016E8A"/>
    <w:rsid w:val="00016E8F"/>
    <w:rsid w:val="00017158"/>
    <w:rsid w:val="00017429"/>
    <w:rsid w:val="00017DAE"/>
    <w:rsid w:val="00017E4C"/>
    <w:rsid w:val="00017EDA"/>
    <w:rsid w:val="000202B6"/>
    <w:rsid w:val="00020511"/>
    <w:rsid w:val="00020AE4"/>
    <w:rsid w:val="00020BE4"/>
    <w:rsid w:val="00020D47"/>
    <w:rsid w:val="0002129A"/>
    <w:rsid w:val="0002130B"/>
    <w:rsid w:val="0002145B"/>
    <w:rsid w:val="0002145F"/>
    <w:rsid w:val="0002193F"/>
    <w:rsid w:val="00021DCB"/>
    <w:rsid w:val="0002209B"/>
    <w:rsid w:val="000222C0"/>
    <w:rsid w:val="0002253A"/>
    <w:rsid w:val="00022547"/>
    <w:rsid w:val="000226F8"/>
    <w:rsid w:val="00022745"/>
    <w:rsid w:val="000228F9"/>
    <w:rsid w:val="00022993"/>
    <w:rsid w:val="00022B52"/>
    <w:rsid w:val="00022D15"/>
    <w:rsid w:val="00022DF2"/>
    <w:rsid w:val="000230C9"/>
    <w:rsid w:val="00023348"/>
    <w:rsid w:val="00023353"/>
    <w:rsid w:val="00023482"/>
    <w:rsid w:val="0002353A"/>
    <w:rsid w:val="00023828"/>
    <w:rsid w:val="00023872"/>
    <w:rsid w:val="000239E5"/>
    <w:rsid w:val="00023EAC"/>
    <w:rsid w:val="00024367"/>
    <w:rsid w:val="00024473"/>
    <w:rsid w:val="000244EE"/>
    <w:rsid w:val="00024F5C"/>
    <w:rsid w:val="00025208"/>
    <w:rsid w:val="00025633"/>
    <w:rsid w:val="000256E6"/>
    <w:rsid w:val="0002574C"/>
    <w:rsid w:val="00025769"/>
    <w:rsid w:val="0002598D"/>
    <w:rsid w:val="00025B24"/>
    <w:rsid w:val="00025DAF"/>
    <w:rsid w:val="00025E3F"/>
    <w:rsid w:val="00026156"/>
    <w:rsid w:val="00026FB7"/>
    <w:rsid w:val="00027100"/>
    <w:rsid w:val="000271C7"/>
    <w:rsid w:val="000276D0"/>
    <w:rsid w:val="00027BDA"/>
    <w:rsid w:val="00027F6B"/>
    <w:rsid w:val="000301D3"/>
    <w:rsid w:val="0003051F"/>
    <w:rsid w:val="00030607"/>
    <w:rsid w:val="000307EF"/>
    <w:rsid w:val="00030A92"/>
    <w:rsid w:val="00030E48"/>
    <w:rsid w:val="00030F01"/>
    <w:rsid w:val="0003106E"/>
    <w:rsid w:val="0003148B"/>
    <w:rsid w:val="00031581"/>
    <w:rsid w:val="000318DC"/>
    <w:rsid w:val="00031AF1"/>
    <w:rsid w:val="00031C59"/>
    <w:rsid w:val="00031D79"/>
    <w:rsid w:val="00031E0E"/>
    <w:rsid w:val="00031F67"/>
    <w:rsid w:val="0003205A"/>
    <w:rsid w:val="00032091"/>
    <w:rsid w:val="00032122"/>
    <w:rsid w:val="000326CB"/>
    <w:rsid w:val="00032807"/>
    <w:rsid w:val="00032AA4"/>
    <w:rsid w:val="0003302B"/>
    <w:rsid w:val="0003323C"/>
    <w:rsid w:val="0003327A"/>
    <w:rsid w:val="000335E6"/>
    <w:rsid w:val="000338A0"/>
    <w:rsid w:val="00033C64"/>
    <w:rsid w:val="00033EB9"/>
    <w:rsid w:val="00034194"/>
    <w:rsid w:val="000346D4"/>
    <w:rsid w:val="00034BEF"/>
    <w:rsid w:val="00034D96"/>
    <w:rsid w:val="00034F55"/>
    <w:rsid w:val="00034FCF"/>
    <w:rsid w:val="000350B0"/>
    <w:rsid w:val="00035543"/>
    <w:rsid w:val="000355F8"/>
    <w:rsid w:val="000357AD"/>
    <w:rsid w:val="0003581D"/>
    <w:rsid w:val="00035D9F"/>
    <w:rsid w:val="00035F1F"/>
    <w:rsid w:val="00035F2A"/>
    <w:rsid w:val="00036181"/>
    <w:rsid w:val="0003622F"/>
    <w:rsid w:val="00036351"/>
    <w:rsid w:val="00036426"/>
    <w:rsid w:val="000366F9"/>
    <w:rsid w:val="000369D7"/>
    <w:rsid w:val="00036E96"/>
    <w:rsid w:val="00036EDC"/>
    <w:rsid w:val="00036FE1"/>
    <w:rsid w:val="000370E6"/>
    <w:rsid w:val="0003766E"/>
    <w:rsid w:val="00037CA7"/>
    <w:rsid w:val="00037E1A"/>
    <w:rsid w:val="00037EEE"/>
    <w:rsid w:val="00037F49"/>
    <w:rsid w:val="0004015E"/>
    <w:rsid w:val="00040280"/>
    <w:rsid w:val="000404E7"/>
    <w:rsid w:val="00040A3E"/>
    <w:rsid w:val="00040A76"/>
    <w:rsid w:val="00040AE3"/>
    <w:rsid w:val="00040F90"/>
    <w:rsid w:val="00041223"/>
    <w:rsid w:val="0004122B"/>
    <w:rsid w:val="00041233"/>
    <w:rsid w:val="00041AB4"/>
    <w:rsid w:val="00041FDC"/>
    <w:rsid w:val="000421F7"/>
    <w:rsid w:val="0004224E"/>
    <w:rsid w:val="00042278"/>
    <w:rsid w:val="00042A2C"/>
    <w:rsid w:val="00042AAD"/>
    <w:rsid w:val="00042AD5"/>
    <w:rsid w:val="00042BDE"/>
    <w:rsid w:val="00042EC3"/>
    <w:rsid w:val="000432D0"/>
    <w:rsid w:val="000435F4"/>
    <w:rsid w:val="00043A15"/>
    <w:rsid w:val="00043A97"/>
    <w:rsid w:val="00043BB8"/>
    <w:rsid w:val="00043F79"/>
    <w:rsid w:val="00044124"/>
    <w:rsid w:val="0004426B"/>
    <w:rsid w:val="00044455"/>
    <w:rsid w:val="00044548"/>
    <w:rsid w:val="000446D7"/>
    <w:rsid w:val="000447E4"/>
    <w:rsid w:val="000448C0"/>
    <w:rsid w:val="0004497B"/>
    <w:rsid w:val="00044A6A"/>
    <w:rsid w:val="00044C3C"/>
    <w:rsid w:val="00044C44"/>
    <w:rsid w:val="00044DB4"/>
    <w:rsid w:val="00045201"/>
    <w:rsid w:val="000453EE"/>
    <w:rsid w:val="0004553B"/>
    <w:rsid w:val="00045814"/>
    <w:rsid w:val="00045B43"/>
    <w:rsid w:val="00045B9A"/>
    <w:rsid w:val="00045EB8"/>
    <w:rsid w:val="00045ED0"/>
    <w:rsid w:val="00045F16"/>
    <w:rsid w:val="000461A5"/>
    <w:rsid w:val="000461AC"/>
    <w:rsid w:val="000465B4"/>
    <w:rsid w:val="000466BA"/>
    <w:rsid w:val="00046ACF"/>
    <w:rsid w:val="00046EDD"/>
    <w:rsid w:val="000478A4"/>
    <w:rsid w:val="00047951"/>
    <w:rsid w:val="00047C08"/>
    <w:rsid w:val="00047E09"/>
    <w:rsid w:val="00047FC0"/>
    <w:rsid w:val="00050094"/>
    <w:rsid w:val="0005023B"/>
    <w:rsid w:val="000502DF"/>
    <w:rsid w:val="00050803"/>
    <w:rsid w:val="00050892"/>
    <w:rsid w:val="00050B48"/>
    <w:rsid w:val="00050B9A"/>
    <w:rsid w:val="00050DC3"/>
    <w:rsid w:val="00050F30"/>
    <w:rsid w:val="00051832"/>
    <w:rsid w:val="00051923"/>
    <w:rsid w:val="00051B05"/>
    <w:rsid w:val="00051F06"/>
    <w:rsid w:val="00051FEA"/>
    <w:rsid w:val="00052464"/>
    <w:rsid w:val="000524E4"/>
    <w:rsid w:val="0005264D"/>
    <w:rsid w:val="000529A8"/>
    <w:rsid w:val="00052BC9"/>
    <w:rsid w:val="00052CD3"/>
    <w:rsid w:val="00052DB8"/>
    <w:rsid w:val="000535B4"/>
    <w:rsid w:val="0005360B"/>
    <w:rsid w:val="0005384B"/>
    <w:rsid w:val="00053A4E"/>
    <w:rsid w:val="00053D48"/>
    <w:rsid w:val="0005455F"/>
    <w:rsid w:val="000545C2"/>
    <w:rsid w:val="0005463E"/>
    <w:rsid w:val="00054A3A"/>
    <w:rsid w:val="00054B7B"/>
    <w:rsid w:val="00054F7F"/>
    <w:rsid w:val="00055248"/>
    <w:rsid w:val="0005556A"/>
    <w:rsid w:val="00055629"/>
    <w:rsid w:val="00055669"/>
    <w:rsid w:val="00055728"/>
    <w:rsid w:val="000557A5"/>
    <w:rsid w:val="00055898"/>
    <w:rsid w:val="000559A0"/>
    <w:rsid w:val="00055A52"/>
    <w:rsid w:val="00055A91"/>
    <w:rsid w:val="00055DFF"/>
    <w:rsid w:val="00056483"/>
    <w:rsid w:val="000564BF"/>
    <w:rsid w:val="00056959"/>
    <w:rsid w:val="00056AAF"/>
    <w:rsid w:val="0005700B"/>
    <w:rsid w:val="0005704C"/>
    <w:rsid w:val="00057223"/>
    <w:rsid w:val="000573AE"/>
    <w:rsid w:val="00057480"/>
    <w:rsid w:val="00057970"/>
    <w:rsid w:val="00057A52"/>
    <w:rsid w:val="00057A73"/>
    <w:rsid w:val="00057C72"/>
    <w:rsid w:val="00057F0D"/>
    <w:rsid w:val="00057F54"/>
    <w:rsid w:val="00057FBA"/>
    <w:rsid w:val="000605AF"/>
    <w:rsid w:val="00060976"/>
    <w:rsid w:val="00060A02"/>
    <w:rsid w:val="00060A53"/>
    <w:rsid w:val="00060CAC"/>
    <w:rsid w:val="00060D5D"/>
    <w:rsid w:val="00060EA4"/>
    <w:rsid w:val="0006175D"/>
    <w:rsid w:val="000617D2"/>
    <w:rsid w:val="00061B31"/>
    <w:rsid w:val="00061D6C"/>
    <w:rsid w:val="000620A7"/>
    <w:rsid w:val="0006240E"/>
    <w:rsid w:val="000624E4"/>
    <w:rsid w:val="000626F7"/>
    <w:rsid w:val="00062B48"/>
    <w:rsid w:val="00062BBD"/>
    <w:rsid w:val="00062C5B"/>
    <w:rsid w:val="00062D25"/>
    <w:rsid w:val="00062D7B"/>
    <w:rsid w:val="00062FBE"/>
    <w:rsid w:val="0006316A"/>
    <w:rsid w:val="0006355C"/>
    <w:rsid w:val="00063576"/>
    <w:rsid w:val="0006394D"/>
    <w:rsid w:val="00063C10"/>
    <w:rsid w:val="00063C27"/>
    <w:rsid w:val="0006401E"/>
    <w:rsid w:val="0006425A"/>
    <w:rsid w:val="00064604"/>
    <w:rsid w:val="0006466F"/>
    <w:rsid w:val="00064781"/>
    <w:rsid w:val="000648C1"/>
    <w:rsid w:val="000649F1"/>
    <w:rsid w:val="00064B77"/>
    <w:rsid w:val="00064C72"/>
    <w:rsid w:val="00065433"/>
    <w:rsid w:val="00065588"/>
    <w:rsid w:val="000658BA"/>
    <w:rsid w:val="00065959"/>
    <w:rsid w:val="00065994"/>
    <w:rsid w:val="00065AB4"/>
    <w:rsid w:val="00065B4C"/>
    <w:rsid w:val="00065BC6"/>
    <w:rsid w:val="00065BEA"/>
    <w:rsid w:val="0006608D"/>
    <w:rsid w:val="00066210"/>
    <w:rsid w:val="00066573"/>
    <w:rsid w:val="00066698"/>
    <w:rsid w:val="000666AA"/>
    <w:rsid w:val="00066B20"/>
    <w:rsid w:val="00066D56"/>
    <w:rsid w:val="00067145"/>
    <w:rsid w:val="000671AC"/>
    <w:rsid w:val="00067460"/>
    <w:rsid w:val="00067552"/>
    <w:rsid w:val="000675EA"/>
    <w:rsid w:val="00067799"/>
    <w:rsid w:val="000677EE"/>
    <w:rsid w:val="00067BC4"/>
    <w:rsid w:val="00067CE2"/>
    <w:rsid w:val="00067E84"/>
    <w:rsid w:val="00070759"/>
    <w:rsid w:val="00070B0E"/>
    <w:rsid w:val="00070EC8"/>
    <w:rsid w:val="00070FBF"/>
    <w:rsid w:val="00070FC8"/>
    <w:rsid w:val="00071041"/>
    <w:rsid w:val="0007156C"/>
    <w:rsid w:val="00071664"/>
    <w:rsid w:val="00071908"/>
    <w:rsid w:val="00071AC1"/>
    <w:rsid w:val="00071F83"/>
    <w:rsid w:val="00072238"/>
    <w:rsid w:val="000722B0"/>
    <w:rsid w:val="0007248C"/>
    <w:rsid w:val="00072618"/>
    <w:rsid w:val="0007283C"/>
    <w:rsid w:val="000729F6"/>
    <w:rsid w:val="00072A24"/>
    <w:rsid w:val="00072A42"/>
    <w:rsid w:val="00072BBB"/>
    <w:rsid w:val="00072C51"/>
    <w:rsid w:val="00072D45"/>
    <w:rsid w:val="00072E62"/>
    <w:rsid w:val="000731C6"/>
    <w:rsid w:val="000739D9"/>
    <w:rsid w:val="00073C8F"/>
    <w:rsid w:val="0007410E"/>
    <w:rsid w:val="00074414"/>
    <w:rsid w:val="0007457E"/>
    <w:rsid w:val="00074746"/>
    <w:rsid w:val="000749E3"/>
    <w:rsid w:val="00074BD3"/>
    <w:rsid w:val="00074BF0"/>
    <w:rsid w:val="0007504F"/>
    <w:rsid w:val="000751CB"/>
    <w:rsid w:val="00075429"/>
    <w:rsid w:val="000755C1"/>
    <w:rsid w:val="000759E9"/>
    <w:rsid w:val="00075EEA"/>
    <w:rsid w:val="00075FBB"/>
    <w:rsid w:val="00075FE9"/>
    <w:rsid w:val="000766C0"/>
    <w:rsid w:val="00076A13"/>
    <w:rsid w:val="00076AB5"/>
    <w:rsid w:val="00076C79"/>
    <w:rsid w:val="00076EF3"/>
    <w:rsid w:val="00077388"/>
    <w:rsid w:val="000773F7"/>
    <w:rsid w:val="00077405"/>
    <w:rsid w:val="0007788C"/>
    <w:rsid w:val="0007794A"/>
    <w:rsid w:val="00077B27"/>
    <w:rsid w:val="00077CC8"/>
    <w:rsid w:val="000800F2"/>
    <w:rsid w:val="00080119"/>
    <w:rsid w:val="00080232"/>
    <w:rsid w:val="00080AC8"/>
    <w:rsid w:val="00080B0F"/>
    <w:rsid w:val="00080CFA"/>
    <w:rsid w:val="00081282"/>
    <w:rsid w:val="00081491"/>
    <w:rsid w:val="00081591"/>
    <w:rsid w:val="00081622"/>
    <w:rsid w:val="000817B7"/>
    <w:rsid w:val="000819C0"/>
    <w:rsid w:val="00081F04"/>
    <w:rsid w:val="000820BF"/>
    <w:rsid w:val="00082137"/>
    <w:rsid w:val="00082472"/>
    <w:rsid w:val="00082C59"/>
    <w:rsid w:val="00082D35"/>
    <w:rsid w:val="000830F3"/>
    <w:rsid w:val="000831EC"/>
    <w:rsid w:val="0008321E"/>
    <w:rsid w:val="00083C34"/>
    <w:rsid w:val="00083D39"/>
    <w:rsid w:val="00083DDA"/>
    <w:rsid w:val="00083E99"/>
    <w:rsid w:val="000841F8"/>
    <w:rsid w:val="00084318"/>
    <w:rsid w:val="000844DB"/>
    <w:rsid w:val="0008455A"/>
    <w:rsid w:val="000845E7"/>
    <w:rsid w:val="00084966"/>
    <w:rsid w:val="00084D7D"/>
    <w:rsid w:val="00085045"/>
    <w:rsid w:val="00085290"/>
    <w:rsid w:val="0008591C"/>
    <w:rsid w:val="00085A43"/>
    <w:rsid w:val="0008611C"/>
    <w:rsid w:val="000861C6"/>
    <w:rsid w:val="000862E6"/>
    <w:rsid w:val="00086457"/>
    <w:rsid w:val="00086758"/>
    <w:rsid w:val="00086827"/>
    <w:rsid w:val="000868E1"/>
    <w:rsid w:val="00086948"/>
    <w:rsid w:val="00086A5B"/>
    <w:rsid w:val="00086BF4"/>
    <w:rsid w:val="00086C59"/>
    <w:rsid w:val="00086CF1"/>
    <w:rsid w:val="00086F1B"/>
    <w:rsid w:val="000871D1"/>
    <w:rsid w:val="000871EA"/>
    <w:rsid w:val="00087534"/>
    <w:rsid w:val="000876D9"/>
    <w:rsid w:val="00087D6F"/>
    <w:rsid w:val="000901E0"/>
    <w:rsid w:val="00090251"/>
    <w:rsid w:val="000902F4"/>
    <w:rsid w:val="0009038A"/>
    <w:rsid w:val="000905ED"/>
    <w:rsid w:val="000908C9"/>
    <w:rsid w:val="00090AAF"/>
    <w:rsid w:val="00090DD0"/>
    <w:rsid w:val="000912AE"/>
    <w:rsid w:val="00091412"/>
    <w:rsid w:val="000916F8"/>
    <w:rsid w:val="00091FCC"/>
    <w:rsid w:val="000920DC"/>
    <w:rsid w:val="000921CF"/>
    <w:rsid w:val="000922A3"/>
    <w:rsid w:val="0009262A"/>
    <w:rsid w:val="00092942"/>
    <w:rsid w:val="00092B12"/>
    <w:rsid w:val="00092C32"/>
    <w:rsid w:val="00092C75"/>
    <w:rsid w:val="00092E10"/>
    <w:rsid w:val="000931EB"/>
    <w:rsid w:val="00093BFB"/>
    <w:rsid w:val="00093CC0"/>
    <w:rsid w:val="00093E4E"/>
    <w:rsid w:val="00093FC5"/>
    <w:rsid w:val="000942C7"/>
    <w:rsid w:val="00094536"/>
    <w:rsid w:val="000948C0"/>
    <w:rsid w:val="00094A3E"/>
    <w:rsid w:val="00094B2A"/>
    <w:rsid w:val="00095572"/>
    <w:rsid w:val="00095B12"/>
    <w:rsid w:val="00095F74"/>
    <w:rsid w:val="00096004"/>
    <w:rsid w:val="000960D1"/>
    <w:rsid w:val="000961EE"/>
    <w:rsid w:val="000964EE"/>
    <w:rsid w:val="000965A2"/>
    <w:rsid w:val="000965D3"/>
    <w:rsid w:val="0009668E"/>
    <w:rsid w:val="00096712"/>
    <w:rsid w:val="00096FDD"/>
    <w:rsid w:val="00097511"/>
    <w:rsid w:val="000975E3"/>
    <w:rsid w:val="0009764A"/>
    <w:rsid w:val="00097677"/>
    <w:rsid w:val="000978A7"/>
    <w:rsid w:val="00097C5B"/>
    <w:rsid w:val="00097E94"/>
    <w:rsid w:val="000A027B"/>
    <w:rsid w:val="000A03F2"/>
    <w:rsid w:val="000A044E"/>
    <w:rsid w:val="000A04EE"/>
    <w:rsid w:val="000A05CD"/>
    <w:rsid w:val="000A062C"/>
    <w:rsid w:val="000A07AA"/>
    <w:rsid w:val="000A07CA"/>
    <w:rsid w:val="000A0924"/>
    <w:rsid w:val="000A092F"/>
    <w:rsid w:val="000A09FC"/>
    <w:rsid w:val="000A0C36"/>
    <w:rsid w:val="000A0E17"/>
    <w:rsid w:val="000A1059"/>
    <w:rsid w:val="000A11E2"/>
    <w:rsid w:val="000A12FB"/>
    <w:rsid w:val="000A149C"/>
    <w:rsid w:val="000A16D1"/>
    <w:rsid w:val="000A172F"/>
    <w:rsid w:val="000A17A1"/>
    <w:rsid w:val="000A17D4"/>
    <w:rsid w:val="000A1BE3"/>
    <w:rsid w:val="000A1D2B"/>
    <w:rsid w:val="000A21AF"/>
    <w:rsid w:val="000A2567"/>
    <w:rsid w:val="000A275D"/>
    <w:rsid w:val="000A27AB"/>
    <w:rsid w:val="000A2924"/>
    <w:rsid w:val="000A2D34"/>
    <w:rsid w:val="000A2EC9"/>
    <w:rsid w:val="000A31E4"/>
    <w:rsid w:val="000A34FF"/>
    <w:rsid w:val="000A3687"/>
    <w:rsid w:val="000A38F6"/>
    <w:rsid w:val="000A3972"/>
    <w:rsid w:val="000A3DA7"/>
    <w:rsid w:val="000A3E99"/>
    <w:rsid w:val="000A44F0"/>
    <w:rsid w:val="000A4652"/>
    <w:rsid w:val="000A4885"/>
    <w:rsid w:val="000A48A0"/>
    <w:rsid w:val="000A4943"/>
    <w:rsid w:val="000A4BC3"/>
    <w:rsid w:val="000A4E02"/>
    <w:rsid w:val="000A4F03"/>
    <w:rsid w:val="000A4F71"/>
    <w:rsid w:val="000A51F3"/>
    <w:rsid w:val="000A5354"/>
    <w:rsid w:val="000A59F8"/>
    <w:rsid w:val="000A5AED"/>
    <w:rsid w:val="000A5B4D"/>
    <w:rsid w:val="000A5CD2"/>
    <w:rsid w:val="000A5CE3"/>
    <w:rsid w:val="000A5F2A"/>
    <w:rsid w:val="000A609F"/>
    <w:rsid w:val="000A60E2"/>
    <w:rsid w:val="000A6316"/>
    <w:rsid w:val="000A6566"/>
    <w:rsid w:val="000A65FB"/>
    <w:rsid w:val="000A661B"/>
    <w:rsid w:val="000A697B"/>
    <w:rsid w:val="000A699D"/>
    <w:rsid w:val="000A6B0A"/>
    <w:rsid w:val="000A6B22"/>
    <w:rsid w:val="000A6CDB"/>
    <w:rsid w:val="000A7156"/>
    <w:rsid w:val="000A7260"/>
    <w:rsid w:val="000A737F"/>
    <w:rsid w:val="000A76C2"/>
    <w:rsid w:val="000A77C8"/>
    <w:rsid w:val="000A7A2B"/>
    <w:rsid w:val="000A7D66"/>
    <w:rsid w:val="000B01F4"/>
    <w:rsid w:val="000B0261"/>
    <w:rsid w:val="000B051E"/>
    <w:rsid w:val="000B09CF"/>
    <w:rsid w:val="000B1427"/>
    <w:rsid w:val="000B1489"/>
    <w:rsid w:val="000B16FD"/>
    <w:rsid w:val="000B173E"/>
    <w:rsid w:val="000B1A1A"/>
    <w:rsid w:val="000B1C33"/>
    <w:rsid w:val="000B1FA8"/>
    <w:rsid w:val="000B228A"/>
    <w:rsid w:val="000B249E"/>
    <w:rsid w:val="000B2500"/>
    <w:rsid w:val="000B2601"/>
    <w:rsid w:val="000B262B"/>
    <w:rsid w:val="000B26C1"/>
    <w:rsid w:val="000B2902"/>
    <w:rsid w:val="000B2A05"/>
    <w:rsid w:val="000B30EA"/>
    <w:rsid w:val="000B3443"/>
    <w:rsid w:val="000B35D9"/>
    <w:rsid w:val="000B36CB"/>
    <w:rsid w:val="000B3A1C"/>
    <w:rsid w:val="000B3CCF"/>
    <w:rsid w:val="000B3DCB"/>
    <w:rsid w:val="000B3DDF"/>
    <w:rsid w:val="000B40E4"/>
    <w:rsid w:val="000B41A6"/>
    <w:rsid w:val="000B421E"/>
    <w:rsid w:val="000B47C7"/>
    <w:rsid w:val="000B4826"/>
    <w:rsid w:val="000B4968"/>
    <w:rsid w:val="000B4A1A"/>
    <w:rsid w:val="000B4A9F"/>
    <w:rsid w:val="000B4AB9"/>
    <w:rsid w:val="000B4C4C"/>
    <w:rsid w:val="000B4DA6"/>
    <w:rsid w:val="000B4FA6"/>
    <w:rsid w:val="000B526A"/>
    <w:rsid w:val="000B5520"/>
    <w:rsid w:val="000B5694"/>
    <w:rsid w:val="000B570B"/>
    <w:rsid w:val="000B5718"/>
    <w:rsid w:val="000B57E1"/>
    <w:rsid w:val="000B5905"/>
    <w:rsid w:val="000B5DE0"/>
    <w:rsid w:val="000B616F"/>
    <w:rsid w:val="000B6361"/>
    <w:rsid w:val="000B63AA"/>
    <w:rsid w:val="000B63B7"/>
    <w:rsid w:val="000B6402"/>
    <w:rsid w:val="000B674A"/>
    <w:rsid w:val="000B697E"/>
    <w:rsid w:val="000B6DA2"/>
    <w:rsid w:val="000B6F7D"/>
    <w:rsid w:val="000B7060"/>
    <w:rsid w:val="000B723E"/>
    <w:rsid w:val="000B79E7"/>
    <w:rsid w:val="000B7A77"/>
    <w:rsid w:val="000B7ADF"/>
    <w:rsid w:val="000B7B61"/>
    <w:rsid w:val="000B7E78"/>
    <w:rsid w:val="000B7ED4"/>
    <w:rsid w:val="000C0350"/>
    <w:rsid w:val="000C03CD"/>
    <w:rsid w:val="000C06CC"/>
    <w:rsid w:val="000C072E"/>
    <w:rsid w:val="000C09EB"/>
    <w:rsid w:val="000C0AD8"/>
    <w:rsid w:val="000C0B46"/>
    <w:rsid w:val="000C0B53"/>
    <w:rsid w:val="000C1467"/>
    <w:rsid w:val="000C1A46"/>
    <w:rsid w:val="000C1CD1"/>
    <w:rsid w:val="000C2015"/>
    <w:rsid w:val="000C2148"/>
    <w:rsid w:val="000C21D6"/>
    <w:rsid w:val="000C25FA"/>
    <w:rsid w:val="000C2873"/>
    <w:rsid w:val="000C28B5"/>
    <w:rsid w:val="000C2A7D"/>
    <w:rsid w:val="000C2B14"/>
    <w:rsid w:val="000C2B6A"/>
    <w:rsid w:val="000C319B"/>
    <w:rsid w:val="000C3249"/>
    <w:rsid w:val="000C32A8"/>
    <w:rsid w:val="000C3656"/>
    <w:rsid w:val="000C36D3"/>
    <w:rsid w:val="000C3812"/>
    <w:rsid w:val="000C39D3"/>
    <w:rsid w:val="000C3A24"/>
    <w:rsid w:val="000C3CE0"/>
    <w:rsid w:val="000C3CF1"/>
    <w:rsid w:val="000C3F0B"/>
    <w:rsid w:val="000C457F"/>
    <w:rsid w:val="000C4752"/>
    <w:rsid w:val="000C48C7"/>
    <w:rsid w:val="000C4CBC"/>
    <w:rsid w:val="000C4D54"/>
    <w:rsid w:val="000C4E74"/>
    <w:rsid w:val="000C5092"/>
    <w:rsid w:val="000C51DC"/>
    <w:rsid w:val="000C5227"/>
    <w:rsid w:val="000C584D"/>
    <w:rsid w:val="000C5A32"/>
    <w:rsid w:val="000C5E8D"/>
    <w:rsid w:val="000C5EBA"/>
    <w:rsid w:val="000C5EC7"/>
    <w:rsid w:val="000C644F"/>
    <w:rsid w:val="000C65A6"/>
    <w:rsid w:val="000C6698"/>
    <w:rsid w:val="000C6982"/>
    <w:rsid w:val="000C6B38"/>
    <w:rsid w:val="000C6D02"/>
    <w:rsid w:val="000C6FA7"/>
    <w:rsid w:val="000C7288"/>
    <w:rsid w:val="000C7A6B"/>
    <w:rsid w:val="000C7BBB"/>
    <w:rsid w:val="000C7C24"/>
    <w:rsid w:val="000C7D41"/>
    <w:rsid w:val="000C7E97"/>
    <w:rsid w:val="000C7EF4"/>
    <w:rsid w:val="000C7F6C"/>
    <w:rsid w:val="000D0089"/>
    <w:rsid w:val="000D010D"/>
    <w:rsid w:val="000D026D"/>
    <w:rsid w:val="000D03BA"/>
    <w:rsid w:val="000D046C"/>
    <w:rsid w:val="000D068A"/>
    <w:rsid w:val="000D0895"/>
    <w:rsid w:val="000D0A5E"/>
    <w:rsid w:val="000D0CD3"/>
    <w:rsid w:val="000D0F1D"/>
    <w:rsid w:val="000D0FBF"/>
    <w:rsid w:val="000D1026"/>
    <w:rsid w:val="000D1C41"/>
    <w:rsid w:val="000D1F90"/>
    <w:rsid w:val="000D20AD"/>
    <w:rsid w:val="000D2331"/>
    <w:rsid w:val="000D2336"/>
    <w:rsid w:val="000D253E"/>
    <w:rsid w:val="000D2ABB"/>
    <w:rsid w:val="000D2C5E"/>
    <w:rsid w:val="000D2D2F"/>
    <w:rsid w:val="000D311A"/>
    <w:rsid w:val="000D3518"/>
    <w:rsid w:val="000D374D"/>
    <w:rsid w:val="000D3985"/>
    <w:rsid w:val="000D4271"/>
    <w:rsid w:val="000D4384"/>
    <w:rsid w:val="000D44B7"/>
    <w:rsid w:val="000D4775"/>
    <w:rsid w:val="000D4885"/>
    <w:rsid w:val="000D4A55"/>
    <w:rsid w:val="000D4E56"/>
    <w:rsid w:val="000D4EF2"/>
    <w:rsid w:val="000D5195"/>
    <w:rsid w:val="000D52D6"/>
    <w:rsid w:val="000D5549"/>
    <w:rsid w:val="000D559F"/>
    <w:rsid w:val="000D573C"/>
    <w:rsid w:val="000D5883"/>
    <w:rsid w:val="000D58A8"/>
    <w:rsid w:val="000D59F7"/>
    <w:rsid w:val="000D5DC9"/>
    <w:rsid w:val="000D60A1"/>
    <w:rsid w:val="000D60E3"/>
    <w:rsid w:val="000D6185"/>
    <w:rsid w:val="000D6216"/>
    <w:rsid w:val="000D6231"/>
    <w:rsid w:val="000D6453"/>
    <w:rsid w:val="000D6A76"/>
    <w:rsid w:val="000D6B18"/>
    <w:rsid w:val="000D6D2B"/>
    <w:rsid w:val="000D6E75"/>
    <w:rsid w:val="000D6FB2"/>
    <w:rsid w:val="000D72B5"/>
    <w:rsid w:val="000D77B2"/>
    <w:rsid w:val="000D785C"/>
    <w:rsid w:val="000D7914"/>
    <w:rsid w:val="000D7918"/>
    <w:rsid w:val="000D7BCC"/>
    <w:rsid w:val="000D7DDB"/>
    <w:rsid w:val="000D7E7F"/>
    <w:rsid w:val="000D7FC0"/>
    <w:rsid w:val="000E0196"/>
    <w:rsid w:val="000E01BF"/>
    <w:rsid w:val="000E08DA"/>
    <w:rsid w:val="000E0C0B"/>
    <w:rsid w:val="000E0E03"/>
    <w:rsid w:val="000E12D3"/>
    <w:rsid w:val="000E12DA"/>
    <w:rsid w:val="000E134A"/>
    <w:rsid w:val="000E13D6"/>
    <w:rsid w:val="000E1610"/>
    <w:rsid w:val="000E162E"/>
    <w:rsid w:val="000E18AD"/>
    <w:rsid w:val="000E1A8B"/>
    <w:rsid w:val="000E1B68"/>
    <w:rsid w:val="000E1B79"/>
    <w:rsid w:val="000E1C39"/>
    <w:rsid w:val="000E1CDF"/>
    <w:rsid w:val="000E1D00"/>
    <w:rsid w:val="000E1FCF"/>
    <w:rsid w:val="000E20EC"/>
    <w:rsid w:val="000E23BF"/>
    <w:rsid w:val="000E24CF"/>
    <w:rsid w:val="000E25F6"/>
    <w:rsid w:val="000E2631"/>
    <w:rsid w:val="000E2721"/>
    <w:rsid w:val="000E282C"/>
    <w:rsid w:val="000E287D"/>
    <w:rsid w:val="000E2889"/>
    <w:rsid w:val="000E2A51"/>
    <w:rsid w:val="000E2BF1"/>
    <w:rsid w:val="000E2BFC"/>
    <w:rsid w:val="000E2C07"/>
    <w:rsid w:val="000E2EAA"/>
    <w:rsid w:val="000E3275"/>
    <w:rsid w:val="000E365C"/>
    <w:rsid w:val="000E3666"/>
    <w:rsid w:val="000E370D"/>
    <w:rsid w:val="000E3769"/>
    <w:rsid w:val="000E3C67"/>
    <w:rsid w:val="000E3D17"/>
    <w:rsid w:val="000E3F8B"/>
    <w:rsid w:val="000E3FD5"/>
    <w:rsid w:val="000E41FD"/>
    <w:rsid w:val="000E4358"/>
    <w:rsid w:val="000E4513"/>
    <w:rsid w:val="000E45D4"/>
    <w:rsid w:val="000E46F2"/>
    <w:rsid w:val="000E48FD"/>
    <w:rsid w:val="000E4BEB"/>
    <w:rsid w:val="000E4C14"/>
    <w:rsid w:val="000E4EC5"/>
    <w:rsid w:val="000E5122"/>
    <w:rsid w:val="000E531C"/>
    <w:rsid w:val="000E5A4A"/>
    <w:rsid w:val="000E5A51"/>
    <w:rsid w:val="000E5EA5"/>
    <w:rsid w:val="000E626B"/>
    <w:rsid w:val="000E67E6"/>
    <w:rsid w:val="000E687C"/>
    <w:rsid w:val="000E7125"/>
    <w:rsid w:val="000E72B9"/>
    <w:rsid w:val="000E74E8"/>
    <w:rsid w:val="000E74F5"/>
    <w:rsid w:val="000E766A"/>
    <w:rsid w:val="000E7730"/>
    <w:rsid w:val="000E790D"/>
    <w:rsid w:val="000E7D22"/>
    <w:rsid w:val="000E7FF5"/>
    <w:rsid w:val="000F00AB"/>
    <w:rsid w:val="000F00D4"/>
    <w:rsid w:val="000F0365"/>
    <w:rsid w:val="000F0C2A"/>
    <w:rsid w:val="000F0FDC"/>
    <w:rsid w:val="000F1125"/>
    <w:rsid w:val="000F1314"/>
    <w:rsid w:val="000F154F"/>
    <w:rsid w:val="000F15E5"/>
    <w:rsid w:val="000F192C"/>
    <w:rsid w:val="000F1989"/>
    <w:rsid w:val="000F1C4E"/>
    <w:rsid w:val="000F25A5"/>
    <w:rsid w:val="000F2620"/>
    <w:rsid w:val="000F2690"/>
    <w:rsid w:val="000F2DA2"/>
    <w:rsid w:val="000F2F05"/>
    <w:rsid w:val="000F3066"/>
    <w:rsid w:val="000F312A"/>
    <w:rsid w:val="000F3323"/>
    <w:rsid w:val="000F3381"/>
    <w:rsid w:val="000F35EE"/>
    <w:rsid w:val="000F3823"/>
    <w:rsid w:val="000F38B9"/>
    <w:rsid w:val="000F38FD"/>
    <w:rsid w:val="000F3D7D"/>
    <w:rsid w:val="000F3EA1"/>
    <w:rsid w:val="000F417D"/>
    <w:rsid w:val="000F41B0"/>
    <w:rsid w:val="000F44F0"/>
    <w:rsid w:val="000F4901"/>
    <w:rsid w:val="000F4A54"/>
    <w:rsid w:val="000F4B70"/>
    <w:rsid w:val="000F4BBA"/>
    <w:rsid w:val="000F4C95"/>
    <w:rsid w:val="000F50AB"/>
    <w:rsid w:val="000F527F"/>
    <w:rsid w:val="000F5415"/>
    <w:rsid w:val="000F5456"/>
    <w:rsid w:val="000F55D9"/>
    <w:rsid w:val="000F56CA"/>
    <w:rsid w:val="000F5A2E"/>
    <w:rsid w:val="000F5C8E"/>
    <w:rsid w:val="000F5ED8"/>
    <w:rsid w:val="000F603C"/>
    <w:rsid w:val="000F61C4"/>
    <w:rsid w:val="000F68A1"/>
    <w:rsid w:val="000F6908"/>
    <w:rsid w:val="000F6B85"/>
    <w:rsid w:val="000F6BEE"/>
    <w:rsid w:val="000F6F7F"/>
    <w:rsid w:val="000F6F8A"/>
    <w:rsid w:val="000F707E"/>
    <w:rsid w:val="000F7186"/>
    <w:rsid w:val="000F73C5"/>
    <w:rsid w:val="000F78FA"/>
    <w:rsid w:val="000F7C22"/>
    <w:rsid w:val="000F7C97"/>
    <w:rsid w:val="000F7DE3"/>
    <w:rsid w:val="000F7F04"/>
    <w:rsid w:val="0010064D"/>
    <w:rsid w:val="001009D7"/>
    <w:rsid w:val="00100A57"/>
    <w:rsid w:val="00100A60"/>
    <w:rsid w:val="00100AE9"/>
    <w:rsid w:val="00100BED"/>
    <w:rsid w:val="00100D13"/>
    <w:rsid w:val="00100DE6"/>
    <w:rsid w:val="00100E09"/>
    <w:rsid w:val="00100FC3"/>
    <w:rsid w:val="00101817"/>
    <w:rsid w:val="001019CC"/>
    <w:rsid w:val="00101A30"/>
    <w:rsid w:val="00101A56"/>
    <w:rsid w:val="00101AB2"/>
    <w:rsid w:val="0010228B"/>
    <w:rsid w:val="00102668"/>
    <w:rsid w:val="00102850"/>
    <w:rsid w:val="00102EB4"/>
    <w:rsid w:val="00102FBB"/>
    <w:rsid w:val="001033D1"/>
    <w:rsid w:val="0010362B"/>
    <w:rsid w:val="0010373F"/>
    <w:rsid w:val="00103745"/>
    <w:rsid w:val="001037B2"/>
    <w:rsid w:val="0010384B"/>
    <w:rsid w:val="0010391B"/>
    <w:rsid w:val="00103B6D"/>
    <w:rsid w:val="00103FF9"/>
    <w:rsid w:val="00104269"/>
    <w:rsid w:val="00105143"/>
    <w:rsid w:val="001051A0"/>
    <w:rsid w:val="001051B1"/>
    <w:rsid w:val="0010539A"/>
    <w:rsid w:val="00105995"/>
    <w:rsid w:val="00105B57"/>
    <w:rsid w:val="00105B7D"/>
    <w:rsid w:val="00105BF4"/>
    <w:rsid w:val="001060FE"/>
    <w:rsid w:val="00106236"/>
    <w:rsid w:val="001062BC"/>
    <w:rsid w:val="00106320"/>
    <w:rsid w:val="0010635D"/>
    <w:rsid w:val="0010693C"/>
    <w:rsid w:val="00106B49"/>
    <w:rsid w:val="00106B8D"/>
    <w:rsid w:val="00106C98"/>
    <w:rsid w:val="00106F86"/>
    <w:rsid w:val="001070D5"/>
    <w:rsid w:val="00107606"/>
    <w:rsid w:val="00107738"/>
    <w:rsid w:val="001077CE"/>
    <w:rsid w:val="001078A7"/>
    <w:rsid w:val="00107A26"/>
    <w:rsid w:val="00107AA2"/>
    <w:rsid w:val="00107B9F"/>
    <w:rsid w:val="00107BA0"/>
    <w:rsid w:val="00107BB7"/>
    <w:rsid w:val="00107DC0"/>
    <w:rsid w:val="00107EC8"/>
    <w:rsid w:val="0011019A"/>
    <w:rsid w:val="00110939"/>
    <w:rsid w:val="0011096F"/>
    <w:rsid w:val="00110C50"/>
    <w:rsid w:val="00110D4F"/>
    <w:rsid w:val="00110F91"/>
    <w:rsid w:val="00111016"/>
    <w:rsid w:val="00111162"/>
    <w:rsid w:val="00111190"/>
    <w:rsid w:val="001111E7"/>
    <w:rsid w:val="0011137F"/>
    <w:rsid w:val="0011173A"/>
    <w:rsid w:val="001117F7"/>
    <w:rsid w:val="00111878"/>
    <w:rsid w:val="001118FF"/>
    <w:rsid w:val="00112193"/>
    <w:rsid w:val="00112828"/>
    <w:rsid w:val="001129E4"/>
    <w:rsid w:val="00112B6A"/>
    <w:rsid w:val="00112C90"/>
    <w:rsid w:val="00112F3A"/>
    <w:rsid w:val="0011323A"/>
    <w:rsid w:val="001133B4"/>
    <w:rsid w:val="00113697"/>
    <w:rsid w:val="00113742"/>
    <w:rsid w:val="00113AB3"/>
    <w:rsid w:val="00113AD3"/>
    <w:rsid w:val="00113C09"/>
    <w:rsid w:val="00113F3F"/>
    <w:rsid w:val="001141C3"/>
    <w:rsid w:val="001142F2"/>
    <w:rsid w:val="00114AC6"/>
    <w:rsid w:val="00114E0A"/>
    <w:rsid w:val="00114FF6"/>
    <w:rsid w:val="001151FD"/>
    <w:rsid w:val="00115202"/>
    <w:rsid w:val="00115379"/>
    <w:rsid w:val="001153B2"/>
    <w:rsid w:val="001153FA"/>
    <w:rsid w:val="001154FC"/>
    <w:rsid w:val="0011556F"/>
    <w:rsid w:val="001156A9"/>
    <w:rsid w:val="00115C9A"/>
    <w:rsid w:val="00115D2E"/>
    <w:rsid w:val="0011611D"/>
    <w:rsid w:val="0011640B"/>
    <w:rsid w:val="0011648E"/>
    <w:rsid w:val="001166E2"/>
    <w:rsid w:val="00116D55"/>
    <w:rsid w:val="00116E34"/>
    <w:rsid w:val="00116E3D"/>
    <w:rsid w:val="00116FA6"/>
    <w:rsid w:val="00117092"/>
    <w:rsid w:val="001170E8"/>
    <w:rsid w:val="0011716E"/>
    <w:rsid w:val="00117211"/>
    <w:rsid w:val="00117398"/>
    <w:rsid w:val="0011748A"/>
    <w:rsid w:val="0011795F"/>
    <w:rsid w:val="00117A2B"/>
    <w:rsid w:val="00117AF5"/>
    <w:rsid w:val="0012016D"/>
    <w:rsid w:val="001209BE"/>
    <w:rsid w:val="00120A94"/>
    <w:rsid w:val="0012108F"/>
    <w:rsid w:val="001212C6"/>
    <w:rsid w:val="00121873"/>
    <w:rsid w:val="00121AFD"/>
    <w:rsid w:val="00121D01"/>
    <w:rsid w:val="0012209F"/>
    <w:rsid w:val="0012221E"/>
    <w:rsid w:val="001222E8"/>
    <w:rsid w:val="00122343"/>
    <w:rsid w:val="00122396"/>
    <w:rsid w:val="00122B7A"/>
    <w:rsid w:val="00122C1D"/>
    <w:rsid w:val="00122D52"/>
    <w:rsid w:val="00122E4E"/>
    <w:rsid w:val="00122F28"/>
    <w:rsid w:val="001231E9"/>
    <w:rsid w:val="001231F5"/>
    <w:rsid w:val="00123A32"/>
    <w:rsid w:val="00123E1A"/>
    <w:rsid w:val="0012403F"/>
    <w:rsid w:val="00124043"/>
    <w:rsid w:val="001241C2"/>
    <w:rsid w:val="001242A9"/>
    <w:rsid w:val="00124597"/>
    <w:rsid w:val="001246B3"/>
    <w:rsid w:val="0012480A"/>
    <w:rsid w:val="00124938"/>
    <w:rsid w:val="00124C18"/>
    <w:rsid w:val="00124DEF"/>
    <w:rsid w:val="00124E64"/>
    <w:rsid w:val="00124FD3"/>
    <w:rsid w:val="00125025"/>
    <w:rsid w:val="00125137"/>
    <w:rsid w:val="001255FC"/>
    <w:rsid w:val="0012576B"/>
    <w:rsid w:val="00125833"/>
    <w:rsid w:val="001262C3"/>
    <w:rsid w:val="001263FC"/>
    <w:rsid w:val="001264BA"/>
    <w:rsid w:val="001264EA"/>
    <w:rsid w:val="00126B1E"/>
    <w:rsid w:val="00126BB8"/>
    <w:rsid w:val="0012703F"/>
    <w:rsid w:val="001270B5"/>
    <w:rsid w:val="0012717A"/>
    <w:rsid w:val="0012724D"/>
    <w:rsid w:val="0012738E"/>
    <w:rsid w:val="001278C3"/>
    <w:rsid w:val="00127E80"/>
    <w:rsid w:val="00127FF2"/>
    <w:rsid w:val="00130139"/>
    <w:rsid w:val="00130374"/>
    <w:rsid w:val="001307B4"/>
    <w:rsid w:val="001308F9"/>
    <w:rsid w:val="00130CAA"/>
    <w:rsid w:val="00131021"/>
    <w:rsid w:val="0013119E"/>
    <w:rsid w:val="001313DE"/>
    <w:rsid w:val="0013175B"/>
    <w:rsid w:val="0013182E"/>
    <w:rsid w:val="00131A71"/>
    <w:rsid w:val="00131BC1"/>
    <w:rsid w:val="00132300"/>
    <w:rsid w:val="001325C6"/>
    <w:rsid w:val="0013267E"/>
    <w:rsid w:val="00132C43"/>
    <w:rsid w:val="00132CA7"/>
    <w:rsid w:val="00132E64"/>
    <w:rsid w:val="00133059"/>
    <w:rsid w:val="0013369A"/>
    <w:rsid w:val="00133CC0"/>
    <w:rsid w:val="00133CE7"/>
    <w:rsid w:val="00133D4F"/>
    <w:rsid w:val="00133EC8"/>
    <w:rsid w:val="001343EA"/>
    <w:rsid w:val="001345E6"/>
    <w:rsid w:val="00134603"/>
    <w:rsid w:val="00134613"/>
    <w:rsid w:val="00134F68"/>
    <w:rsid w:val="00135019"/>
    <w:rsid w:val="00135170"/>
    <w:rsid w:val="00135233"/>
    <w:rsid w:val="001352C8"/>
    <w:rsid w:val="001359F2"/>
    <w:rsid w:val="00135A91"/>
    <w:rsid w:val="00135B26"/>
    <w:rsid w:val="00135CD1"/>
    <w:rsid w:val="001361A8"/>
    <w:rsid w:val="00136307"/>
    <w:rsid w:val="00136403"/>
    <w:rsid w:val="0013651A"/>
    <w:rsid w:val="00136812"/>
    <w:rsid w:val="001369C3"/>
    <w:rsid w:val="00136C33"/>
    <w:rsid w:val="0013728F"/>
    <w:rsid w:val="001372F7"/>
    <w:rsid w:val="001377C9"/>
    <w:rsid w:val="001378B4"/>
    <w:rsid w:val="00137ABE"/>
    <w:rsid w:val="00137D37"/>
    <w:rsid w:val="00137EA9"/>
    <w:rsid w:val="00137F9C"/>
    <w:rsid w:val="00137FDC"/>
    <w:rsid w:val="001405E4"/>
    <w:rsid w:val="0014067C"/>
    <w:rsid w:val="00140A20"/>
    <w:rsid w:val="00140B55"/>
    <w:rsid w:val="00141056"/>
    <w:rsid w:val="00141110"/>
    <w:rsid w:val="00141261"/>
    <w:rsid w:val="00141370"/>
    <w:rsid w:val="00141609"/>
    <w:rsid w:val="00141CCD"/>
    <w:rsid w:val="00141DDA"/>
    <w:rsid w:val="00141E8F"/>
    <w:rsid w:val="00142199"/>
    <w:rsid w:val="0014253A"/>
    <w:rsid w:val="001425D4"/>
    <w:rsid w:val="00142754"/>
    <w:rsid w:val="00142B07"/>
    <w:rsid w:val="00142B2B"/>
    <w:rsid w:val="00142B48"/>
    <w:rsid w:val="00142B5F"/>
    <w:rsid w:val="00142B87"/>
    <w:rsid w:val="00142C9E"/>
    <w:rsid w:val="00142D4D"/>
    <w:rsid w:val="00143135"/>
    <w:rsid w:val="001431D5"/>
    <w:rsid w:val="00143457"/>
    <w:rsid w:val="00143568"/>
    <w:rsid w:val="001435D2"/>
    <w:rsid w:val="00143824"/>
    <w:rsid w:val="0014426D"/>
    <w:rsid w:val="00144641"/>
    <w:rsid w:val="0014464D"/>
    <w:rsid w:val="00144654"/>
    <w:rsid w:val="00144756"/>
    <w:rsid w:val="001447B1"/>
    <w:rsid w:val="00144B78"/>
    <w:rsid w:val="0014518E"/>
    <w:rsid w:val="001452FA"/>
    <w:rsid w:val="001453D6"/>
    <w:rsid w:val="00145460"/>
    <w:rsid w:val="00145E3E"/>
    <w:rsid w:val="001461B4"/>
    <w:rsid w:val="001463A0"/>
    <w:rsid w:val="0014675D"/>
    <w:rsid w:val="0014695F"/>
    <w:rsid w:val="00146C5B"/>
    <w:rsid w:val="00146C8C"/>
    <w:rsid w:val="00146D9A"/>
    <w:rsid w:val="00146DC6"/>
    <w:rsid w:val="00146E24"/>
    <w:rsid w:val="001472D1"/>
    <w:rsid w:val="00147665"/>
    <w:rsid w:val="001478BD"/>
    <w:rsid w:val="001478F6"/>
    <w:rsid w:val="00147902"/>
    <w:rsid w:val="001479C4"/>
    <w:rsid w:val="001479E5"/>
    <w:rsid w:val="00147DC3"/>
    <w:rsid w:val="00150292"/>
    <w:rsid w:val="0015041E"/>
    <w:rsid w:val="001504DC"/>
    <w:rsid w:val="001506F6"/>
    <w:rsid w:val="0015077A"/>
    <w:rsid w:val="00150836"/>
    <w:rsid w:val="00150882"/>
    <w:rsid w:val="00150FEE"/>
    <w:rsid w:val="0015132D"/>
    <w:rsid w:val="00151641"/>
    <w:rsid w:val="00151C1B"/>
    <w:rsid w:val="00151DD9"/>
    <w:rsid w:val="00151E36"/>
    <w:rsid w:val="001526E2"/>
    <w:rsid w:val="00152743"/>
    <w:rsid w:val="001527E0"/>
    <w:rsid w:val="00152C54"/>
    <w:rsid w:val="00152ED2"/>
    <w:rsid w:val="001530B4"/>
    <w:rsid w:val="001531F1"/>
    <w:rsid w:val="0015333A"/>
    <w:rsid w:val="00153549"/>
    <w:rsid w:val="00153914"/>
    <w:rsid w:val="00153BF3"/>
    <w:rsid w:val="00153C34"/>
    <w:rsid w:val="00153ED2"/>
    <w:rsid w:val="00153F3D"/>
    <w:rsid w:val="00154065"/>
    <w:rsid w:val="001540CC"/>
    <w:rsid w:val="00154129"/>
    <w:rsid w:val="00154150"/>
    <w:rsid w:val="00154305"/>
    <w:rsid w:val="00154491"/>
    <w:rsid w:val="00154555"/>
    <w:rsid w:val="0015465A"/>
    <w:rsid w:val="00154B70"/>
    <w:rsid w:val="00154B79"/>
    <w:rsid w:val="00154E25"/>
    <w:rsid w:val="00154E3E"/>
    <w:rsid w:val="001558BE"/>
    <w:rsid w:val="00156056"/>
    <w:rsid w:val="0015619D"/>
    <w:rsid w:val="001561A2"/>
    <w:rsid w:val="001561F2"/>
    <w:rsid w:val="00156386"/>
    <w:rsid w:val="0015679A"/>
    <w:rsid w:val="00156A1E"/>
    <w:rsid w:val="00156B71"/>
    <w:rsid w:val="00156E9F"/>
    <w:rsid w:val="00156F1A"/>
    <w:rsid w:val="00156FDB"/>
    <w:rsid w:val="001571F7"/>
    <w:rsid w:val="0015736E"/>
    <w:rsid w:val="001574A9"/>
    <w:rsid w:val="001574ED"/>
    <w:rsid w:val="00157A00"/>
    <w:rsid w:val="00157A80"/>
    <w:rsid w:val="00157AFF"/>
    <w:rsid w:val="00160266"/>
    <w:rsid w:val="00160604"/>
    <w:rsid w:val="001606A1"/>
    <w:rsid w:val="001608DB"/>
    <w:rsid w:val="00160A1A"/>
    <w:rsid w:val="00160B6F"/>
    <w:rsid w:val="00161294"/>
    <w:rsid w:val="001612EE"/>
    <w:rsid w:val="001613D0"/>
    <w:rsid w:val="001613FB"/>
    <w:rsid w:val="001618FC"/>
    <w:rsid w:val="00161903"/>
    <w:rsid w:val="0016195B"/>
    <w:rsid w:val="00161971"/>
    <w:rsid w:val="001624A8"/>
    <w:rsid w:val="001625F6"/>
    <w:rsid w:val="0016277A"/>
    <w:rsid w:val="00162981"/>
    <w:rsid w:val="00162B03"/>
    <w:rsid w:val="00162E2E"/>
    <w:rsid w:val="00162FBA"/>
    <w:rsid w:val="0016303D"/>
    <w:rsid w:val="00163363"/>
    <w:rsid w:val="001639E2"/>
    <w:rsid w:val="00163A06"/>
    <w:rsid w:val="00163ABA"/>
    <w:rsid w:val="00163D52"/>
    <w:rsid w:val="00163D8B"/>
    <w:rsid w:val="00163FA2"/>
    <w:rsid w:val="00163FBB"/>
    <w:rsid w:val="001644B8"/>
    <w:rsid w:val="001644D7"/>
    <w:rsid w:val="0016468B"/>
    <w:rsid w:val="001654E5"/>
    <w:rsid w:val="0016573A"/>
    <w:rsid w:val="00165A21"/>
    <w:rsid w:val="00165EA5"/>
    <w:rsid w:val="00166667"/>
    <w:rsid w:val="00166C15"/>
    <w:rsid w:val="00166C20"/>
    <w:rsid w:val="00166F50"/>
    <w:rsid w:val="00167406"/>
    <w:rsid w:val="00167DDE"/>
    <w:rsid w:val="00170537"/>
    <w:rsid w:val="00170756"/>
    <w:rsid w:val="001707DB"/>
    <w:rsid w:val="001708C9"/>
    <w:rsid w:val="001709A8"/>
    <w:rsid w:val="00170C1B"/>
    <w:rsid w:val="00170C49"/>
    <w:rsid w:val="00171183"/>
    <w:rsid w:val="00171782"/>
    <w:rsid w:val="001717B6"/>
    <w:rsid w:val="001718CB"/>
    <w:rsid w:val="001718F9"/>
    <w:rsid w:val="00172031"/>
    <w:rsid w:val="001727B3"/>
    <w:rsid w:val="00172D01"/>
    <w:rsid w:val="00172D6D"/>
    <w:rsid w:val="00172DFF"/>
    <w:rsid w:val="00172F8F"/>
    <w:rsid w:val="00173115"/>
    <w:rsid w:val="0017324E"/>
    <w:rsid w:val="0017334B"/>
    <w:rsid w:val="00173536"/>
    <w:rsid w:val="001736CC"/>
    <w:rsid w:val="001739C7"/>
    <w:rsid w:val="00173DE1"/>
    <w:rsid w:val="00173F37"/>
    <w:rsid w:val="00173FCE"/>
    <w:rsid w:val="0017403D"/>
    <w:rsid w:val="001740ED"/>
    <w:rsid w:val="001742AB"/>
    <w:rsid w:val="00174477"/>
    <w:rsid w:val="0017455B"/>
    <w:rsid w:val="00174561"/>
    <w:rsid w:val="00174594"/>
    <w:rsid w:val="0017477C"/>
    <w:rsid w:val="001747F4"/>
    <w:rsid w:val="00174908"/>
    <w:rsid w:val="00174EAD"/>
    <w:rsid w:val="00174FD6"/>
    <w:rsid w:val="001750B1"/>
    <w:rsid w:val="001755AA"/>
    <w:rsid w:val="001756E8"/>
    <w:rsid w:val="00175813"/>
    <w:rsid w:val="00175B65"/>
    <w:rsid w:val="00175CCF"/>
    <w:rsid w:val="00176100"/>
    <w:rsid w:val="00176C1D"/>
    <w:rsid w:val="00176C78"/>
    <w:rsid w:val="00176CB3"/>
    <w:rsid w:val="00177083"/>
    <w:rsid w:val="0017726F"/>
    <w:rsid w:val="0017754C"/>
    <w:rsid w:val="00177917"/>
    <w:rsid w:val="00177C4D"/>
    <w:rsid w:val="0018016A"/>
    <w:rsid w:val="0018019C"/>
    <w:rsid w:val="001804F0"/>
    <w:rsid w:val="0018081C"/>
    <w:rsid w:val="00180BC4"/>
    <w:rsid w:val="00180E43"/>
    <w:rsid w:val="00181062"/>
    <w:rsid w:val="0018111C"/>
    <w:rsid w:val="00181213"/>
    <w:rsid w:val="001812CA"/>
    <w:rsid w:val="00181317"/>
    <w:rsid w:val="001813CA"/>
    <w:rsid w:val="001814C7"/>
    <w:rsid w:val="001816DC"/>
    <w:rsid w:val="00181D0D"/>
    <w:rsid w:val="00181DE1"/>
    <w:rsid w:val="0018243A"/>
    <w:rsid w:val="0018283E"/>
    <w:rsid w:val="0018292C"/>
    <w:rsid w:val="00182940"/>
    <w:rsid w:val="00182C85"/>
    <w:rsid w:val="00183100"/>
    <w:rsid w:val="001833B1"/>
    <w:rsid w:val="0018378C"/>
    <w:rsid w:val="001837AA"/>
    <w:rsid w:val="00183928"/>
    <w:rsid w:val="00183939"/>
    <w:rsid w:val="00183E96"/>
    <w:rsid w:val="00184173"/>
    <w:rsid w:val="00184591"/>
    <w:rsid w:val="001848A3"/>
    <w:rsid w:val="001848A6"/>
    <w:rsid w:val="001849F2"/>
    <w:rsid w:val="00184B4A"/>
    <w:rsid w:val="00184B58"/>
    <w:rsid w:val="00184E72"/>
    <w:rsid w:val="00184F98"/>
    <w:rsid w:val="001851F8"/>
    <w:rsid w:val="0018528C"/>
    <w:rsid w:val="001852E0"/>
    <w:rsid w:val="001855F0"/>
    <w:rsid w:val="0018564C"/>
    <w:rsid w:val="0018568D"/>
    <w:rsid w:val="0018571C"/>
    <w:rsid w:val="00185AF4"/>
    <w:rsid w:val="00185E79"/>
    <w:rsid w:val="001860CA"/>
    <w:rsid w:val="001862A4"/>
    <w:rsid w:val="00186397"/>
    <w:rsid w:val="00186512"/>
    <w:rsid w:val="001868BA"/>
    <w:rsid w:val="00186CF1"/>
    <w:rsid w:val="00186D0A"/>
    <w:rsid w:val="00186D67"/>
    <w:rsid w:val="00187136"/>
    <w:rsid w:val="0018716B"/>
    <w:rsid w:val="001874AA"/>
    <w:rsid w:val="00187577"/>
    <w:rsid w:val="001876B4"/>
    <w:rsid w:val="001877F0"/>
    <w:rsid w:val="0019016E"/>
    <w:rsid w:val="00190303"/>
    <w:rsid w:val="0019045A"/>
    <w:rsid w:val="0019063F"/>
    <w:rsid w:val="00190857"/>
    <w:rsid w:val="00190962"/>
    <w:rsid w:val="00190A5D"/>
    <w:rsid w:val="00190AFA"/>
    <w:rsid w:val="00190D50"/>
    <w:rsid w:val="00190DAD"/>
    <w:rsid w:val="00190E38"/>
    <w:rsid w:val="00191249"/>
    <w:rsid w:val="001912A9"/>
    <w:rsid w:val="00191339"/>
    <w:rsid w:val="00191556"/>
    <w:rsid w:val="001915B6"/>
    <w:rsid w:val="001915EF"/>
    <w:rsid w:val="00191673"/>
    <w:rsid w:val="0019170E"/>
    <w:rsid w:val="00191850"/>
    <w:rsid w:val="00191B56"/>
    <w:rsid w:val="00191E51"/>
    <w:rsid w:val="001922D1"/>
    <w:rsid w:val="00192360"/>
    <w:rsid w:val="001923F6"/>
    <w:rsid w:val="001925D9"/>
    <w:rsid w:val="001926DB"/>
    <w:rsid w:val="001927CB"/>
    <w:rsid w:val="00192A19"/>
    <w:rsid w:val="00192A88"/>
    <w:rsid w:val="00193000"/>
    <w:rsid w:val="00193016"/>
    <w:rsid w:val="001933FC"/>
    <w:rsid w:val="00193774"/>
    <w:rsid w:val="00193941"/>
    <w:rsid w:val="00193958"/>
    <w:rsid w:val="00193C40"/>
    <w:rsid w:val="00193D97"/>
    <w:rsid w:val="00193F01"/>
    <w:rsid w:val="00193FC2"/>
    <w:rsid w:val="00194129"/>
    <w:rsid w:val="00194232"/>
    <w:rsid w:val="001942C0"/>
    <w:rsid w:val="00194699"/>
    <w:rsid w:val="00194800"/>
    <w:rsid w:val="001948F5"/>
    <w:rsid w:val="001950A6"/>
    <w:rsid w:val="001950A7"/>
    <w:rsid w:val="0019514A"/>
    <w:rsid w:val="0019563B"/>
    <w:rsid w:val="00195CFB"/>
    <w:rsid w:val="00195DD7"/>
    <w:rsid w:val="00196060"/>
    <w:rsid w:val="00196270"/>
    <w:rsid w:val="0019684D"/>
    <w:rsid w:val="001969F7"/>
    <w:rsid w:val="00196B66"/>
    <w:rsid w:val="00196B7E"/>
    <w:rsid w:val="00196C00"/>
    <w:rsid w:val="0019711B"/>
    <w:rsid w:val="0019720C"/>
    <w:rsid w:val="00197442"/>
    <w:rsid w:val="00197A20"/>
    <w:rsid w:val="00197E06"/>
    <w:rsid w:val="00197F4A"/>
    <w:rsid w:val="00197FEC"/>
    <w:rsid w:val="001A0009"/>
    <w:rsid w:val="001A00A7"/>
    <w:rsid w:val="001A0126"/>
    <w:rsid w:val="001A04A7"/>
    <w:rsid w:val="001A051E"/>
    <w:rsid w:val="001A05C5"/>
    <w:rsid w:val="001A0DF8"/>
    <w:rsid w:val="001A0E00"/>
    <w:rsid w:val="001A0F22"/>
    <w:rsid w:val="001A1006"/>
    <w:rsid w:val="001A1282"/>
    <w:rsid w:val="001A13F7"/>
    <w:rsid w:val="001A16DF"/>
    <w:rsid w:val="001A171B"/>
    <w:rsid w:val="001A19ED"/>
    <w:rsid w:val="001A1ABB"/>
    <w:rsid w:val="001A1B39"/>
    <w:rsid w:val="001A1CF1"/>
    <w:rsid w:val="001A2434"/>
    <w:rsid w:val="001A26E2"/>
    <w:rsid w:val="001A2742"/>
    <w:rsid w:val="001A27BC"/>
    <w:rsid w:val="001A2805"/>
    <w:rsid w:val="001A2888"/>
    <w:rsid w:val="001A2A53"/>
    <w:rsid w:val="001A2BC0"/>
    <w:rsid w:val="001A2BD7"/>
    <w:rsid w:val="001A2C74"/>
    <w:rsid w:val="001A2C87"/>
    <w:rsid w:val="001A2DBA"/>
    <w:rsid w:val="001A32DC"/>
    <w:rsid w:val="001A37EC"/>
    <w:rsid w:val="001A3C85"/>
    <w:rsid w:val="001A3EAC"/>
    <w:rsid w:val="001A4141"/>
    <w:rsid w:val="001A4160"/>
    <w:rsid w:val="001A4184"/>
    <w:rsid w:val="001A4268"/>
    <w:rsid w:val="001A4279"/>
    <w:rsid w:val="001A4634"/>
    <w:rsid w:val="001A47BC"/>
    <w:rsid w:val="001A4833"/>
    <w:rsid w:val="001A48A6"/>
    <w:rsid w:val="001A49FB"/>
    <w:rsid w:val="001A4B08"/>
    <w:rsid w:val="001A4BDF"/>
    <w:rsid w:val="001A4CCD"/>
    <w:rsid w:val="001A4CCE"/>
    <w:rsid w:val="001A4E46"/>
    <w:rsid w:val="001A4EBD"/>
    <w:rsid w:val="001A501C"/>
    <w:rsid w:val="001A5072"/>
    <w:rsid w:val="001A50E1"/>
    <w:rsid w:val="001A522F"/>
    <w:rsid w:val="001A523F"/>
    <w:rsid w:val="001A55C9"/>
    <w:rsid w:val="001A584A"/>
    <w:rsid w:val="001A587A"/>
    <w:rsid w:val="001A5B74"/>
    <w:rsid w:val="001A5C85"/>
    <w:rsid w:val="001A5DDC"/>
    <w:rsid w:val="001A62C9"/>
    <w:rsid w:val="001A6504"/>
    <w:rsid w:val="001A6660"/>
    <w:rsid w:val="001A696A"/>
    <w:rsid w:val="001A6A32"/>
    <w:rsid w:val="001A6E34"/>
    <w:rsid w:val="001A6FCE"/>
    <w:rsid w:val="001A7039"/>
    <w:rsid w:val="001A7045"/>
    <w:rsid w:val="001A708F"/>
    <w:rsid w:val="001A729F"/>
    <w:rsid w:val="001A7348"/>
    <w:rsid w:val="001A7386"/>
    <w:rsid w:val="001A73B0"/>
    <w:rsid w:val="001A73B8"/>
    <w:rsid w:val="001A73BC"/>
    <w:rsid w:val="001A7543"/>
    <w:rsid w:val="001A758F"/>
    <w:rsid w:val="001A759E"/>
    <w:rsid w:val="001A7747"/>
    <w:rsid w:val="001B0099"/>
    <w:rsid w:val="001B00B1"/>
    <w:rsid w:val="001B0603"/>
    <w:rsid w:val="001B0607"/>
    <w:rsid w:val="001B0D13"/>
    <w:rsid w:val="001B0FDB"/>
    <w:rsid w:val="001B117B"/>
    <w:rsid w:val="001B1634"/>
    <w:rsid w:val="001B16A5"/>
    <w:rsid w:val="001B1B69"/>
    <w:rsid w:val="001B24BA"/>
    <w:rsid w:val="001B2641"/>
    <w:rsid w:val="001B26F7"/>
    <w:rsid w:val="001B27A2"/>
    <w:rsid w:val="001B27CA"/>
    <w:rsid w:val="001B2A3C"/>
    <w:rsid w:val="001B2CD9"/>
    <w:rsid w:val="001B2DC0"/>
    <w:rsid w:val="001B2F84"/>
    <w:rsid w:val="001B2FAD"/>
    <w:rsid w:val="001B3323"/>
    <w:rsid w:val="001B35C3"/>
    <w:rsid w:val="001B39D3"/>
    <w:rsid w:val="001B39E0"/>
    <w:rsid w:val="001B3D1D"/>
    <w:rsid w:val="001B3EB7"/>
    <w:rsid w:val="001B3F9E"/>
    <w:rsid w:val="001B4144"/>
    <w:rsid w:val="001B415D"/>
    <w:rsid w:val="001B432E"/>
    <w:rsid w:val="001B43C8"/>
    <w:rsid w:val="001B4487"/>
    <w:rsid w:val="001B458D"/>
    <w:rsid w:val="001B467C"/>
    <w:rsid w:val="001B4F62"/>
    <w:rsid w:val="001B4F74"/>
    <w:rsid w:val="001B5016"/>
    <w:rsid w:val="001B52F1"/>
    <w:rsid w:val="001B532A"/>
    <w:rsid w:val="001B5518"/>
    <w:rsid w:val="001B5724"/>
    <w:rsid w:val="001B584A"/>
    <w:rsid w:val="001B58C0"/>
    <w:rsid w:val="001B5E40"/>
    <w:rsid w:val="001B5EFA"/>
    <w:rsid w:val="001B619B"/>
    <w:rsid w:val="001B61D9"/>
    <w:rsid w:val="001B620F"/>
    <w:rsid w:val="001B62AC"/>
    <w:rsid w:val="001B62F0"/>
    <w:rsid w:val="001B6457"/>
    <w:rsid w:val="001B667D"/>
    <w:rsid w:val="001B681F"/>
    <w:rsid w:val="001B702C"/>
    <w:rsid w:val="001B7056"/>
    <w:rsid w:val="001B706B"/>
    <w:rsid w:val="001B71C2"/>
    <w:rsid w:val="001B75B0"/>
    <w:rsid w:val="001B7772"/>
    <w:rsid w:val="001B77E1"/>
    <w:rsid w:val="001B788D"/>
    <w:rsid w:val="001B796C"/>
    <w:rsid w:val="001B79E3"/>
    <w:rsid w:val="001B7BC7"/>
    <w:rsid w:val="001B7C25"/>
    <w:rsid w:val="001C0507"/>
    <w:rsid w:val="001C0528"/>
    <w:rsid w:val="001C0660"/>
    <w:rsid w:val="001C0788"/>
    <w:rsid w:val="001C0AB6"/>
    <w:rsid w:val="001C0B22"/>
    <w:rsid w:val="001C0F79"/>
    <w:rsid w:val="001C1652"/>
    <w:rsid w:val="001C17EA"/>
    <w:rsid w:val="001C18EF"/>
    <w:rsid w:val="001C191F"/>
    <w:rsid w:val="001C1946"/>
    <w:rsid w:val="001C197B"/>
    <w:rsid w:val="001C19B0"/>
    <w:rsid w:val="001C1B8F"/>
    <w:rsid w:val="001C202A"/>
    <w:rsid w:val="001C2775"/>
    <w:rsid w:val="001C28D5"/>
    <w:rsid w:val="001C2981"/>
    <w:rsid w:val="001C29A2"/>
    <w:rsid w:val="001C2AB1"/>
    <w:rsid w:val="001C2E15"/>
    <w:rsid w:val="001C2FB1"/>
    <w:rsid w:val="001C32A0"/>
    <w:rsid w:val="001C342A"/>
    <w:rsid w:val="001C3527"/>
    <w:rsid w:val="001C3961"/>
    <w:rsid w:val="001C3AB5"/>
    <w:rsid w:val="001C3B1F"/>
    <w:rsid w:val="001C3C18"/>
    <w:rsid w:val="001C3C90"/>
    <w:rsid w:val="001C3D6A"/>
    <w:rsid w:val="001C3E0F"/>
    <w:rsid w:val="001C4044"/>
    <w:rsid w:val="001C41C5"/>
    <w:rsid w:val="001C460B"/>
    <w:rsid w:val="001C4B78"/>
    <w:rsid w:val="001C4CEB"/>
    <w:rsid w:val="001C4EDE"/>
    <w:rsid w:val="001C50D6"/>
    <w:rsid w:val="001C51D9"/>
    <w:rsid w:val="001C5505"/>
    <w:rsid w:val="001C55EB"/>
    <w:rsid w:val="001C5A0B"/>
    <w:rsid w:val="001C5A3C"/>
    <w:rsid w:val="001C5C89"/>
    <w:rsid w:val="001C5ED5"/>
    <w:rsid w:val="001C5EEB"/>
    <w:rsid w:val="001C5F2D"/>
    <w:rsid w:val="001C60B9"/>
    <w:rsid w:val="001C653C"/>
    <w:rsid w:val="001C65B3"/>
    <w:rsid w:val="001C6798"/>
    <w:rsid w:val="001C68C4"/>
    <w:rsid w:val="001C692E"/>
    <w:rsid w:val="001C69AC"/>
    <w:rsid w:val="001C6EBF"/>
    <w:rsid w:val="001C72E7"/>
    <w:rsid w:val="001C73DC"/>
    <w:rsid w:val="001C74BC"/>
    <w:rsid w:val="001C7AAB"/>
    <w:rsid w:val="001C7D5D"/>
    <w:rsid w:val="001C7EAD"/>
    <w:rsid w:val="001C7FD3"/>
    <w:rsid w:val="001D00DC"/>
    <w:rsid w:val="001D029C"/>
    <w:rsid w:val="001D0401"/>
    <w:rsid w:val="001D0724"/>
    <w:rsid w:val="001D0873"/>
    <w:rsid w:val="001D0C73"/>
    <w:rsid w:val="001D0F7B"/>
    <w:rsid w:val="001D1405"/>
    <w:rsid w:val="001D1A85"/>
    <w:rsid w:val="001D22B8"/>
    <w:rsid w:val="001D2848"/>
    <w:rsid w:val="001D2A3C"/>
    <w:rsid w:val="001D2ADE"/>
    <w:rsid w:val="001D2B38"/>
    <w:rsid w:val="001D2F9E"/>
    <w:rsid w:val="001D2FE6"/>
    <w:rsid w:val="001D30F0"/>
    <w:rsid w:val="001D33EA"/>
    <w:rsid w:val="001D3566"/>
    <w:rsid w:val="001D361D"/>
    <w:rsid w:val="001D3670"/>
    <w:rsid w:val="001D3901"/>
    <w:rsid w:val="001D3951"/>
    <w:rsid w:val="001D3B7B"/>
    <w:rsid w:val="001D3BFE"/>
    <w:rsid w:val="001D3C62"/>
    <w:rsid w:val="001D3DCA"/>
    <w:rsid w:val="001D43AB"/>
    <w:rsid w:val="001D4444"/>
    <w:rsid w:val="001D45D3"/>
    <w:rsid w:val="001D46D5"/>
    <w:rsid w:val="001D479E"/>
    <w:rsid w:val="001D4899"/>
    <w:rsid w:val="001D4B12"/>
    <w:rsid w:val="001D4C99"/>
    <w:rsid w:val="001D4DE4"/>
    <w:rsid w:val="001D4E8F"/>
    <w:rsid w:val="001D50C9"/>
    <w:rsid w:val="001D51B9"/>
    <w:rsid w:val="001D52C7"/>
    <w:rsid w:val="001D577B"/>
    <w:rsid w:val="001D58C0"/>
    <w:rsid w:val="001D58ED"/>
    <w:rsid w:val="001D5B72"/>
    <w:rsid w:val="001D5CC9"/>
    <w:rsid w:val="001D6008"/>
    <w:rsid w:val="001D6763"/>
    <w:rsid w:val="001D69AD"/>
    <w:rsid w:val="001D69CC"/>
    <w:rsid w:val="001D6C16"/>
    <w:rsid w:val="001D6C8A"/>
    <w:rsid w:val="001D6D7C"/>
    <w:rsid w:val="001D6EA9"/>
    <w:rsid w:val="001D6F61"/>
    <w:rsid w:val="001D71B2"/>
    <w:rsid w:val="001D74D7"/>
    <w:rsid w:val="001D773F"/>
    <w:rsid w:val="001D789C"/>
    <w:rsid w:val="001D7E32"/>
    <w:rsid w:val="001D7E91"/>
    <w:rsid w:val="001D7EEE"/>
    <w:rsid w:val="001E0186"/>
    <w:rsid w:val="001E02AB"/>
    <w:rsid w:val="001E0337"/>
    <w:rsid w:val="001E042C"/>
    <w:rsid w:val="001E048B"/>
    <w:rsid w:val="001E048F"/>
    <w:rsid w:val="001E0ACB"/>
    <w:rsid w:val="001E0AF7"/>
    <w:rsid w:val="001E0C81"/>
    <w:rsid w:val="001E0CFC"/>
    <w:rsid w:val="001E0EA0"/>
    <w:rsid w:val="001E1079"/>
    <w:rsid w:val="001E10C7"/>
    <w:rsid w:val="001E16B5"/>
    <w:rsid w:val="001E195B"/>
    <w:rsid w:val="001E1C89"/>
    <w:rsid w:val="001E1F1B"/>
    <w:rsid w:val="001E1FE5"/>
    <w:rsid w:val="001E20D2"/>
    <w:rsid w:val="001E2332"/>
    <w:rsid w:val="001E25A6"/>
    <w:rsid w:val="001E287F"/>
    <w:rsid w:val="001E2ADF"/>
    <w:rsid w:val="001E2D45"/>
    <w:rsid w:val="001E2E76"/>
    <w:rsid w:val="001E2EAD"/>
    <w:rsid w:val="001E2EF4"/>
    <w:rsid w:val="001E2F03"/>
    <w:rsid w:val="001E2F2F"/>
    <w:rsid w:val="001E3708"/>
    <w:rsid w:val="001E38F4"/>
    <w:rsid w:val="001E3C0E"/>
    <w:rsid w:val="001E3FED"/>
    <w:rsid w:val="001E4288"/>
    <w:rsid w:val="001E4829"/>
    <w:rsid w:val="001E4A70"/>
    <w:rsid w:val="001E4AAB"/>
    <w:rsid w:val="001E5083"/>
    <w:rsid w:val="001E52B3"/>
    <w:rsid w:val="001E5339"/>
    <w:rsid w:val="001E53DA"/>
    <w:rsid w:val="001E570A"/>
    <w:rsid w:val="001E57DF"/>
    <w:rsid w:val="001E5831"/>
    <w:rsid w:val="001E5D39"/>
    <w:rsid w:val="001E5E0F"/>
    <w:rsid w:val="001E5EBC"/>
    <w:rsid w:val="001E61F8"/>
    <w:rsid w:val="001E656B"/>
    <w:rsid w:val="001E65D0"/>
    <w:rsid w:val="001E6708"/>
    <w:rsid w:val="001E6A28"/>
    <w:rsid w:val="001E6AAE"/>
    <w:rsid w:val="001E6CFC"/>
    <w:rsid w:val="001E726F"/>
    <w:rsid w:val="001E7337"/>
    <w:rsid w:val="001E73A7"/>
    <w:rsid w:val="001E7884"/>
    <w:rsid w:val="001E7972"/>
    <w:rsid w:val="001E79B6"/>
    <w:rsid w:val="001E7A0B"/>
    <w:rsid w:val="001E7AD9"/>
    <w:rsid w:val="001E7B65"/>
    <w:rsid w:val="001E7B6C"/>
    <w:rsid w:val="001F0038"/>
    <w:rsid w:val="001F00F4"/>
    <w:rsid w:val="001F012E"/>
    <w:rsid w:val="001F0208"/>
    <w:rsid w:val="001F05E6"/>
    <w:rsid w:val="001F097D"/>
    <w:rsid w:val="001F0A75"/>
    <w:rsid w:val="001F0BE2"/>
    <w:rsid w:val="001F0CE1"/>
    <w:rsid w:val="001F0F76"/>
    <w:rsid w:val="001F0F91"/>
    <w:rsid w:val="001F0FFF"/>
    <w:rsid w:val="001F1175"/>
    <w:rsid w:val="001F153F"/>
    <w:rsid w:val="001F1627"/>
    <w:rsid w:val="001F17CB"/>
    <w:rsid w:val="001F1B64"/>
    <w:rsid w:val="001F1C6E"/>
    <w:rsid w:val="001F1DA5"/>
    <w:rsid w:val="001F1E0E"/>
    <w:rsid w:val="001F22D5"/>
    <w:rsid w:val="001F2461"/>
    <w:rsid w:val="001F249C"/>
    <w:rsid w:val="001F26B7"/>
    <w:rsid w:val="001F2B16"/>
    <w:rsid w:val="001F2D7D"/>
    <w:rsid w:val="001F37CC"/>
    <w:rsid w:val="001F3C09"/>
    <w:rsid w:val="001F442B"/>
    <w:rsid w:val="001F44A0"/>
    <w:rsid w:val="001F450B"/>
    <w:rsid w:val="001F4531"/>
    <w:rsid w:val="001F45DD"/>
    <w:rsid w:val="001F4887"/>
    <w:rsid w:val="001F4B16"/>
    <w:rsid w:val="001F4E59"/>
    <w:rsid w:val="001F5002"/>
    <w:rsid w:val="001F5221"/>
    <w:rsid w:val="001F555A"/>
    <w:rsid w:val="001F5BC5"/>
    <w:rsid w:val="001F5C05"/>
    <w:rsid w:val="001F60DE"/>
    <w:rsid w:val="001F634B"/>
    <w:rsid w:val="001F657D"/>
    <w:rsid w:val="001F6650"/>
    <w:rsid w:val="001F67BC"/>
    <w:rsid w:val="001F69AE"/>
    <w:rsid w:val="001F6CFD"/>
    <w:rsid w:val="001F6F6D"/>
    <w:rsid w:val="001F7023"/>
    <w:rsid w:val="001F71B2"/>
    <w:rsid w:val="001F7419"/>
    <w:rsid w:val="001F7464"/>
    <w:rsid w:val="001F76BF"/>
    <w:rsid w:val="001F79E5"/>
    <w:rsid w:val="001F7A5B"/>
    <w:rsid w:val="001F7B60"/>
    <w:rsid w:val="001F7BF1"/>
    <w:rsid w:val="001F7D58"/>
    <w:rsid w:val="0020046E"/>
    <w:rsid w:val="00200544"/>
    <w:rsid w:val="002005FF"/>
    <w:rsid w:val="00200615"/>
    <w:rsid w:val="00200675"/>
    <w:rsid w:val="00200BC2"/>
    <w:rsid w:val="00200D3B"/>
    <w:rsid w:val="00200ED6"/>
    <w:rsid w:val="0020106D"/>
    <w:rsid w:val="002013D2"/>
    <w:rsid w:val="002014E6"/>
    <w:rsid w:val="0020183F"/>
    <w:rsid w:val="00201899"/>
    <w:rsid w:val="002028C4"/>
    <w:rsid w:val="00202A8B"/>
    <w:rsid w:val="00202B0A"/>
    <w:rsid w:val="00202B7E"/>
    <w:rsid w:val="00202BEA"/>
    <w:rsid w:val="00202F3D"/>
    <w:rsid w:val="00203013"/>
    <w:rsid w:val="00203B43"/>
    <w:rsid w:val="00203B86"/>
    <w:rsid w:val="00203BC2"/>
    <w:rsid w:val="00203CAC"/>
    <w:rsid w:val="00203DA0"/>
    <w:rsid w:val="00203DA3"/>
    <w:rsid w:val="00203E13"/>
    <w:rsid w:val="00203F3C"/>
    <w:rsid w:val="0020421E"/>
    <w:rsid w:val="002043BF"/>
    <w:rsid w:val="00204437"/>
    <w:rsid w:val="00204477"/>
    <w:rsid w:val="00204484"/>
    <w:rsid w:val="00204707"/>
    <w:rsid w:val="00204739"/>
    <w:rsid w:val="00204BC6"/>
    <w:rsid w:val="00204CD8"/>
    <w:rsid w:val="00204EE7"/>
    <w:rsid w:val="00204F8B"/>
    <w:rsid w:val="00205145"/>
    <w:rsid w:val="002053E2"/>
    <w:rsid w:val="002053FC"/>
    <w:rsid w:val="00205429"/>
    <w:rsid w:val="002055F8"/>
    <w:rsid w:val="00205617"/>
    <w:rsid w:val="002057FB"/>
    <w:rsid w:val="00205DD0"/>
    <w:rsid w:val="002061DC"/>
    <w:rsid w:val="00206578"/>
    <w:rsid w:val="002065A6"/>
    <w:rsid w:val="00206651"/>
    <w:rsid w:val="0020674E"/>
    <w:rsid w:val="002068D0"/>
    <w:rsid w:val="00206B22"/>
    <w:rsid w:val="00206D39"/>
    <w:rsid w:val="0020704C"/>
    <w:rsid w:val="002070D4"/>
    <w:rsid w:val="002071F0"/>
    <w:rsid w:val="0020721B"/>
    <w:rsid w:val="00207C29"/>
    <w:rsid w:val="00207FD9"/>
    <w:rsid w:val="002100A6"/>
    <w:rsid w:val="00210192"/>
    <w:rsid w:val="002102B2"/>
    <w:rsid w:val="00210485"/>
    <w:rsid w:val="00210B33"/>
    <w:rsid w:val="00210DE7"/>
    <w:rsid w:val="00210E2E"/>
    <w:rsid w:val="00210FAB"/>
    <w:rsid w:val="0021104E"/>
    <w:rsid w:val="002112B0"/>
    <w:rsid w:val="002114C4"/>
    <w:rsid w:val="00211538"/>
    <w:rsid w:val="0021175C"/>
    <w:rsid w:val="00211A48"/>
    <w:rsid w:val="00211C12"/>
    <w:rsid w:val="00211FE5"/>
    <w:rsid w:val="00212030"/>
    <w:rsid w:val="00212334"/>
    <w:rsid w:val="002124E1"/>
    <w:rsid w:val="002124E8"/>
    <w:rsid w:val="0021267B"/>
    <w:rsid w:val="00212A7D"/>
    <w:rsid w:val="00212D93"/>
    <w:rsid w:val="00212DAD"/>
    <w:rsid w:val="00212DE5"/>
    <w:rsid w:val="00212E2C"/>
    <w:rsid w:val="00212EE2"/>
    <w:rsid w:val="00213548"/>
    <w:rsid w:val="0021354C"/>
    <w:rsid w:val="002138F4"/>
    <w:rsid w:val="0021391A"/>
    <w:rsid w:val="00213C2A"/>
    <w:rsid w:val="00213ED3"/>
    <w:rsid w:val="00213F03"/>
    <w:rsid w:val="00213F9F"/>
    <w:rsid w:val="00214225"/>
    <w:rsid w:val="00214439"/>
    <w:rsid w:val="00214A26"/>
    <w:rsid w:val="00214AD1"/>
    <w:rsid w:val="00214D3B"/>
    <w:rsid w:val="00214DB9"/>
    <w:rsid w:val="00214EEC"/>
    <w:rsid w:val="00214F92"/>
    <w:rsid w:val="00215291"/>
    <w:rsid w:val="00215361"/>
    <w:rsid w:val="00215451"/>
    <w:rsid w:val="00215888"/>
    <w:rsid w:val="0021589F"/>
    <w:rsid w:val="00215DE9"/>
    <w:rsid w:val="00215FE4"/>
    <w:rsid w:val="00216705"/>
    <w:rsid w:val="00216D91"/>
    <w:rsid w:val="00216DE2"/>
    <w:rsid w:val="00216ECC"/>
    <w:rsid w:val="00216FB2"/>
    <w:rsid w:val="0021710E"/>
    <w:rsid w:val="002171AD"/>
    <w:rsid w:val="002174C1"/>
    <w:rsid w:val="0021780C"/>
    <w:rsid w:val="00217A1D"/>
    <w:rsid w:val="00217D29"/>
    <w:rsid w:val="00217E59"/>
    <w:rsid w:val="00217FAA"/>
    <w:rsid w:val="00217FF0"/>
    <w:rsid w:val="00220189"/>
    <w:rsid w:val="002205F6"/>
    <w:rsid w:val="00220830"/>
    <w:rsid w:val="00220851"/>
    <w:rsid w:val="002208EB"/>
    <w:rsid w:val="00220F4C"/>
    <w:rsid w:val="002211DD"/>
    <w:rsid w:val="00221734"/>
    <w:rsid w:val="00221765"/>
    <w:rsid w:val="00221894"/>
    <w:rsid w:val="002219F0"/>
    <w:rsid w:val="00221C5D"/>
    <w:rsid w:val="0022201E"/>
    <w:rsid w:val="002224D8"/>
    <w:rsid w:val="00222857"/>
    <w:rsid w:val="00222D69"/>
    <w:rsid w:val="00223189"/>
    <w:rsid w:val="00223366"/>
    <w:rsid w:val="00223613"/>
    <w:rsid w:val="00223B09"/>
    <w:rsid w:val="00223BB2"/>
    <w:rsid w:val="00223D45"/>
    <w:rsid w:val="00223E02"/>
    <w:rsid w:val="00224292"/>
    <w:rsid w:val="00224446"/>
    <w:rsid w:val="00224491"/>
    <w:rsid w:val="00224766"/>
    <w:rsid w:val="0022476E"/>
    <w:rsid w:val="002248B4"/>
    <w:rsid w:val="00224956"/>
    <w:rsid w:val="00224B0E"/>
    <w:rsid w:val="00224D3E"/>
    <w:rsid w:val="0022514D"/>
    <w:rsid w:val="002252DD"/>
    <w:rsid w:val="002253A6"/>
    <w:rsid w:val="002257E1"/>
    <w:rsid w:val="00225BD5"/>
    <w:rsid w:val="00225DDA"/>
    <w:rsid w:val="00226201"/>
    <w:rsid w:val="002265C8"/>
    <w:rsid w:val="002268A5"/>
    <w:rsid w:val="00226A7B"/>
    <w:rsid w:val="00226B9E"/>
    <w:rsid w:val="00226F51"/>
    <w:rsid w:val="00227091"/>
    <w:rsid w:val="0022711D"/>
    <w:rsid w:val="002275B3"/>
    <w:rsid w:val="00227B84"/>
    <w:rsid w:val="00227B91"/>
    <w:rsid w:val="00230101"/>
    <w:rsid w:val="002302EA"/>
    <w:rsid w:val="00230527"/>
    <w:rsid w:val="002305FC"/>
    <w:rsid w:val="002307AE"/>
    <w:rsid w:val="002309A7"/>
    <w:rsid w:val="00230D6C"/>
    <w:rsid w:val="00230E39"/>
    <w:rsid w:val="00230ECC"/>
    <w:rsid w:val="00230F07"/>
    <w:rsid w:val="00230FCF"/>
    <w:rsid w:val="002315B9"/>
    <w:rsid w:val="002315C5"/>
    <w:rsid w:val="002319DF"/>
    <w:rsid w:val="00231DE9"/>
    <w:rsid w:val="002322D4"/>
    <w:rsid w:val="00232540"/>
    <w:rsid w:val="00232685"/>
    <w:rsid w:val="002326BB"/>
    <w:rsid w:val="002327D1"/>
    <w:rsid w:val="0023286E"/>
    <w:rsid w:val="00232B94"/>
    <w:rsid w:val="00232C0F"/>
    <w:rsid w:val="00232D4C"/>
    <w:rsid w:val="0023313B"/>
    <w:rsid w:val="002331FD"/>
    <w:rsid w:val="00233628"/>
    <w:rsid w:val="002337F2"/>
    <w:rsid w:val="00233877"/>
    <w:rsid w:val="00233AE4"/>
    <w:rsid w:val="00233C0A"/>
    <w:rsid w:val="00233D7E"/>
    <w:rsid w:val="00233DEF"/>
    <w:rsid w:val="0023429F"/>
    <w:rsid w:val="0023464F"/>
    <w:rsid w:val="00234910"/>
    <w:rsid w:val="00234C75"/>
    <w:rsid w:val="00234DC0"/>
    <w:rsid w:val="00235164"/>
    <w:rsid w:val="0023525E"/>
    <w:rsid w:val="0023535B"/>
    <w:rsid w:val="00235647"/>
    <w:rsid w:val="00235717"/>
    <w:rsid w:val="00235744"/>
    <w:rsid w:val="002359BE"/>
    <w:rsid w:val="00235A2C"/>
    <w:rsid w:val="00236310"/>
    <w:rsid w:val="00236390"/>
    <w:rsid w:val="00236797"/>
    <w:rsid w:val="00236A6A"/>
    <w:rsid w:val="00236B78"/>
    <w:rsid w:val="00236BE6"/>
    <w:rsid w:val="00236EE2"/>
    <w:rsid w:val="00237172"/>
    <w:rsid w:val="002372CA"/>
    <w:rsid w:val="002372E6"/>
    <w:rsid w:val="0023737A"/>
    <w:rsid w:val="00237707"/>
    <w:rsid w:val="00237ADD"/>
    <w:rsid w:val="00240AD5"/>
    <w:rsid w:val="00240DA6"/>
    <w:rsid w:val="00240F33"/>
    <w:rsid w:val="00241519"/>
    <w:rsid w:val="00241748"/>
    <w:rsid w:val="00241A26"/>
    <w:rsid w:val="00241EF6"/>
    <w:rsid w:val="00241F7B"/>
    <w:rsid w:val="0024206E"/>
    <w:rsid w:val="00242130"/>
    <w:rsid w:val="002424C2"/>
    <w:rsid w:val="002426A6"/>
    <w:rsid w:val="00242719"/>
    <w:rsid w:val="00242ADF"/>
    <w:rsid w:val="00243094"/>
    <w:rsid w:val="00243244"/>
    <w:rsid w:val="0024336D"/>
    <w:rsid w:val="002433AB"/>
    <w:rsid w:val="002436C6"/>
    <w:rsid w:val="002436C9"/>
    <w:rsid w:val="0024371D"/>
    <w:rsid w:val="002437BE"/>
    <w:rsid w:val="00243969"/>
    <w:rsid w:val="00243979"/>
    <w:rsid w:val="002439A0"/>
    <w:rsid w:val="00243B1C"/>
    <w:rsid w:val="00243BA0"/>
    <w:rsid w:val="00243F59"/>
    <w:rsid w:val="0024409A"/>
    <w:rsid w:val="00244492"/>
    <w:rsid w:val="0024487C"/>
    <w:rsid w:val="00244951"/>
    <w:rsid w:val="00244A40"/>
    <w:rsid w:val="00244ACB"/>
    <w:rsid w:val="00244B4C"/>
    <w:rsid w:val="00244B5F"/>
    <w:rsid w:val="00244BC2"/>
    <w:rsid w:val="00244F0C"/>
    <w:rsid w:val="002455E0"/>
    <w:rsid w:val="00245700"/>
    <w:rsid w:val="00245A07"/>
    <w:rsid w:val="00245C19"/>
    <w:rsid w:val="00246143"/>
    <w:rsid w:val="002461D6"/>
    <w:rsid w:val="00246223"/>
    <w:rsid w:val="00246483"/>
    <w:rsid w:val="0024650A"/>
    <w:rsid w:val="002467DA"/>
    <w:rsid w:val="00246967"/>
    <w:rsid w:val="00246ED9"/>
    <w:rsid w:val="0024714F"/>
    <w:rsid w:val="00247232"/>
    <w:rsid w:val="00247329"/>
    <w:rsid w:val="002473D0"/>
    <w:rsid w:val="002474FC"/>
    <w:rsid w:val="0024758E"/>
    <w:rsid w:val="00247AA0"/>
    <w:rsid w:val="00247B30"/>
    <w:rsid w:val="00247C93"/>
    <w:rsid w:val="00247E54"/>
    <w:rsid w:val="00247F62"/>
    <w:rsid w:val="002501B4"/>
    <w:rsid w:val="002502E7"/>
    <w:rsid w:val="00250B23"/>
    <w:rsid w:val="00251552"/>
    <w:rsid w:val="002516F3"/>
    <w:rsid w:val="00251845"/>
    <w:rsid w:val="0025190C"/>
    <w:rsid w:val="0025194A"/>
    <w:rsid w:val="002519EB"/>
    <w:rsid w:val="00251B3E"/>
    <w:rsid w:val="00251BD8"/>
    <w:rsid w:val="00251D53"/>
    <w:rsid w:val="0025226E"/>
    <w:rsid w:val="00252507"/>
    <w:rsid w:val="00252558"/>
    <w:rsid w:val="00252578"/>
    <w:rsid w:val="00252814"/>
    <w:rsid w:val="002528B3"/>
    <w:rsid w:val="00252945"/>
    <w:rsid w:val="00252EFD"/>
    <w:rsid w:val="00253545"/>
    <w:rsid w:val="00253868"/>
    <w:rsid w:val="002538F9"/>
    <w:rsid w:val="00253B69"/>
    <w:rsid w:val="0025413A"/>
    <w:rsid w:val="002542FC"/>
    <w:rsid w:val="002542FE"/>
    <w:rsid w:val="002544D3"/>
    <w:rsid w:val="00254642"/>
    <w:rsid w:val="00254683"/>
    <w:rsid w:val="00254695"/>
    <w:rsid w:val="0025471F"/>
    <w:rsid w:val="00254A48"/>
    <w:rsid w:val="00254C30"/>
    <w:rsid w:val="00254C4C"/>
    <w:rsid w:val="00254D0D"/>
    <w:rsid w:val="00255818"/>
    <w:rsid w:val="002558CF"/>
    <w:rsid w:val="0025591B"/>
    <w:rsid w:val="00255946"/>
    <w:rsid w:val="002559D4"/>
    <w:rsid w:val="00255BFA"/>
    <w:rsid w:val="00255C07"/>
    <w:rsid w:val="00255F83"/>
    <w:rsid w:val="00255FBB"/>
    <w:rsid w:val="0025615D"/>
    <w:rsid w:val="0025620E"/>
    <w:rsid w:val="00256236"/>
    <w:rsid w:val="00256314"/>
    <w:rsid w:val="00256417"/>
    <w:rsid w:val="002565EA"/>
    <w:rsid w:val="00256607"/>
    <w:rsid w:val="002566D0"/>
    <w:rsid w:val="002567D4"/>
    <w:rsid w:val="002567EB"/>
    <w:rsid w:val="00256B17"/>
    <w:rsid w:val="00256EDD"/>
    <w:rsid w:val="00257041"/>
    <w:rsid w:val="00257042"/>
    <w:rsid w:val="00257279"/>
    <w:rsid w:val="00260138"/>
    <w:rsid w:val="00260489"/>
    <w:rsid w:val="002606F2"/>
    <w:rsid w:val="0026072C"/>
    <w:rsid w:val="002608A6"/>
    <w:rsid w:val="00260D24"/>
    <w:rsid w:val="002612F3"/>
    <w:rsid w:val="0026165A"/>
    <w:rsid w:val="00261B3C"/>
    <w:rsid w:val="00261B4B"/>
    <w:rsid w:val="00261BCE"/>
    <w:rsid w:val="00261C38"/>
    <w:rsid w:val="00261C5B"/>
    <w:rsid w:val="00261DBE"/>
    <w:rsid w:val="00261DF8"/>
    <w:rsid w:val="00262015"/>
    <w:rsid w:val="00262467"/>
    <w:rsid w:val="00262625"/>
    <w:rsid w:val="00262744"/>
    <w:rsid w:val="0026280F"/>
    <w:rsid w:val="00262925"/>
    <w:rsid w:val="00262B48"/>
    <w:rsid w:val="00262B6D"/>
    <w:rsid w:val="00262DE8"/>
    <w:rsid w:val="002632EE"/>
    <w:rsid w:val="00263308"/>
    <w:rsid w:val="00263989"/>
    <w:rsid w:val="002639B5"/>
    <w:rsid w:val="00263D11"/>
    <w:rsid w:val="002643CA"/>
    <w:rsid w:val="00264524"/>
    <w:rsid w:val="00264641"/>
    <w:rsid w:val="002647CF"/>
    <w:rsid w:val="00264827"/>
    <w:rsid w:val="00264AC4"/>
    <w:rsid w:val="00264B50"/>
    <w:rsid w:val="00264FC9"/>
    <w:rsid w:val="002650A8"/>
    <w:rsid w:val="002650BC"/>
    <w:rsid w:val="002651D9"/>
    <w:rsid w:val="002658F0"/>
    <w:rsid w:val="00265A0B"/>
    <w:rsid w:val="00265B59"/>
    <w:rsid w:val="00265E1F"/>
    <w:rsid w:val="00265F7D"/>
    <w:rsid w:val="002660BC"/>
    <w:rsid w:val="00266351"/>
    <w:rsid w:val="00266356"/>
    <w:rsid w:val="0026636C"/>
    <w:rsid w:val="00266461"/>
    <w:rsid w:val="00266A2F"/>
    <w:rsid w:val="00266AD8"/>
    <w:rsid w:val="00266E72"/>
    <w:rsid w:val="00267534"/>
    <w:rsid w:val="002679BD"/>
    <w:rsid w:val="00267ACE"/>
    <w:rsid w:val="00267D52"/>
    <w:rsid w:val="00267D73"/>
    <w:rsid w:val="00267E9B"/>
    <w:rsid w:val="002700A9"/>
    <w:rsid w:val="002701F1"/>
    <w:rsid w:val="00270585"/>
    <w:rsid w:val="00270B86"/>
    <w:rsid w:val="00270C79"/>
    <w:rsid w:val="00270E1B"/>
    <w:rsid w:val="0027109F"/>
    <w:rsid w:val="002710A8"/>
    <w:rsid w:val="002712F2"/>
    <w:rsid w:val="002714E7"/>
    <w:rsid w:val="002715B9"/>
    <w:rsid w:val="00271633"/>
    <w:rsid w:val="002716CE"/>
    <w:rsid w:val="00271968"/>
    <w:rsid w:val="00271E4C"/>
    <w:rsid w:val="002722CB"/>
    <w:rsid w:val="00272396"/>
    <w:rsid w:val="0027263D"/>
    <w:rsid w:val="002727E1"/>
    <w:rsid w:val="00272966"/>
    <w:rsid w:val="00272B1D"/>
    <w:rsid w:val="0027308E"/>
    <w:rsid w:val="002730AC"/>
    <w:rsid w:val="00273257"/>
    <w:rsid w:val="002736DC"/>
    <w:rsid w:val="00273822"/>
    <w:rsid w:val="00273BA1"/>
    <w:rsid w:val="00273DAB"/>
    <w:rsid w:val="002741A6"/>
    <w:rsid w:val="00274478"/>
    <w:rsid w:val="002746B3"/>
    <w:rsid w:val="00274980"/>
    <w:rsid w:val="00274B6B"/>
    <w:rsid w:val="00274BB3"/>
    <w:rsid w:val="00275207"/>
    <w:rsid w:val="002758EB"/>
    <w:rsid w:val="0027656F"/>
    <w:rsid w:val="00276960"/>
    <w:rsid w:val="00276A64"/>
    <w:rsid w:val="00276A66"/>
    <w:rsid w:val="00276B58"/>
    <w:rsid w:val="00276DBA"/>
    <w:rsid w:val="00277048"/>
    <w:rsid w:val="00277192"/>
    <w:rsid w:val="00277233"/>
    <w:rsid w:val="0027767B"/>
    <w:rsid w:val="00277809"/>
    <w:rsid w:val="002778F0"/>
    <w:rsid w:val="00277A95"/>
    <w:rsid w:val="00277F93"/>
    <w:rsid w:val="0028022C"/>
    <w:rsid w:val="002803E7"/>
    <w:rsid w:val="00280958"/>
    <w:rsid w:val="002809C9"/>
    <w:rsid w:val="00281186"/>
    <w:rsid w:val="002811DD"/>
    <w:rsid w:val="0028152B"/>
    <w:rsid w:val="00281941"/>
    <w:rsid w:val="00281B7B"/>
    <w:rsid w:val="00282173"/>
    <w:rsid w:val="00282508"/>
    <w:rsid w:val="00282633"/>
    <w:rsid w:val="002826B2"/>
    <w:rsid w:val="0028293A"/>
    <w:rsid w:val="00282DEA"/>
    <w:rsid w:val="00282EFD"/>
    <w:rsid w:val="00282F33"/>
    <w:rsid w:val="00282F7E"/>
    <w:rsid w:val="00282F88"/>
    <w:rsid w:val="002832BA"/>
    <w:rsid w:val="00283A16"/>
    <w:rsid w:val="00283C64"/>
    <w:rsid w:val="00283DAB"/>
    <w:rsid w:val="00283DC4"/>
    <w:rsid w:val="00283DCE"/>
    <w:rsid w:val="00283F02"/>
    <w:rsid w:val="00283F2E"/>
    <w:rsid w:val="00284050"/>
    <w:rsid w:val="002842AF"/>
    <w:rsid w:val="0028493B"/>
    <w:rsid w:val="00284A5E"/>
    <w:rsid w:val="00285203"/>
    <w:rsid w:val="0028535E"/>
    <w:rsid w:val="002855E0"/>
    <w:rsid w:val="002855F5"/>
    <w:rsid w:val="00285710"/>
    <w:rsid w:val="00285773"/>
    <w:rsid w:val="00285D4D"/>
    <w:rsid w:val="00285F86"/>
    <w:rsid w:val="00285FF8"/>
    <w:rsid w:val="00286492"/>
    <w:rsid w:val="002867A3"/>
    <w:rsid w:val="002867D3"/>
    <w:rsid w:val="002869E7"/>
    <w:rsid w:val="00286AE7"/>
    <w:rsid w:val="00286AF9"/>
    <w:rsid w:val="00286EE7"/>
    <w:rsid w:val="00286F3E"/>
    <w:rsid w:val="002874EE"/>
    <w:rsid w:val="00287639"/>
    <w:rsid w:val="002879C5"/>
    <w:rsid w:val="00287A13"/>
    <w:rsid w:val="00287C3F"/>
    <w:rsid w:val="002901EA"/>
    <w:rsid w:val="00290392"/>
    <w:rsid w:val="002907BC"/>
    <w:rsid w:val="0029085E"/>
    <w:rsid w:val="002908E3"/>
    <w:rsid w:val="00290B30"/>
    <w:rsid w:val="00290CDD"/>
    <w:rsid w:val="00290CFD"/>
    <w:rsid w:val="002912D9"/>
    <w:rsid w:val="00291392"/>
    <w:rsid w:val="00291601"/>
    <w:rsid w:val="002917C2"/>
    <w:rsid w:val="0029194F"/>
    <w:rsid w:val="0029197E"/>
    <w:rsid w:val="002919C1"/>
    <w:rsid w:val="00291A30"/>
    <w:rsid w:val="00291C97"/>
    <w:rsid w:val="002920FB"/>
    <w:rsid w:val="0029292A"/>
    <w:rsid w:val="00292A44"/>
    <w:rsid w:val="00292B86"/>
    <w:rsid w:val="002931BD"/>
    <w:rsid w:val="00293234"/>
    <w:rsid w:val="0029324A"/>
    <w:rsid w:val="0029324F"/>
    <w:rsid w:val="00293774"/>
    <w:rsid w:val="002939F3"/>
    <w:rsid w:val="00293D49"/>
    <w:rsid w:val="00293EC3"/>
    <w:rsid w:val="00293EE0"/>
    <w:rsid w:val="00294027"/>
    <w:rsid w:val="00294031"/>
    <w:rsid w:val="002940A0"/>
    <w:rsid w:val="00294384"/>
    <w:rsid w:val="00294387"/>
    <w:rsid w:val="00294983"/>
    <w:rsid w:val="00294A39"/>
    <w:rsid w:val="00294DEB"/>
    <w:rsid w:val="00295466"/>
    <w:rsid w:val="002957E8"/>
    <w:rsid w:val="00295AFD"/>
    <w:rsid w:val="00295B36"/>
    <w:rsid w:val="00295E67"/>
    <w:rsid w:val="00295FF3"/>
    <w:rsid w:val="00296025"/>
    <w:rsid w:val="00296340"/>
    <w:rsid w:val="0029634D"/>
    <w:rsid w:val="00296672"/>
    <w:rsid w:val="00296878"/>
    <w:rsid w:val="002969FD"/>
    <w:rsid w:val="00296A14"/>
    <w:rsid w:val="00296AC9"/>
    <w:rsid w:val="00296C0A"/>
    <w:rsid w:val="00296EBA"/>
    <w:rsid w:val="00297A6D"/>
    <w:rsid w:val="00297CFF"/>
    <w:rsid w:val="00297D2E"/>
    <w:rsid w:val="00297DBE"/>
    <w:rsid w:val="002A0252"/>
    <w:rsid w:val="002A02B1"/>
    <w:rsid w:val="002A0374"/>
    <w:rsid w:val="002A03BF"/>
    <w:rsid w:val="002A0CC5"/>
    <w:rsid w:val="002A0D92"/>
    <w:rsid w:val="002A1179"/>
    <w:rsid w:val="002A16E0"/>
    <w:rsid w:val="002A1FC8"/>
    <w:rsid w:val="002A2020"/>
    <w:rsid w:val="002A2200"/>
    <w:rsid w:val="002A2245"/>
    <w:rsid w:val="002A224F"/>
    <w:rsid w:val="002A2351"/>
    <w:rsid w:val="002A2463"/>
    <w:rsid w:val="002A246E"/>
    <w:rsid w:val="002A276F"/>
    <w:rsid w:val="002A27EB"/>
    <w:rsid w:val="002A2EAA"/>
    <w:rsid w:val="002A30E9"/>
    <w:rsid w:val="002A337A"/>
    <w:rsid w:val="002A3960"/>
    <w:rsid w:val="002A3C5A"/>
    <w:rsid w:val="002A410E"/>
    <w:rsid w:val="002A4516"/>
    <w:rsid w:val="002A47E2"/>
    <w:rsid w:val="002A47F8"/>
    <w:rsid w:val="002A4AD6"/>
    <w:rsid w:val="002A4B19"/>
    <w:rsid w:val="002A4BD5"/>
    <w:rsid w:val="002A52B7"/>
    <w:rsid w:val="002A5639"/>
    <w:rsid w:val="002A58B2"/>
    <w:rsid w:val="002A5971"/>
    <w:rsid w:val="002A5B9A"/>
    <w:rsid w:val="002A5BB4"/>
    <w:rsid w:val="002A5E47"/>
    <w:rsid w:val="002A5EF7"/>
    <w:rsid w:val="002A60F9"/>
    <w:rsid w:val="002A6887"/>
    <w:rsid w:val="002A688C"/>
    <w:rsid w:val="002A6BCA"/>
    <w:rsid w:val="002A6C7A"/>
    <w:rsid w:val="002A6D85"/>
    <w:rsid w:val="002A6E19"/>
    <w:rsid w:val="002A75DB"/>
    <w:rsid w:val="002A770B"/>
    <w:rsid w:val="002A7716"/>
    <w:rsid w:val="002A7C3E"/>
    <w:rsid w:val="002A7F94"/>
    <w:rsid w:val="002B0189"/>
    <w:rsid w:val="002B023E"/>
    <w:rsid w:val="002B0728"/>
    <w:rsid w:val="002B073A"/>
    <w:rsid w:val="002B087A"/>
    <w:rsid w:val="002B09C0"/>
    <w:rsid w:val="002B09E5"/>
    <w:rsid w:val="002B0B70"/>
    <w:rsid w:val="002B0B8A"/>
    <w:rsid w:val="002B0F45"/>
    <w:rsid w:val="002B10A6"/>
    <w:rsid w:val="002B139F"/>
    <w:rsid w:val="002B1442"/>
    <w:rsid w:val="002B185E"/>
    <w:rsid w:val="002B1992"/>
    <w:rsid w:val="002B1B7B"/>
    <w:rsid w:val="002B2128"/>
    <w:rsid w:val="002B21BE"/>
    <w:rsid w:val="002B21FB"/>
    <w:rsid w:val="002B226C"/>
    <w:rsid w:val="002B2284"/>
    <w:rsid w:val="002B2391"/>
    <w:rsid w:val="002B24BD"/>
    <w:rsid w:val="002B2CBA"/>
    <w:rsid w:val="002B2CCF"/>
    <w:rsid w:val="002B3540"/>
    <w:rsid w:val="002B35F9"/>
    <w:rsid w:val="002B37CB"/>
    <w:rsid w:val="002B396D"/>
    <w:rsid w:val="002B3BFC"/>
    <w:rsid w:val="002B3DB6"/>
    <w:rsid w:val="002B3DD6"/>
    <w:rsid w:val="002B4017"/>
    <w:rsid w:val="002B41C4"/>
    <w:rsid w:val="002B44C5"/>
    <w:rsid w:val="002B4599"/>
    <w:rsid w:val="002B45D8"/>
    <w:rsid w:val="002B476C"/>
    <w:rsid w:val="002B4DF4"/>
    <w:rsid w:val="002B531A"/>
    <w:rsid w:val="002B5786"/>
    <w:rsid w:val="002B583E"/>
    <w:rsid w:val="002B5B15"/>
    <w:rsid w:val="002B5B2B"/>
    <w:rsid w:val="002B5C85"/>
    <w:rsid w:val="002B5CDF"/>
    <w:rsid w:val="002B5DC1"/>
    <w:rsid w:val="002B5E44"/>
    <w:rsid w:val="002B603D"/>
    <w:rsid w:val="002B6B83"/>
    <w:rsid w:val="002B6D9F"/>
    <w:rsid w:val="002B6DF1"/>
    <w:rsid w:val="002B6FBA"/>
    <w:rsid w:val="002B70BE"/>
    <w:rsid w:val="002B7514"/>
    <w:rsid w:val="002B7FD1"/>
    <w:rsid w:val="002C0152"/>
    <w:rsid w:val="002C0771"/>
    <w:rsid w:val="002C07DC"/>
    <w:rsid w:val="002C084D"/>
    <w:rsid w:val="002C0A2F"/>
    <w:rsid w:val="002C0AD9"/>
    <w:rsid w:val="002C0BFB"/>
    <w:rsid w:val="002C0CDD"/>
    <w:rsid w:val="002C0DB5"/>
    <w:rsid w:val="002C0E6C"/>
    <w:rsid w:val="002C0ED1"/>
    <w:rsid w:val="002C0FA9"/>
    <w:rsid w:val="002C1565"/>
    <w:rsid w:val="002C15C6"/>
    <w:rsid w:val="002C163C"/>
    <w:rsid w:val="002C17E0"/>
    <w:rsid w:val="002C190F"/>
    <w:rsid w:val="002C1AB0"/>
    <w:rsid w:val="002C1B53"/>
    <w:rsid w:val="002C1FD6"/>
    <w:rsid w:val="002C1FD8"/>
    <w:rsid w:val="002C20DF"/>
    <w:rsid w:val="002C2157"/>
    <w:rsid w:val="002C21EF"/>
    <w:rsid w:val="002C27BD"/>
    <w:rsid w:val="002C2D60"/>
    <w:rsid w:val="002C2E7C"/>
    <w:rsid w:val="002C30D4"/>
    <w:rsid w:val="002C31C9"/>
    <w:rsid w:val="002C37F0"/>
    <w:rsid w:val="002C3AFF"/>
    <w:rsid w:val="002C3FC2"/>
    <w:rsid w:val="002C418B"/>
    <w:rsid w:val="002C41A4"/>
    <w:rsid w:val="002C451F"/>
    <w:rsid w:val="002C4C9A"/>
    <w:rsid w:val="002C4D13"/>
    <w:rsid w:val="002C4FB1"/>
    <w:rsid w:val="002C56EA"/>
    <w:rsid w:val="002C57C0"/>
    <w:rsid w:val="002C59B4"/>
    <w:rsid w:val="002C5D43"/>
    <w:rsid w:val="002C5FB6"/>
    <w:rsid w:val="002C6250"/>
    <w:rsid w:val="002C68FC"/>
    <w:rsid w:val="002C6953"/>
    <w:rsid w:val="002C6B4B"/>
    <w:rsid w:val="002C6F01"/>
    <w:rsid w:val="002C6FD4"/>
    <w:rsid w:val="002C7577"/>
    <w:rsid w:val="002C78E5"/>
    <w:rsid w:val="002C7952"/>
    <w:rsid w:val="002C7A34"/>
    <w:rsid w:val="002C7ACF"/>
    <w:rsid w:val="002C7DFD"/>
    <w:rsid w:val="002C7EE4"/>
    <w:rsid w:val="002C7F12"/>
    <w:rsid w:val="002C7F78"/>
    <w:rsid w:val="002D01C4"/>
    <w:rsid w:val="002D02C7"/>
    <w:rsid w:val="002D06B5"/>
    <w:rsid w:val="002D07FD"/>
    <w:rsid w:val="002D0F81"/>
    <w:rsid w:val="002D10A8"/>
    <w:rsid w:val="002D16A1"/>
    <w:rsid w:val="002D16E1"/>
    <w:rsid w:val="002D1873"/>
    <w:rsid w:val="002D1876"/>
    <w:rsid w:val="002D19BC"/>
    <w:rsid w:val="002D21DE"/>
    <w:rsid w:val="002D231F"/>
    <w:rsid w:val="002D251E"/>
    <w:rsid w:val="002D2F5A"/>
    <w:rsid w:val="002D315F"/>
    <w:rsid w:val="002D3305"/>
    <w:rsid w:val="002D338E"/>
    <w:rsid w:val="002D364B"/>
    <w:rsid w:val="002D3673"/>
    <w:rsid w:val="002D40BD"/>
    <w:rsid w:val="002D43B3"/>
    <w:rsid w:val="002D4806"/>
    <w:rsid w:val="002D493E"/>
    <w:rsid w:val="002D4F58"/>
    <w:rsid w:val="002D4FDB"/>
    <w:rsid w:val="002D5513"/>
    <w:rsid w:val="002D579C"/>
    <w:rsid w:val="002D57E6"/>
    <w:rsid w:val="002D5D0C"/>
    <w:rsid w:val="002D5FF4"/>
    <w:rsid w:val="002D6121"/>
    <w:rsid w:val="002D62BB"/>
    <w:rsid w:val="002D6549"/>
    <w:rsid w:val="002D65A7"/>
    <w:rsid w:val="002D6634"/>
    <w:rsid w:val="002D6A97"/>
    <w:rsid w:val="002D6BE8"/>
    <w:rsid w:val="002D6D4F"/>
    <w:rsid w:val="002D6D66"/>
    <w:rsid w:val="002D6FD1"/>
    <w:rsid w:val="002D74F3"/>
    <w:rsid w:val="002D757D"/>
    <w:rsid w:val="002D76DF"/>
    <w:rsid w:val="002D7737"/>
    <w:rsid w:val="002D787E"/>
    <w:rsid w:val="002D7B29"/>
    <w:rsid w:val="002D7F2F"/>
    <w:rsid w:val="002D7FE4"/>
    <w:rsid w:val="002E01F1"/>
    <w:rsid w:val="002E055E"/>
    <w:rsid w:val="002E06C2"/>
    <w:rsid w:val="002E072D"/>
    <w:rsid w:val="002E090E"/>
    <w:rsid w:val="002E0CD0"/>
    <w:rsid w:val="002E0D4F"/>
    <w:rsid w:val="002E0EE2"/>
    <w:rsid w:val="002E124F"/>
    <w:rsid w:val="002E1546"/>
    <w:rsid w:val="002E162C"/>
    <w:rsid w:val="002E1709"/>
    <w:rsid w:val="002E1978"/>
    <w:rsid w:val="002E1A81"/>
    <w:rsid w:val="002E1B57"/>
    <w:rsid w:val="002E1FA9"/>
    <w:rsid w:val="002E1FC1"/>
    <w:rsid w:val="002E2065"/>
    <w:rsid w:val="002E2191"/>
    <w:rsid w:val="002E220D"/>
    <w:rsid w:val="002E2813"/>
    <w:rsid w:val="002E2A20"/>
    <w:rsid w:val="002E2CAB"/>
    <w:rsid w:val="002E2EF5"/>
    <w:rsid w:val="002E304E"/>
    <w:rsid w:val="002E313E"/>
    <w:rsid w:val="002E32D6"/>
    <w:rsid w:val="002E33FF"/>
    <w:rsid w:val="002E365E"/>
    <w:rsid w:val="002E36D2"/>
    <w:rsid w:val="002E36D7"/>
    <w:rsid w:val="002E37AC"/>
    <w:rsid w:val="002E3A1E"/>
    <w:rsid w:val="002E3AF7"/>
    <w:rsid w:val="002E3B6E"/>
    <w:rsid w:val="002E3D1B"/>
    <w:rsid w:val="002E3E8C"/>
    <w:rsid w:val="002E4412"/>
    <w:rsid w:val="002E4A26"/>
    <w:rsid w:val="002E4A34"/>
    <w:rsid w:val="002E4D87"/>
    <w:rsid w:val="002E4D99"/>
    <w:rsid w:val="002E4E15"/>
    <w:rsid w:val="002E4E47"/>
    <w:rsid w:val="002E4EED"/>
    <w:rsid w:val="002E510E"/>
    <w:rsid w:val="002E52BD"/>
    <w:rsid w:val="002E58A6"/>
    <w:rsid w:val="002E5C6A"/>
    <w:rsid w:val="002E5F68"/>
    <w:rsid w:val="002E6032"/>
    <w:rsid w:val="002E6128"/>
    <w:rsid w:val="002E6195"/>
    <w:rsid w:val="002E6501"/>
    <w:rsid w:val="002E72AD"/>
    <w:rsid w:val="002E7512"/>
    <w:rsid w:val="002E7544"/>
    <w:rsid w:val="002E7671"/>
    <w:rsid w:val="002E77B6"/>
    <w:rsid w:val="002E798D"/>
    <w:rsid w:val="002E7BB4"/>
    <w:rsid w:val="002E7D9F"/>
    <w:rsid w:val="002E7E25"/>
    <w:rsid w:val="002E7E7C"/>
    <w:rsid w:val="002F0090"/>
    <w:rsid w:val="002F00D5"/>
    <w:rsid w:val="002F03AD"/>
    <w:rsid w:val="002F0670"/>
    <w:rsid w:val="002F083B"/>
    <w:rsid w:val="002F098E"/>
    <w:rsid w:val="002F099A"/>
    <w:rsid w:val="002F0C27"/>
    <w:rsid w:val="002F0DEA"/>
    <w:rsid w:val="002F0E63"/>
    <w:rsid w:val="002F0FE6"/>
    <w:rsid w:val="002F10DE"/>
    <w:rsid w:val="002F1319"/>
    <w:rsid w:val="002F155B"/>
    <w:rsid w:val="002F184E"/>
    <w:rsid w:val="002F190E"/>
    <w:rsid w:val="002F1ECE"/>
    <w:rsid w:val="002F201F"/>
    <w:rsid w:val="002F2046"/>
    <w:rsid w:val="002F220D"/>
    <w:rsid w:val="002F2355"/>
    <w:rsid w:val="002F27CF"/>
    <w:rsid w:val="002F2B03"/>
    <w:rsid w:val="002F2FA5"/>
    <w:rsid w:val="002F30A1"/>
    <w:rsid w:val="002F342D"/>
    <w:rsid w:val="002F343B"/>
    <w:rsid w:val="002F3592"/>
    <w:rsid w:val="002F3614"/>
    <w:rsid w:val="002F3742"/>
    <w:rsid w:val="002F3923"/>
    <w:rsid w:val="002F4039"/>
    <w:rsid w:val="002F4044"/>
    <w:rsid w:val="002F430A"/>
    <w:rsid w:val="002F43EA"/>
    <w:rsid w:val="002F4645"/>
    <w:rsid w:val="002F4BD7"/>
    <w:rsid w:val="002F4BD9"/>
    <w:rsid w:val="002F509B"/>
    <w:rsid w:val="002F511F"/>
    <w:rsid w:val="002F5149"/>
    <w:rsid w:val="002F52B7"/>
    <w:rsid w:val="002F5320"/>
    <w:rsid w:val="002F57DD"/>
    <w:rsid w:val="002F5ACB"/>
    <w:rsid w:val="002F5B06"/>
    <w:rsid w:val="002F5B67"/>
    <w:rsid w:val="002F5D55"/>
    <w:rsid w:val="002F5D6E"/>
    <w:rsid w:val="002F5D8A"/>
    <w:rsid w:val="002F5DD2"/>
    <w:rsid w:val="002F5F3E"/>
    <w:rsid w:val="002F6168"/>
    <w:rsid w:val="002F6801"/>
    <w:rsid w:val="002F68E6"/>
    <w:rsid w:val="002F6B1A"/>
    <w:rsid w:val="002F6B30"/>
    <w:rsid w:val="002F6B92"/>
    <w:rsid w:val="002F6CE4"/>
    <w:rsid w:val="002F7041"/>
    <w:rsid w:val="002F7076"/>
    <w:rsid w:val="002F7883"/>
    <w:rsid w:val="002F78BB"/>
    <w:rsid w:val="002F7C9C"/>
    <w:rsid w:val="002F7EE1"/>
    <w:rsid w:val="002F7F1E"/>
    <w:rsid w:val="0030010A"/>
    <w:rsid w:val="0030048A"/>
    <w:rsid w:val="00300569"/>
    <w:rsid w:val="0030058F"/>
    <w:rsid w:val="003005F5"/>
    <w:rsid w:val="00300737"/>
    <w:rsid w:val="0030093E"/>
    <w:rsid w:val="00300B1E"/>
    <w:rsid w:val="00300CCD"/>
    <w:rsid w:val="00300F53"/>
    <w:rsid w:val="00301148"/>
    <w:rsid w:val="00301173"/>
    <w:rsid w:val="003011BD"/>
    <w:rsid w:val="00301409"/>
    <w:rsid w:val="0030144B"/>
    <w:rsid w:val="0030155E"/>
    <w:rsid w:val="00301C90"/>
    <w:rsid w:val="00301D0B"/>
    <w:rsid w:val="00301FD2"/>
    <w:rsid w:val="003021CD"/>
    <w:rsid w:val="00302319"/>
    <w:rsid w:val="0030236C"/>
    <w:rsid w:val="003024A1"/>
    <w:rsid w:val="00302734"/>
    <w:rsid w:val="00302942"/>
    <w:rsid w:val="00302A16"/>
    <w:rsid w:val="00302A59"/>
    <w:rsid w:val="00302EAF"/>
    <w:rsid w:val="00302EB8"/>
    <w:rsid w:val="00303239"/>
    <w:rsid w:val="00303666"/>
    <w:rsid w:val="0030394A"/>
    <w:rsid w:val="00303A30"/>
    <w:rsid w:val="00303D9B"/>
    <w:rsid w:val="00303DD2"/>
    <w:rsid w:val="00303E4F"/>
    <w:rsid w:val="00303EAE"/>
    <w:rsid w:val="003040B0"/>
    <w:rsid w:val="0030414B"/>
    <w:rsid w:val="00304ADA"/>
    <w:rsid w:val="00304AFC"/>
    <w:rsid w:val="00304BC4"/>
    <w:rsid w:val="0030501F"/>
    <w:rsid w:val="00305353"/>
    <w:rsid w:val="00305764"/>
    <w:rsid w:val="003057FF"/>
    <w:rsid w:val="00305886"/>
    <w:rsid w:val="003058D3"/>
    <w:rsid w:val="00305ED5"/>
    <w:rsid w:val="0030677B"/>
    <w:rsid w:val="00306888"/>
    <w:rsid w:val="00306B03"/>
    <w:rsid w:val="00306BCE"/>
    <w:rsid w:val="00306DD5"/>
    <w:rsid w:val="00306E04"/>
    <w:rsid w:val="00307A93"/>
    <w:rsid w:val="0031030E"/>
    <w:rsid w:val="0031049D"/>
    <w:rsid w:val="003104BA"/>
    <w:rsid w:val="00310701"/>
    <w:rsid w:val="00310F20"/>
    <w:rsid w:val="00310F36"/>
    <w:rsid w:val="0031120D"/>
    <w:rsid w:val="003116ED"/>
    <w:rsid w:val="00311AFA"/>
    <w:rsid w:val="00311B14"/>
    <w:rsid w:val="00311EDE"/>
    <w:rsid w:val="003120B2"/>
    <w:rsid w:val="0031251B"/>
    <w:rsid w:val="00312749"/>
    <w:rsid w:val="00312C16"/>
    <w:rsid w:val="00312CB3"/>
    <w:rsid w:val="00312E83"/>
    <w:rsid w:val="00313139"/>
    <w:rsid w:val="0031375D"/>
    <w:rsid w:val="00313874"/>
    <w:rsid w:val="0031395E"/>
    <w:rsid w:val="003139BC"/>
    <w:rsid w:val="003140DB"/>
    <w:rsid w:val="003146C2"/>
    <w:rsid w:val="003146CC"/>
    <w:rsid w:val="003146FF"/>
    <w:rsid w:val="00314BE9"/>
    <w:rsid w:val="00314F33"/>
    <w:rsid w:val="00314F8E"/>
    <w:rsid w:val="003151B1"/>
    <w:rsid w:val="003152A1"/>
    <w:rsid w:val="00315450"/>
    <w:rsid w:val="00315455"/>
    <w:rsid w:val="00315C41"/>
    <w:rsid w:val="00315EEF"/>
    <w:rsid w:val="0031611C"/>
    <w:rsid w:val="003165C0"/>
    <w:rsid w:val="00316829"/>
    <w:rsid w:val="003169DC"/>
    <w:rsid w:val="00316A12"/>
    <w:rsid w:val="00316CE8"/>
    <w:rsid w:val="00316E2E"/>
    <w:rsid w:val="00316E2F"/>
    <w:rsid w:val="00316ECB"/>
    <w:rsid w:val="00316FB7"/>
    <w:rsid w:val="003171FE"/>
    <w:rsid w:val="00317226"/>
    <w:rsid w:val="00317392"/>
    <w:rsid w:val="003174C5"/>
    <w:rsid w:val="00317870"/>
    <w:rsid w:val="003178F0"/>
    <w:rsid w:val="00317C1D"/>
    <w:rsid w:val="00320379"/>
    <w:rsid w:val="00320474"/>
    <w:rsid w:val="003206E6"/>
    <w:rsid w:val="0032089C"/>
    <w:rsid w:val="00320B32"/>
    <w:rsid w:val="00321466"/>
    <w:rsid w:val="0032171D"/>
    <w:rsid w:val="0032176D"/>
    <w:rsid w:val="003217D5"/>
    <w:rsid w:val="00321917"/>
    <w:rsid w:val="0032191E"/>
    <w:rsid w:val="00321971"/>
    <w:rsid w:val="0032197E"/>
    <w:rsid w:val="003219AA"/>
    <w:rsid w:val="00321C16"/>
    <w:rsid w:val="00321E6C"/>
    <w:rsid w:val="00322024"/>
    <w:rsid w:val="003220DF"/>
    <w:rsid w:val="00322184"/>
    <w:rsid w:val="00322329"/>
    <w:rsid w:val="00322453"/>
    <w:rsid w:val="0032258C"/>
    <w:rsid w:val="003226E2"/>
    <w:rsid w:val="00322875"/>
    <w:rsid w:val="003229FC"/>
    <w:rsid w:val="00322A60"/>
    <w:rsid w:val="00322B21"/>
    <w:rsid w:val="00322BCE"/>
    <w:rsid w:val="00322C47"/>
    <w:rsid w:val="003230C4"/>
    <w:rsid w:val="00323461"/>
    <w:rsid w:val="00323695"/>
    <w:rsid w:val="00323933"/>
    <w:rsid w:val="00323AE4"/>
    <w:rsid w:val="00323BAC"/>
    <w:rsid w:val="00323D12"/>
    <w:rsid w:val="00323D2E"/>
    <w:rsid w:val="00323D40"/>
    <w:rsid w:val="0032451A"/>
    <w:rsid w:val="00324965"/>
    <w:rsid w:val="00324B37"/>
    <w:rsid w:val="00324DCC"/>
    <w:rsid w:val="00324FC2"/>
    <w:rsid w:val="003252EE"/>
    <w:rsid w:val="003255BC"/>
    <w:rsid w:val="00325703"/>
    <w:rsid w:val="00325D91"/>
    <w:rsid w:val="00325E7C"/>
    <w:rsid w:val="00326066"/>
    <w:rsid w:val="003260A3"/>
    <w:rsid w:val="00326273"/>
    <w:rsid w:val="00326513"/>
    <w:rsid w:val="00326591"/>
    <w:rsid w:val="003267CE"/>
    <w:rsid w:val="0032695E"/>
    <w:rsid w:val="00326B66"/>
    <w:rsid w:val="00326D8D"/>
    <w:rsid w:val="00326E19"/>
    <w:rsid w:val="003273DB"/>
    <w:rsid w:val="00327447"/>
    <w:rsid w:val="00327B6E"/>
    <w:rsid w:val="00327C78"/>
    <w:rsid w:val="00327CD3"/>
    <w:rsid w:val="00327CE0"/>
    <w:rsid w:val="00327DB1"/>
    <w:rsid w:val="00327DCE"/>
    <w:rsid w:val="00330056"/>
    <w:rsid w:val="0033079B"/>
    <w:rsid w:val="003307E9"/>
    <w:rsid w:val="00330906"/>
    <w:rsid w:val="003309A3"/>
    <w:rsid w:val="003309FF"/>
    <w:rsid w:val="00330A79"/>
    <w:rsid w:val="00330AAB"/>
    <w:rsid w:val="00330AB4"/>
    <w:rsid w:val="00330B35"/>
    <w:rsid w:val="00330B45"/>
    <w:rsid w:val="00330CEC"/>
    <w:rsid w:val="00330D59"/>
    <w:rsid w:val="00330DAD"/>
    <w:rsid w:val="00331001"/>
    <w:rsid w:val="00331266"/>
    <w:rsid w:val="0033150E"/>
    <w:rsid w:val="00331851"/>
    <w:rsid w:val="0033194D"/>
    <w:rsid w:val="0033195C"/>
    <w:rsid w:val="0033197E"/>
    <w:rsid w:val="00331990"/>
    <w:rsid w:val="00331EF6"/>
    <w:rsid w:val="0033214C"/>
    <w:rsid w:val="00332185"/>
    <w:rsid w:val="00332792"/>
    <w:rsid w:val="003329C3"/>
    <w:rsid w:val="00332A69"/>
    <w:rsid w:val="00332A97"/>
    <w:rsid w:val="00332B47"/>
    <w:rsid w:val="00332B79"/>
    <w:rsid w:val="00332E16"/>
    <w:rsid w:val="003330F7"/>
    <w:rsid w:val="00333303"/>
    <w:rsid w:val="00333326"/>
    <w:rsid w:val="0033335D"/>
    <w:rsid w:val="00334021"/>
    <w:rsid w:val="003344CC"/>
    <w:rsid w:val="00334C6A"/>
    <w:rsid w:val="00334D69"/>
    <w:rsid w:val="00334DEA"/>
    <w:rsid w:val="00335081"/>
    <w:rsid w:val="003353C6"/>
    <w:rsid w:val="00335685"/>
    <w:rsid w:val="00335876"/>
    <w:rsid w:val="003358F9"/>
    <w:rsid w:val="00335D77"/>
    <w:rsid w:val="00335F31"/>
    <w:rsid w:val="0033613F"/>
    <w:rsid w:val="003361C9"/>
    <w:rsid w:val="00336235"/>
    <w:rsid w:val="0033633B"/>
    <w:rsid w:val="00336453"/>
    <w:rsid w:val="003365ED"/>
    <w:rsid w:val="0033664E"/>
    <w:rsid w:val="0033665F"/>
    <w:rsid w:val="00336AB6"/>
    <w:rsid w:val="00336B92"/>
    <w:rsid w:val="00336E89"/>
    <w:rsid w:val="00336F5F"/>
    <w:rsid w:val="003370D1"/>
    <w:rsid w:val="00337436"/>
    <w:rsid w:val="00337564"/>
    <w:rsid w:val="00337888"/>
    <w:rsid w:val="00337896"/>
    <w:rsid w:val="00337A44"/>
    <w:rsid w:val="00337A5F"/>
    <w:rsid w:val="00337B36"/>
    <w:rsid w:val="00337E0A"/>
    <w:rsid w:val="00337E69"/>
    <w:rsid w:val="00337F88"/>
    <w:rsid w:val="00337F92"/>
    <w:rsid w:val="00337FDC"/>
    <w:rsid w:val="00340011"/>
    <w:rsid w:val="00340118"/>
    <w:rsid w:val="00340147"/>
    <w:rsid w:val="0034020B"/>
    <w:rsid w:val="00340697"/>
    <w:rsid w:val="00340871"/>
    <w:rsid w:val="00340A03"/>
    <w:rsid w:val="003412D6"/>
    <w:rsid w:val="003413C0"/>
    <w:rsid w:val="003415B6"/>
    <w:rsid w:val="0034160F"/>
    <w:rsid w:val="00341C1E"/>
    <w:rsid w:val="00341DB9"/>
    <w:rsid w:val="00341DBF"/>
    <w:rsid w:val="00341E93"/>
    <w:rsid w:val="00342387"/>
    <w:rsid w:val="00342701"/>
    <w:rsid w:val="00342758"/>
    <w:rsid w:val="003427D6"/>
    <w:rsid w:val="003429A0"/>
    <w:rsid w:val="00342CE0"/>
    <w:rsid w:val="00342E88"/>
    <w:rsid w:val="00342EA4"/>
    <w:rsid w:val="00342F82"/>
    <w:rsid w:val="0034319A"/>
    <w:rsid w:val="00343208"/>
    <w:rsid w:val="003433E5"/>
    <w:rsid w:val="003434C4"/>
    <w:rsid w:val="00343AF3"/>
    <w:rsid w:val="00343BA4"/>
    <w:rsid w:val="00343D6D"/>
    <w:rsid w:val="00343E14"/>
    <w:rsid w:val="00343EBC"/>
    <w:rsid w:val="00343F9D"/>
    <w:rsid w:val="00344AAC"/>
    <w:rsid w:val="00344BEC"/>
    <w:rsid w:val="00344C13"/>
    <w:rsid w:val="003450C7"/>
    <w:rsid w:val="003454F2"/>
    <w:rsid w:val="003458CD"/>
    <w:rsid w:val="003458D0"/>
    <w:rsid w:val="00345B59"/>
    <w:rsid w:val="00345BB0"/>
    <w:rsid w:val="00345EB1"/>
    <w:rsid w:val="003460CC"/>
    <w:rsid w:val="0034636E"/>
    <w:rsid w:val="00346448"/>
    <w:rsid w:val="0034650E"/>
    <w:rsid w:val="00346771"/>
    <w:rsid w:val="003467AB"/>
    <w:rsid w:val="00346A33"/>
    <w:rsid w:val="00346BE1"/>
    <w:rsid w:val="0034718D"/>
    <w:rsid w:val="00347270"/>
    <w:rsid w:val="0034729D"/>
    <w:rsid w:val="00347A10"/>
    <w:rsid w:val="0035012F"/>
    <w:rsid w:val="00350496"/>
    <w:rsid w:val="00350627"/>
    <w:rsid w:val="00350ADD"/>
    <w:rsid w:val="00350D45"/>
    <w:rsid w:val="00351061"/>
    <w:rsid w:val="0035110D"/>
    <w:rsid w:val="003512C4"/>
    <w:rsid w:val="0035168A"/>
    <w:rsid w:val="00351755"/>
    <w:rsid w:val="00351E10"/>
    <w:rsid w:val="003520CC"/>
    <w:rsid w:val="00352590"/>
    <w:rsid w:val="003527C7"/>
    <w:rsid w:val="003529CF"/>
    <w:rsid w:val="003534B1"/>
    <w:rsid w:val="003534CA"/>
    <w:rsid w:val="0035377F"/>
    <w:rsid w:val="00353A48"/>
    <w:rsid w:val="00353C8E"/>
    <w:rsid w:val="00353EFC"/>
    <w:rsid w:val="0035420B"/>
    <w:rsid w:val="0035460E"/>
    <w:rsid w:val="0035470B"/>
    <w:rsid w:val="00355438"/>
    <w:rsid w:val="00355468"/>
    <w:rsid w:val="0035546E"/>
    <w:rsid w:val="00355561"/>
    <w:rsid w:val="0035574F"/>
    <w:rsid w:val="0035578B"/>
    <w:rsid w:val="00355A1F"/>
    <w:rsid w:val="00355C16"/>
    <w:rsid w:val="00355DE9"/>
    <w:rsid w:val="00355F5D"/>
    <w:rsid w:val="003563B9"/>
    <w:rsid w:val="0035645E"/>
    <w:rsid w:val="003567DA"/>
    <w:rsid w:val="00356F81"/>
    <w:rsid w:val="00356FBC"/>
    <w:rsid w:val="00357772"/>
    <w:rsid w:val="0035796B"/>
    <w:rsid w:val="00357982"/>
    <w:rsid w:val="00357C74"/>
    <w:rsid w:val="00357D8E"/>
    <w:rsid w:val="00357ED5"/>
    <w:rsid w:val="00360062"/>
    <w:rsid w:val="00360B63"/>
    <w:rsid w:val="00360CD0"/>
    <w:rsid w:val="00360D3F"/>
    <w:rsid w:val="00360F2B"/>
    <w:rsid w:val="00361020"/>
    <w:rsid w:val="00361070"/>
    <w:rsid w:val="00361320"/>
    <w:rsid w:val="00361509"/>
    <w:rsid w:val="003619FE"/>
    <w:rsid w:val="00361C4C"/>
    <w:rsid w:val="00361C50"/>
    <w:rsid w:val="00361E3B"/>
    <w:rsid w:val="003621D1"/>
    <w:rsid w:val="003621DB"/>
    <w:rsid w:val="00362597"/>
    <w:rsid w:val="00362614"/>
    <w:rsid w:val="0036267C"/>
    <w:rsid w:val="00362751"/>
    <w:rsid w:val="0036277C"/>
    <w:rsid w:val="00362A84"/>
    <w:rsid w:val="00362E0B"/>
    <w:rsid w:val="00363173"/>
    <w:rsid w:val="003634D1"/>
    <w:rsid w:val="003634EB"/>
    <w:rsid w:val="00363627"/>
    <w:rsid w:val="003636A7"/>
    <w:rsid w:val="00363919"/>
    <w:rsid w:val="00363CF7"/>
    <w:rsid w:val="00364665"/>
    <w:rsid w:val="00364673"/>
    <w:rsid w:val="003648BF"/>
    <w:rsid w:val="003649F6"/>
    <w:rsid w:val="00364E44"/>
    <w:rsid w:val="00365259"/>
    <w:rsid w:val="0036525C"/>
    <w:rsid w:val="003652DF"/>
    <w:rsid w:val="003654F5"/>
    <w:rsid w:val="003658E6"/>
    <w:rsid w:val="00365BAB"/>
    <w:rsid w:val="00365C60"/>
    <w:rsid w:val="00365E9F"/>
    <w:rsid w:val="00365FDA"/>
    <w:rsid w:val="003661F9"/>
    <w:rsid w:val="003664B1"/>
    <w:rsid w:val="00366560"/>
    <w:rsid w:val="003667F5"/>
    <w:rsid w:val="0036687D"/>
    <w:rsid w:val="003669D0"/>
    <w:rsid w:val="00366B11"/>
    <w:rsid w:val="00366B60"/>
    <w:rsid w:val="00366EDA"/>
    <w:rsid w:val="00366FD0"/>
    <w:rsid w:val="0036727A"/>
    <w:rsid w:val="00367585"/>
    <w:rsid w:val="0036767C"/>
    <w:rsid w:val="003677F2"/>
    <w:rsid w:val="00367A1C"/>
    <w:rsid w:val="00367A23"/>
    <w:rsid w:val="00367B00"/>
    <w:rsid w:val="00367BD6"/>
    <w:rsid w:val="00367D2A"/>
    <w:rsid w:val="00370338"/>
    <w:rsid w:val="003703AA"/>
    <w:rsid w:val="0037093C"/>
    <w:rsid w:val="00370B34"/>
    <w:rsid w:val="00370B43"/>
    <w:rsid w:val="00370C99"/>
    <w:rsid w:val="00371144"/>
    <w:rsid w:val="00371AC5"/>
    <w:rsid w:val="00371E3A"/>
    <w:rsid w:val="00371FF8"/>
    <w:rsid w:val="003723C3"/>
    <w:rsid w:val="0037251C"/>
    <w:rsid w:val="0037254B"/>
    <w:rsid w:val="00372612"/>
    <w:rsid w:val="003728E8"/>
    <w:rsid w:val="00372A67"/>
    <w:rsid w:val="00372AFD"/>
    <w:rsid w:val="00372B78"/>
    <w:rsid w:val="00372FB7"/>
    <w:rsid w:val="00372FE3"/>
    <w:rsid w:val="0037380D"/>
    <w:rsid w:val="0037397B"/>
    <w:rsid w:val="00373CE0"/>
    <w:rsid w:val="003742E4"/>
    <w:rsid w:val="0037433C"/>
    <w:rsid w:val="003743E0"/>
    <w:rsid w:val="003747DC"/>
    <w:rsid w:val="003749E3"/>
    <w:rsid w:val="00374A4A"/>
    <w:rsid w:val="00374B97"/>
    <w:rsid w:val="00374C89"/>
    <w:rsid w:val="00374D0F"/>
    <w:rsid w:val="00374FF8"/>
    <w:rsid w:val="003750E4"/>
    <w:rsid w:val="00375242"/>
    <w:rsid w:val="003752F9"/>
    <w:rsid w:val="00375409"/>
    <w:rsid w:val="00375CEB"/>
    <w:rsid w:val="003761CC"/>
    <w:rsid w:val="00376783"/>
    <w:rsid w:val="003767A6"/>
    <w:rsid w:val="00376C63"/>
    <w:rsid w:val="00377193"/>
    <w:rsid w:val="003775D3"/>
    <w:rsid w:val="003775DD"/>
    <w:rsid w:val="00377872"/>
    <w:rsid w:val="003779B5"/>
    <w:rsid w:val="00377AC3"/>
    <w:rsid w:val="00377B54"/>
    <w:rsid w:val="00377BE8"/>
    <w:rsid w:val="00377F42"/>
    <w:rsid w:val="00377F8A"/>
    <w:rsid w:val="00380028"/>
    <w:rsid w:val="003801CD"/>
    <w:rsid w:val="0038023C"/>
    <w:rsid w:val="003802B9"/>
    <w:rsid w:val="00380764"/>
    <w:rsid w:val="00380AEA"/>
    <w:rsid w:val="00381026"/>
    <w:rsid w:val="00381180"/>
    <w:rsid w:val="00381405"/>
    <w:rsid w:val="00381949"/>
    <w:rsid w:val="00381A08"/>
    <w:rsid w:val="00381A5E"/>
    <w:rsid w:val="00381AE4"/>
    <w:rsid w:val="00381C1B"/>
    <w:rsid w:val="00381CA0"/>
    <w:rsid w:val="00381DB4"/>
    <w:rsid w:val="00381FC1"/>
    <w:rsid w:val="003821CC"/>
    <w:rsid w:val="00382357"/>
    <w:rsid w:val="00382502"/>
    <w:rsid w:val="00382823"/>
    <w:rsid w:val="0038283F"/>
    <w:rsid w:val="00382CE0"/>
    <w:rsid w:val="003830A1"/>
    <w:rsid w:val="0038318C"/>
    <w:rsid w:val="003836A6"/>
    <w:rsid w:val="003837C9"/>
    <w:rsid w:val="00383BC0"/>
    <w:rsid w:val="00383BED"/>
    <w:rsid w:val="00383F62"/>
    <w:rsid w:val="003845DC"/>
    <w:rsid w:val="00384830"/>
    <w:rsid w:val="00384866"/>
    <w:rsid w:val="003849F1"/>
    <w:rsid w:val="00384E2E"/>
    <w:rsid w:val="00384F84"/>
    <w:rsid w:val="00385382"/>
    <w:rsid w:val="003855C8"/>
    <w:rsid w:val="00385725"/>
    <w:rsid w:val="0038591B"/>
    <w:rsid w:val="00385999"/>
    <w:rsid w:val="00386022"/>
    <w:rsid w:val="0038635F"/>
    <w:rsid w:val="00386619"/>
    <w:rsid w:val="00386749"/>
    <w:rsid w:val="003868CB"/>
    <w:rsid w:val="0038691F"/>
    <w:rsid w:val="003869D3"/>
    <w:rsid w:val="00386AF5"/>
    <w:rsid w:val="00386D79"/>
    <w:rsid w:val="00386E67"/>
    <w:rsid w:val="003872C3"/>
    <w:rsid w:val="003872E4"/>
    <w:rsid w:val="003873E3"/>
    <w:rsid w:val="00387AC4"/>
    <w:rsid w:val="00387C82"/>
    <w:rsid w:val="00387CC5"/>
    <w:rsid w:val="003901AE"/>
    <w:rsid w:val="00390214"/>
    <w:rsid w:val="00390249"/>
    <w:rsid w:val="003905ED"/>
    <w:rsid w:val="00390947"/>
    <w:rsid w:val="003913F5"/>
    <w:rsid w:val="00391C05"/>
    <w:rsid w:val="0039210A"/>
    <w:rsid w:val="00392329"/>
    <w:rsid w:val="00392336"/>
    <w:rsid w:val="00392375"/>
    <w:rsid w:val="003923F0"/>
    <w:rsid w:val="003928EC"/>
    <w:rsid w:val="0039292C"/>
    <w:rsid w:val="00392B67"/>
    <w:rsid w:val="00392C13"/>
    <w:rsid w:val="00392CFB"/>
    <w:rsid w:val="00392D74"/>
    <w:rsid w:val="00393003"/>
    <w:rsid w:val="003930A1"/>
    <w:rsid w:val="003931CE"/>
    <w:rsid w:val="00393282"/>
    <w:rsid w:val="003932D6"/>
    <w:rsid w:val="0039335D"/>
    <w:rsid w:val="00393413"/>
    <w:rsid w:val="00393453"/>
    <w:rsid w:val="0039346B"/>
    <w:rsid w:val="003938F9"/>
    <w:rsid w:val="00393A38"/>
    <w:rsid w:val="00393AE6"/>
    <w:rsid w:val="00393C4B"/>
    <w:rsid w:val="00393D7D"/>
    <w:rsid w:val="00394232"/>
    <w:rsid w:val="003942F2"/>
    <w:rsid w:val="0039459A"/>
    <w:rsid w:val="00394656"/>
    <w:rsid w:val="0039486E"/>
    <w:rsid w:val="00394B96"/>
    <w:rsid w:val="00394C36"/>
    <w:rsid w:val="00394C4B"/>
    <w:rsid w:val="00394CC9"/>
    <w:rsid w:val="003951B2"/>
    <w:rsid w:val="003951FE"/>
    <w:rsid w:val="003959EB"/>
    <w:rsid w:val="00395B56"/>
    <w:rsid w:val="00395EEA"/>
    <w:rsid w:val="00395F51"/>
    <w:rsid w:val="003960DE"/>
    <w:rsid w:val="00396178"/>
    <w:rsid w:val="00396458"/>
    <w:rsid w:val="003964C2"/>
    <w:rsid w:val="003968DB"/>
    <w:rsid w:val="003968E6"/>
    <w:rsid w:val="00396B06"/>
    <w:rsid w:val="00397027"/>
    <w:rsid w:val="00397307"/>
    <w:rsid w:val="00397493"/>
    <w:rsid w:val="003974C6"/>
    <w:rsid w:val="00397A27"/>
    <w:rsid w:val="00397A74"/>
    <w:rsid w:val="00397DC1"/>
    <w:rsid w:val="00397DDC"/>
    <w:rsid w:val="00397F66"/>
    <w:rsid w:val="003A02FE"/>
    <w:rsid w:val="003A0552"/>
    <w:rsid w:val="003A061C"/>
    <w:rsid w:val="003A084B"/>
    <w:rsid w:val="003A0A1B"/>
    <w:rsid w:val="003A0AC2"/>
    <w:rsid w:val="003A0BCC"/>
    <w:rsid w:val="003A0F20"/>
    <w:rsid w:val="003A149E"/>
    <w:rsid w:val="003A1670"/>
    <w:rsid w:val="003A1903"/>
    <w:rsid w:val="003A1943"/>
    <w:rsid w:val="003A1C85"/>
    <w:rsid w:val="003A1D22"/>
    <w:rsid w:val="003A241C"/>
    <w:rsid w:val="003A24AE"/>
    <w:rsid w:val="003A27CC"/>
    <w:rsid w:val="003A28FC"/>
    <w:rsid w:val="003A2D1F"/>
    <w:rsid w:val="003A2EAA"/>
    <w:rsid w:val="003A2F74"/>
    <w:rsid w:val="003A2F80"/>
    <w:rsid w:val="003A2FD0"/>
    <w:rsid w:val="003A300E"/>
    <w:rsid w:val="003A3507"/>
    <w:rsid w:val="003A3563"/>
    <w:rsid w:val="003A36CE"/>
    <w:rsid w:val="003A38DF"/>
    <w:rsid w:val="003A3B5E"/>
    <w:rsid w:val="003A3D17"/>
    <w:rsid w:val="003A3E62"/>
    <w:rsid w:val="003A3FF4"/>
    <w:rsid w:val="003A4188"/>
    <w:rsid w:val="003A41B8"/>
    <w:rsid w:val="003A42DE"/>
    <w:rsid w:val="003A4421"/>
    <w:rsid w:val="003A462D"/>
    <w:rsid w:val="003A4B83"/>
    <w:rsid w:val="003A4E51"/>
    <w:rsid w:val="003A4FB4"/>
    <w:rsid w:val="003A5939"/>
    <w:rsid w:val="003A5F5F"/>
    <w:rsid w:val="003A5F93"/>
    <w:rsid w:val="003A6513"/>
    <w:rsid w:val="003A6C5A"/>
    <w:rsid w:val="003A6C8C"/>
    <w:rsid w:val="003A6D05"/>
    <w:rsid w:val="003A72C6"/>
    <w:rsid w:val="003A73B7"/>
    <w:rsid w:val="003A7879"/>
    <w:rsid w:val="003A7C4B"/>
    <w:rsid w:val="003A7C73"/>
    <w:rsid w:val="003A7CB6"/>
    <w:rsid w:val="003A7E4D"/>
    <w:rsid w:val="003B03C4"/>
    <w:rsid w:val="003B0646"/>
    <w:rsid w:val="003B067E"/>
    <w:rsid w:val="003B06A1"/>
    <w:rsid w:val="003B0DFF"/>
    <w:rsid w:val="003B0E63"/>
    <w:rsid w:val="003B1082"/>
    <w:rsid w:val="003B12A4"/>
    <w:rsid w:val="003B13C2"/>
    <w:rsid w:val="003B1466"/>
    <w:rsid w:val="003B14BE"/>
    <w:rsid w:val="003B19C4"/>
    <w:rsid w:val="003B1F97"/>
    <w:rsid w:val="003B20F2"/>
    <w:rsid w:val="003B2255"/>
    <w:rsid w:val="003B22DE"/>
    <w:rsid w:val="003B22FD"/>
    <w:rsid w:val="003B23EB"/>
    <w:rsid w:val="003B2456"/>
    <w:rsid w:val="003B2B73"/>
    <w:rsid w:val="003B2F6C"/>
    <w:rsid w:val="003B37EE"/>
    <w:rsid w:val="003B38E8"/>
    <w:rsid w:val="003B3980"/>
    <w:rsid w:val="003B3E32"/>
    <w:rsid w:val="003B3F37"/>
    <w:rsid w:val="003B41BD"/>
    <w:rsid w:val="003B427A"/>
    <w:rsid w:val="003B4329"/>
    <w:rsid w:val="003B4621"/>
    <w:rsid w:val="003B4626"/>
    <w:rsid w:val="003B46B9"/>
    <w:rsid w:val="003B47B8"/>
    <w:rsid w:val="003B4F2B"/>
    <w:rsid w:val="003B4F77"/>
    <w:rsid w:val="003B4FB8"/>
    <w:rsid w:val="003B52C8"/>
    <w:rsid w:val="003B5E7F"/>
    <w:rsid w:val="003B603D"/>
    <w:rsid w:val="003B60E9"/>
    <w:rsid w:val="003B6319"/>
    <w:rsid w:val="003B64F6"/>
    <w:rsid w:val="003B69A0"/>
    <w:rsid w:val="003B6A85"/>
    <w:rsid w:val="003B6BE1"/>
    <w:rsid w:val="003B6C7B"/>
    <w:rsid w:val="003B701D"/>
    <w:rsid w:val="003B71D1"/>
    <w:rsid w:val="003B7253"/>
    <w:rsid w:val="003B794D"/>
    <w:rsid w:val="003B7B98"/>
    <w:rsid w:val="003B7CB4"/>
    <w:rsid w:val="003B7D82"/>
    <w:rsid w:val="003C0168"/>
    <w:rsid w:val="003C020B"/>
    <w:rsid w:val="003C02DF"/>
    <w:rsid w:val="003C0305"/>
    <w:rsid w:val="003C04DD"/>
    <w:rsid w:val="003C0556"/>
    <w:rsid w:val="003C092D"/>
    <w:rsid w:val="003C096C"/>
    <w:rsid w:val="003C0C91"/>
    <w:rsid w:val="003C0F6D"/>
    <w:rsid w:val="003C115F"/>
    <w:rsid w:val="003C1275"/>
    <w:rsid w:val="003C1383"/>
    <w:rsid w:val="003C1401"/>
    <w:rsid w:val="003C1A46"/>
    <w:rsid w:val="003C1B2C"/>
    <w:rsid w:val="003C1B7D"/>
    <w:rsid w:val="003C1EFD"/>
    <w:rsid w:val="003C1F92"/>
    <w:rsid w:val="003C2631"/>
    <w:rsid w:val="003C29B1"/>
    <w:rsid w:val="003C2BB7"/>
    <w:rsid w:val="003C2C44"/>
    <w:rsid w:val="003C306C"/>
    <w:rsid w:val="003C30A3"/>
    <w:rsid w:val="003C3159"/>
    <w:rsid w:val="003C3225"/>
    <w:rsid w:val="003C3DA7"/>
    <w:rsid w:val="003C3DE4"/>
    <w:rsid w:val="003C45F0"/>
    <w:rsid w:val="003C4682"/>
    <w:rsid w:val="003C483B"/>
    <w:rsid w:val="003C4C70"/>
    <w:rsid w:val="003C4CFA"/>
    <w:rsid w:val="003C4EB6"/>
    <w:rsid w:val="003C53F2"/>
    <w:rsid w:val="003C547A"/>
    <w:rsid w:val="003C54EE"/>
    <w:rsid w:val="003C57EE"/>
    <w:rsid w:val="003C5957"/>
    <w:rsid w:val="003C595F"/>
    <w:rsid w:val="003C5A78"/>
    <w:rsid w:val="003C5AEC"/>
    <w:rsid w:val="003C5B4B"/>
    <w:rsid w:val="003C5C5F"/>
    <w:rsid w:val="003C5CF7"/>
    <w:rsid w:val="003C5D38"/>
    <w:rsid w:val="003C5D8E"/>
    <w:rsid w:val="003C5DDF"/>
    <w:rsid w:val="003C5F55"/>
    <w:rsid w:val="003C63E7"/>
    <w:rsid w:val="003C643E"/>
    <w:rsid w:val="003C6447"/>
    <w:rsid w:val="003C65F0"/>
    <w:rsid w:val="003C67D5"/>
    <w:rsid w:val="003C6A35"/>
    <w:rsid w:val="003C6A8E"/>
    <w:rsid w:val="003C6CB6"/>
    <w:rsid w:val="003C6D4E"/>
    <w:rsid w:val="003C6DA1"/>
    <w:rsid w:val="003C6F6E"/>
    <w:rsid w:val="003C7021"/>
    <w:rsid w:val="003C7068"/>
    <w:rsid w:val="003C706A"/>
    <w:rsid w:val="003C72FC"/>
    <w:rsid w:val="003C73FB"/>
    <w:rsid w:val="003C785B"/>
    <w:rsid w:val="003C78D3"/>
    <w:rsid w:val="003C7AB9"/>
    <w:rsid w:val="003C7B58"/>
    <w:rsid w:val="003C7C36"/>
    <w:rsid w:val="003C7C8A"/>
    <w:rsid w:val="003C7E7C"/>
    <w:rsid w:val="003D0380"/>
    <w:rsid w:val="003D03C1"/>
    <w:rsid w:val="003D06A7"/>
    <w:rsid w:val="003D072A"/>
    <w:rsid w:val="003D072D"/>
    <w:rsid w:val="003D0D5D"/>
    <w:rsid w:val="003D0E6F"/>
    <w:rsid w:val="003D0F4D"/>
    <w:rsid w:val="003D1267"/>
    <w:rsid w:val="003D1474"/>
    <w:rsid w:val="003D177C"/>
    <w:rsid w:val="003D1C61"/>
    <w:rsid w:val="003D1E43"/>
    <w:rsid w:val="003D1F7F"/>
    <w:rsid w:val="003D2499"/>
    <w:rsid w:val="003D282D"/>
    <w:rsid w:val="003D2880"/>
    <w:rsid w:val="003D28B0"/>
    <w:rsid w:val="003D2F4F"/>
    <w:rsid w:val="003D2FB7"/>
    <w:rsid w:val="003D39C3"/>
    <w:rsid w:val="003D40C2"/>
    <w:rsid w:val="003D4825"/>
    <w:rsid w:val="003D4E92"/>
    <w:rsid w:val="003D4E99"/>
    <w:rsid w:val="003D4F8D"/>
    <w:rsid w:val="003D51E3"/>
    <w:rsid w:val="003D5257"/>
    <w:rsid w:val="003D53F2"/>
    <w:rsid w:val="003D57C8"/>
    <w:rsid w:val="003D5E83"/>
    <w:rsid w:val="003D6008"/>
    <w:rsid w:val="003D6489"/>
    <w:rsid w:val="003D66AF"/>
    <w:rsid w:val="003D66D5"/>
    <w:rsid w:val="003D6830"/>
    <w:rsid w:val="003D69F7"/>
    <w:rsid w:val="003D6BC4"/>
    <w:rsid w:val="003D6ECF"/>
    <w:rsid w:val="003D7036"/>
    <w:rsid w:val="003D754B"/>
    <w:rsid w:val="003D756B"/>
    <w:rsid w:val="003D7B72"/>
    <w:rsid w:val="003D7D26"/>
    <w:rsid w:val="003D7EBA"/>
    <w:rsid w:val="003E012F"/>
    <w:rsid w:val="003E05A4"/>
    <w:rsid w:val="003E05DB"/>
    <w:rsid w:val="003E0C13"/>
    <w:rsid w:val="003E0C8A"/>
    <w:rsid w:val="003E0DBA"/>
    <w:rsid w:val="003E1095"/>
    <w:rsid w:val="003E10A8"/>
    <w:rsid w:val="003E1213"/>
    <w:rsid w:val="003E127D"/>
    <w:rsid w:val="003E1582"/>
    <w:rsid w:val="003E16BF"/>
    <w:rsid w:val="003E198B"/>
    <w:rsid w:val="003E1BA4"/>
    <w:rsid w:val="003E2200"/>
    <w:rsid w:val="003E2333"/>
    <w:rsid w:val="003E23DF"/>
    <w:rsid w:val="003E243B"/>
    <w:rsid w:val="003E2858"/>
    <w:rsid w:val="003E2C9E"/>
    <w:rsid w:val="003E339C"/>
    <w:rsid w:val="003E3403"/>
    <w:rsid w:val="003E3523"/>
    <w:rsid w:val="003E35B3"/>
    <w:rsid w:val="003E38F8"/>
    <w:rsid w:val="003E391C"/>
    <w:rsid w:val="003E3AD7"/>
    <w:rsid w:val="003E3DD9"/>
    <w:rsid w:val="003E3F57"/>
    <w:rsid w:val="003E41DA"/>
    <w:rsid w:val="003E4371"/>
    <w:rsid w:val="003E438A"/>
    <w:rsid w:val="003E4A5C"/>
    <w:rsid w:val="003E4DE7"/>
    <w:rsid w:val="003E4E3E"/>
    <w:rsid w:val="003E501C"/>
    <w:rsid w:val="003E556E"/>
    <w:rsid w:val="003E566B"/>
    <w:rsid w:val="003E5BDD"/>
    <w:rsid w:val="003E5DAD"/>
    <w:rsid w:val="003E6114"/>
    <w:rsid w:val="003E619F"/>
    <w:rsid w:val="003E68A7"/>
    <w:rsid w:val="003E6B8A"/>
    <w:rsid w:val="003E6BE6"/>
    <w:rsid w:val="003E6E49"/>
    <w:rsid w:val="003E6FEA"/>
    <w:rsid w:val="003E7144"/>
    <w:rsid w:val="003E726E"/>
    <w:rsid w:val="003E72FD"/>
    <w:rsid w:val="003E73A3"/>
    <w:rsid w:val="003E7429"/>
    <w:rsid w:val="003E7578"/>
    <w:rsid w:val="003E759F"/>
    <w:rsid w:val="003E75AF"/>
    <w:rsid w:val="003E75FA"/>
    <w:rsid w:val="003E7B31"/>
    <w:rsid w:val="003F0417"/>
    <w:rsid w:val="003F060A"/>
    <w:rsid w:val="003F0650"/>
    <w:rsid w:val="003F08AA"/>
    <w:rsid w:val="003F0ADA"/>
    <w:rsid w:val="003F0C6D"/>
    <w:rsid w:val="003F1011"/>
    <w:rsid w:val="003F1260"/>
    <w:rsid w:val="003F130A"/>
    <w:rsid w:val="003F13A5"/>
    <w:rsid w:val="003F16A8"/>
    <w:rsid w:val="003F1A0B"/>
    <w:rsid w:val="003F1A93"/>
    <w:rsid w:val="003F1C16"/>
    <w:rsid w:val="003F1E38"/>
    <w:rsid w:val="003F1F8E"/>
    <w:rsid w:val="003F2283"/>
    <w:rsid w:val="003F228F"/>
    <w:rsid w:val="003F2639"/>
    <w:rsid w:val="003F2874"/>
    <w:rsid w:val="003F2B1E"/>
    <w:rsid w:val="003F2C88"/>
    <w:rsid w:val="003F2D8D"/>
    <w:rsid w:val="003F308A"/>
    <w:rsid w:val="003F3436"/>
    <w:rsid w:val="003F3A56"/>
    <w:rsid w:val="003F3AD2"/>
    <w:rsid w:val="003F3C0E"/>
    <w:rsid w:val="003F3E4C"/>
    <w:rsid w:val="003F4015"/>
    <w:rsid w:val="003F40DE"/>
    <w:rsid w:val="003F41CA"/>
    <w:rsid w:val="003F46B7"/>
    <w:rsid w:val="003F46ED"/>
    <w:rsid w:val="003F47A0"/>
    <w:rsid w:val="003F4860"/>
    <w:rsid w:val="003F487F"/>
    <w:rsid w:val="003F4F54"/>
    <w:rsid w:val="003F50FC"/>
    <w:rsid w:val="003F56F4"/>
    <w:rsid w:val="003F5759"/>
    <w:rsid w:val="003F57A0"/>
    <w:rsid w:val="003F5C11"/>
    <w:rsid w:val="003F5E19"/>
    <w:rsid w:val="003F6602"/>
    <w:rsid w:val="003F66A6"/>
    <w:rsid w:val="003F6B94"/>
    <w:rsid w:val="003F6C8D"/>
    <w:rsid w:val="003F6F84"/>
    <w:rsid w:val="003F705C"/>
    <w:rsid w:val="003F718F"/>
    <w:rsid w:val="003F722B"/>
    <w:rsid w:val="003F74FA"/>
    <w:rsid w:val="003F76A0"/>
    <w:rsid w:val="003F7DD3"/>
    <w:rsid w:val="003F7EFA"/>
    <w:rsid w:val="003F7F8C"/>
    <w:rsid w:val="003F7FD9"/>
    <w:rsid w:val="0040000E"/>
    <w:rsid w:val="004000F7"/>
    <w:rsid w:val="004004F5"/>
    <w:rsid w:val="00400626"/>
    <w:rsid w:val="00400685"/>
    <w:rsid w:val="00400CB9"/>
    <w:rsid w:val="00401156"/>
    <w:rsid w:val="004011DD"/>
    <w:rsid w:val="004012D6"/>
    <w:rsid w:val="004015C5"/>
    <w:rsid w:val="0040177A"/>
    <w:rsid w:val="00401917"/>
    <w:rsid w:val="00401E75"/>
    <w:rsid w:val="004022ED"/>
    <w:rsid w:val="00402722"/>
    <w:rsid w:val="00402923"/>
    <w:rsid w:val="00402C4A"/>
    <w:rsid w:val="00402DD7"/>
    <w:rsid w:val="00402E21"/>
    <w:rsid w:val="00402F48"/>
    <w:rsid w:val="00402F62"/>
    <w:rsid w:val="00403126"/>
    <w:rsid w:val="00403BC1"/>
    <w:rsid w:val="00403BC3"/>
    <w:rsid w:val="00403E2E"/>
    <w:rsid w:val="00404061"/>
    <w:rsid w:val="004044D7"/>
    <w:rsid w:val="004044EF"/>
    <w:rsid w:val="0040487C"/>
    <w:rsid w:val="00404BE6"/>
    <w:rsid w:val="00405073"/>
    <w:rsid w:val="004056BF"/>
    <w:rsid w:val="00405754"/>
    <w:rsid w:val="004057E7"/>
    <w:rsid w:val="00405990"/>
    <w:rsid w:val="00405F0E"/>
    <w:rsid w:val="004061DE"/>
    <w:rsid w:val="004061E1"/>
    <w:rsid w:val="0040665B"/>
    <w:rsid w:val="00406B1B"/>
    <w:rsid w:val="00406B52"/>
    <w:rsid w:val="00406C65"/>
    <w:rsid w:val="00406DE6"/>
    <w:rsid w:val="00406E25"/>
    <w:rsid w:val="00407048"/>
    <w:rsid w:val="004076B1"/>
    <w:rsid w:val="00407789"/>
    <w:rsid w:val="0040789B"/>
    <w:rsid w:val="004079C5"/>
    <w:rsid w:val="00407C0D"/>
    <w:rsid w:val="00407D58"/>
    <w:rsid w:val="00407E65"/>
    <w:rsid w:val="00407FF3"/>
    <w:rsid w:val="004102A3"/>
    <w:rsid w:val="0041058E"/>
    <w:rsid w:val="0041073E"/>
    <w:rsid w:val="00410D75"/>
    <w:rsid w:val="00411009"/>
    <w:rsid w:val="004111CC"/>
    <w:rsid w:val="00411617"/>
    <w:rsid w:val="00411B14"/>
    <w:rsid w:val="00411B52"/>
    <w:rsid w:val="0041208E"/>
    <w:rsid w:val="00412116"/>
    <w:rsid w:val="00412A5F"/>
    <w:rsid w:val="00412C4A"/>
    <w:rsid w:val="00413338"/>
    <w:rsid w:val="00413617"/>
    <w:rsid w:val="004139A5"/>
    <w:rsid w:val="00413A58"/>
    <w:rsid w:val="00413BA7"/>
    <w:rsid w:val="00413C53"/>
    <w:rsid w:val="00413D37"/>
    <w:rsid w:val="00413FA3"/>
    <w:rsid w:val="00414071"/>
    <w:rsid w:val="0041420D"/>
    <w:rsid w:val="0041432B"/>
    <w:rsid w:val="00414368"/>
    <w:rsid w:val="00414378"/>
    <w:rsid w:val="0041477D"/>
    <w:rsid w:val="0041492A"/>
    <w:rsid w:val="00414AE2"/>
    <w:rsid w:val="00414C95"/>
    <w:rsid w:val="00414EC6"/>
    <w:rsid w:val="004152F5"/>
    <w:rsid w:val="004154E9"/>
    <w:rsid w:val="004155F8"/>
    <w:rsid w:val="00415967"/>
    <w:rsid w:val="00415AC8"/>
    <w:rsid w:val="00415C24"/>
    <w:rsid w:val="00415DB2"/>
    <w:rsid w:val="00416660"/>
    <w:rsid w:val="00416932"/>
    <w:rsid w:val="00416A11"/>
    <w:rsid w:val="00416B14"/>
    <w:rsid w:val="00416BE1"/>
    <w:rsid w:val="00416CF2"/>
    <w:rsid w:val="00416D40"/>
    <w:rsid w:val="00416DF4"/>
    <w:rsid w:val="00416DF5"/>
    <w:rsid w:val="00417119"/>
    <w:rsid w:val="0041711F"/>
    <w:rsid w:val="00417307"/>
    <w:rsid w:val="0041731D"/>
    <w:rsid w:val="0041749D"/>
    <w:rsid w:val="004174D7"/>
    <w:rsid w:val="004177FD"/>
    <w:rsid w:val="00417BCB"/>
    <w:rsid w:val="00417EB7"/>
    <w:rsid w:val="00417ED9"/>
    <w:rsid w:val="00420052"/>
    <w:rsid w:val="004200F7"/>
    <w:rsid w:val="0042027B"/>
    <w:rsid w:val="0042030C"/>
    <w:rsid w:val="00420800"/>
    <w:rsid w:val="004208E5"/>
    <w:rsid w:val="00420920"/>
    <w:rsid w:val="00420A06"/>
    <w:rsid w:val="00420A4E"/>
    <w:rsid w:val="00420ABB"/>
    <w:rsid w:val="00420B56"/>
    <w:rsid w:val="00420BAE"/>
    <w:rsid w:val="00420F60"/>
    <w:rsid w:val="00421930"/>
    <w:rsid w:val="00421E96"/>
    <w:rsid w:val="004223BF"/>
    <w:rsid w:val="00422654"/>
    <w:rsid w:val="0042298A"/>
    <w:rsid w:val="00422CB2"/>
    <w:rsid w:val="00422DC5"/>
    <w:rsid w:val="00423974"/>
    <w:rsid w:val="0042480D"/>
    <w:rsid w:val="0042484B"/>
    <w:rsid w:val="00424B0F"/>
    <w:rsid w:val="00424CD4"/>
    <w:rsid w:val="00424D4E"/>
    <w:rsid w:val="00424D87"/>
    <w:rsid w:val="00424E04"/>
    <w:rsid w:val="00424EE6"/>
    <w:rsid w:val="0042539A"/>
    <w:rsid w:val="004254B6"/>
    <w:rsid w:val="0042553D"/>
    <w:rsid w:val="00425732"/>
    <w:rsid w:val="00425820"/>
    <w:rsid w:val="00425B13"/>
    <w:rsid w:val="00425D47"/>
    <w:rsid w:val="00425E5E"/>
    <w:rsid w:val="00425FAB"/>
    <w:rsid w:val="00426129"/>
    <w:rsid w:val="00426460"/>
    <w:rsid w:val="00426677"/>
    <w:rsid w:val="00426765"/>
    <w:rsid w:val="00426958"/>
    <w:rsid w:val="00426A50"/>
    <w:rsid w:val="00426D38"/>
    <w:rsid w:val="00426E40"/>
    <w:rsid w:val="004271A6"/>
    <w:rsid w:val="00427469"/>
    <w:rsid w:val="00427999"/>
    <w:rsid w:val="00427C20"/>
    <w:rsid w:val="0043024D"/>
    <w:rsid w:val="00430375"/>
    <w:rsid w:val="00430503"/>
    <w:rsid w:val="00430923"/>
    <w:rsid w:val="00430D6A"/>
    <w:rsid w:val="00430F74"/>
    <w:rsid w:val="00431860"/>
    <w:rsid w:val="00431D51"/>
    <w:rsid w:val="00432231"/>
    <w:rsid w:val="00432250"/>
    <w:rsid w:val="004322B3"/>
    <w:rsid w:val="004322C6"/>
    <w:rsid w:val="004322D8"/>
    <w:rsid w:val="00432524"/>
    <w:rsid w:val="004325B7"/>
    <w:rsid w:val="004326BA"/>
    <w:rsid w:val="00432AF9"/>
    <w:rsid w:val="00432FB6"/>
    <w:rsid w:val="004330B6"/>
    <w:rsid w:val="00433499"/>
    <w:rsid w:val="004334E7"/>
    <w:rsid w:val="0043371F"/>
    <w:rsid w:val="0043374C"/>
    <w:rsid w:val="004339D9"/>
    <w:rsid w:val="00433A95"/>
    <w:rsid w:val="00433AD2"/>
    <w:rsid w:val="00433C0F"/>
    <w:rsid w:val="00433F09"/>
    <w:rsid w:val="00434357"/>
    <w:rsid w:val="004343D5"/>
    <w:rsid w:val="00434563"/>
    <w:rsid w:val="004346AB"/>
    <w:rsid w:val="00434DD2"/>
    <w:rsid w:val="00434E70"/>
    <w:rsid w:val="00435064"/>
    <w:rsid w:val="0043518E"/>
    <w:rsid w:val="00435449"/>
    <w:rsid w:val="00435714"/>
    <w:rsid w:val="00435E68"/>
    <w:rsid w:val="00435F04"/>
    <w:rsid w:val="00435FB3"/>
    <w:rsid w:val="0043616A"/>
    <w:rsid w:val="00436184"/>
    <w:rsid w:val="0043630D"/>
    <w:rsid w:val="004364BD"/>
    <w:rsid w:val="00436886"/>
    <w:rsid w:val="0043699C"/>
    <w:rsid w:val="00436AEF"/>
    <w:rsid w:val="00436B06"/>
    <w:rsid w:val="00436E74"/>
    <w:rsid w:val="004370BE"/>
    <w:rsid w:val="0043713A"/>
    <w:rsid w:val="004373A5"/>
    <w:rsid w:val="00437933"/>
    <w:rsid w:val="00437A0A"/>
    <w:rsid w:val="00437BC1"/>
    <w:rsid w:val="00437EB5"/>
    <w:rsid w:val="00437EED"/>
    <w:rsid w:val="004402C4"/>
    <w:rsid w:val="00440768"/>
    <w:rsid w:val="00440ADD"/>
    <w:rsid w:val="004410A7"/>
    <w:rsid w:val="004410B6"/>
    <w:rsid w:val="0044134D"/>
    <w:rsid w:val="0044152E"/>
    <w:rsid w:val="00441882"/>
    <w:rsid w:val="0044194E"/>
    <w:rsid w:val="00442075"/>
    <w:rsid w:val="004422B6"/>
    <w:rsid w:val="00442309"/>
    <w:rsid w:val="0044247C"/>
    <w:rsid w:val="00442495"/>
    <w:rsid w:val="0044256C"/>
    <w:rsid w:val="00442597"/>
    <w:rsid w:val="004426D6"/>
    <w:rsid w:val="00442AFD"/>
    <w:rsid w:val="00442C75"/>
    <w:rsid w:val="00442DE1"/>
    <w:rsid w:val="004431C4"/>
    <w:rsid w:val="00443285"/>
    <w:rsid w:val="004433DB"/>
    <w:rsid w:val="00443614"/>
    <w:rsid w:val="0044369D"/>
    <w:rsid w:val="004440F2"/>
    <w:rsid w:val="00444215"/>
    <w:rsid w:val="004442BD"/>
    <w:rsid w:val="004444CB"/>
    <w:rsid w:val="004445A6"/>
    <w:rsid w:val="00444753"/>
    <w:rsid w:val="0044485C"/>
    <w:rsid w:val="00444957"/>
    <w:rsid w:val="00444AE9"/>
    <w:rsid w:val="00444B30"/>
    <w:rsid w:val="00444B80"/>
    <w:rsid w:val="00444D28"/>
    <w:rsid w:val="00445074"/>
    <w:rsid w:val="0044530C"/>
    <w:rsid w:val="00445421"/>
    <w:rsid w:val="0044549E"/>
    <w:rsid w:val="004458C2"/>
    <w:rsid w:val="004458D0"/>
    <w:rsid w:val="00445BF3"/>
    <w:rsid w:val="00446044"/>
    <w:rsid w:val="0044641A"/>
    <w:rsid w:val="004464FC"/>
    <w:rsid w:val="00446509"/>
    <w:rsid w:val="0044661C"/>
    <w:rsid w:val="00446C68"/>
    <w:rsid w:val="00446E69"/>
    <w:rsid w:val="00446EE9"/>
    <w:rsid w:val="0044717B"/>
    <w:rsid w:val="0044743B"/>
    <w:rsid w:val="00447517"/>
    <w:rsid w:val="004475D4"/>
    <w:rsid w:val="004477AB"/>
    <w:rsid w:val="0044781B"/>
    <w:rsid w:val="004478BD"/>
    <w:rsid w:val="004478DF"/>
    <w:rsid w:val="00447CB0"/>
    <w:rsid w:val="00447E53"/>
    <w:rsid w:val="00450102"/>
    <w:rsid w:val="00450203"/>
    <w:rsid w:val="00450372"/>
    <w:rsid w:val="00450475"/>
    <w:rsid w:val="004504D3"/>
    <w:rsid w:val="004505F9"/>
    <w:rsid w:val="00450B64"/>
    <w:rsid w:val="00451083"/>
    <w:rsid w:val="004514AF"/>
    <w:rsid w:val="0045198E"/>
    <w:rsid w:val="00451D40"/>
    <w:rsid w:val="004521C8"/>
    <w:rsid w:val="004523CE"/>
    <w:rsid w:val="00452869"/>
    <w:rsid w:val="004539AC"/>
    <w:rsid w:val="00453A8C"/>
    <w:rsid w:val="00453BBC"/>
    <w:rsid w:val="00453BC3"/>
    <w:rsid w:val="00453CDA"/>
    <w:rsid w:val="004543F3"/>
    <w:rsid w:val="00454855"/>
    <w:rsid w:val="0045494F"/>
    <w:rsid w:val="00454BE7"/>
    <w:rsid w:val="00454DA3"/>
    <w:rsid w:val="00454F0A"/>
    <w:rsid w:val="00454F7C"/>
    <w:rsid w:val="004551FC"/>
    <w:rsid w:val="00455217"/>
    <w:rsid w:val="00455232"/>
    <w:rsid w:val="00455313"/>
    <w:rsid w:val="004555B0"/>
    <w:rsid w:val="00455B30"/>
    <w:rsid w:val="00456154"/>
    <w:rsid w:val="0045620A"/>
    <w:rsid w:val="0045622A"/>
    <w:rsid w:val="0045635B"/>
    <w:rsid w:val="004564D1"/>
    <w:rsid w:val="00456CC3"/>
    <w:rsid w:val="00456ED3"/>
    <w:rsid w:val="00456FFD"/>
    <w:rsid w:val="00457086"/>
    <w:rsid w:val="004570A8"/>
    <w:rsid w:val="004575D6"/>
    <w:rsid w:val="00457638"/>
    <w:rsid w:val="00457841"/>
    <w:rsid w:val="004578AA"/>
    <w:rsid w:val="00457B79"/>
    <w:rsid w:val="00457BF8"/>
    <w:rsid w:val="00457E7D"/>
    <w:rsid w:val="004603E3"/>
    <w:rsid w:val="00460D37"/>
    <w:rsid w:val="00460D96"/>
    <w:rsid w:val="004611DD"/>
    <w:rsid w:val="00461429"/>
    <w:rsid w:val="004619BE"/>
    <w:rsid w:val="00461B2A"/>
    <w:rsid w:val="00461CD2"/>
    <w:rsid w:val="00461CE7"/>
    <w:rsid w:val="00461F16"/>
    <w:rsid w:val="00461F3F"/>
    <w:rsid w:val="00461FD2"/>
    <w:rsid w:val="00461FF4"/>
    <w:rsid w:val="004622A0"/>
    <w:rsid w:val="00462532"/>
    <w:rsid w:val="00462968"/>
    <w:rsid w:val="00463628"/>
    <w:rsid w:val="00463709"/>
    <w:rsid w:val="00463D4A"/>
    <w:rsid w:val="00463E48"/>
    <w:rsid w:val="00464197"/>
    <w:rsid w:val="00464237"/>
    <w:rsid w:val="00464261"/>
    <w:rsid w:val="00464582"/>
    <w:rsid w:val="00464805"/>
    <w:rsid w:val="004648EC"/>
    <w:rsid w:val="00464943"/>
    <w:rsid w:val="00465288"/>
    <w:rsid w:val="004652FB"/>
    <w:rsid w:val="0046532D"/>
    <w:rsid w:val="0046540D"/>
    <w:rsid w:val="0046543A"/>
    <w:rsid w:val="004657B3"/>
    <w:rsid w:val="00465DC4"/>
    <w:rsid w:val="00465EB9"/>
    <w:rsid w:val="00465FF7"/>
    <w:rsid w:val="00466319"/>
    <w:rsid w:val="0046638F"/>
    <w:rsid w:val="00466892"/>
    <w:rsid w:val="00466B0D"/>
    <w:rsid w:val="00466CB2"/>
    <w:rsid w:val="00466CB3"/>
    <w:rsid w:val="00466DFC"/>
    <w:rsid w:val="00467120"/>
    <w:rsid w:val="00467340"/>
    <w:rsid w:val="004673F7"/>
    <w:rsid w:val="004674C8"/>
    <w:rsid w:val="004674FF"/>
    <w:rsid w:val="00467538"/>
    <w:rsid w:val="004679B9"/>
    <w:rsid w:val="00467A89"/>
    <w:rsid w:val="00467AE4"/>
    <w:rsid w:val="00467B09"/>
    <w:rsid w:val="00467C4B"/>
    <w:rsid w:val="00467E24"/>
    <w:rsid w:val="00467E8A"/>
    <w:rsid w:val="004703B1"/>
    <w:rsid w:val="004708E0"/>
    <w:rsid w:val="004709D8"/>
    <w:rsid w:val="004709EB"/>
    <w:rsid w:val="00470C1B"/>
    <w:rsid w:val="00470CFC"/>
    <w:rsid w:val="0047101F"/>
    <w:rsid w:val="00471949"/>
    <w:rsid w:val="00471C82"/>
    <w:rsid w:val="00472382"/>
    <w:rsid w:val="00472453"/>
    <w:rsid w:val="0047255D"/>
    <w:rsid w:val="0047260B"/>
    <w:rsid w:val="00472918"/>
    <w:rsid w:val="00472A10"/>
    <w:rsid w:val="00472C12"/>
    <w:rsid w:val="00472EE2"/>
    <w:rsid w:val="004732F3"/>
    <w:rsid w:val="00473610"/>
    <w:rsid w:val="004736C0"/>
    <w:rsid w:val="00473704"/>
    <w:rsid w:val="0047387C"/>
    <w:rsid w:val="00473A53"/>
    <w:rsid w:val="00473B81"/>
    <w:rsid w:val="00473D10"/>
    <w:rsid w:val="00473E8F"/>
    <w:rsid w:val="0047450F"/>
    <w:rsid w:val="00474524"/>
    <w:rsid w:val="00474589"/>
    <w:rsid w:val="00474652"/>
    <w:rsid w:val="00474928"/>
    <w:rsid w:val="00474965"/>
    <w:rsid w:val="0047498B"/>
    <w:rsid w:val="00474B1D"/>
    <w:rsid w:val="00474C04"/>
    <w:rsid w:val="00474C4A"/>
    <w:rsid w:val="00474DBA"/>
    <w:rsid w:val="00475186"/>
    <w:rsid w:val="00475318"/>
    <w:rsid w:val="00475996"/>
    <w:rsid w:val="00475A8B"/>
    <w:rsid w:val="00475E4A"/>
    <w:rsid w:val="00475ED1"/>
    <w:rsid w:val="00476321"/>
    <w:rsid w:val="004769B9"/>
    <w:rsid w:val="004769BB"/>
    <w:rsid w:val="00477081"/>
    <w:rsid w:val="0047734C"/>
    <w:rsid w:val="004773EE"/>
    <w:rsid w:val="0047743B"/>
    <w:rsid w:val="00477457"/>
    <w:rsid w:val="004774C0"/>
    <w:rsid w:val="00477674"/>
    <w:rsid w:val="00477930"/>
    <w:rsid w:val="00477A71"/>
    <w:rsid w:val="00477A82"/>
    <w:rsid w:val="00477A9C"/>
    <w:rsid w:val="00477B62"/>
    <w:rsid w:val="00477C2E"/>
    <w:rsid w:val="00477DDD"/>
    <w:rsid w:val="00480297"/>
    <w:rsid w:val="00480520"/>
    <w:rsid w:val="00480583"/>
    <w:rsid w:val="004806C9"/>
    <w:rsid w:val="00480882"/>
    <w:rsid w:val="004808A2"/>
    <w:rsid w:val="00480A7B"/>
    <w:rsid w:val="00480EBE"/>
    <w:rsid w:val="00480F06"/>
    <w:rsid w:val="00481240"/>
    <w:rsid w:val="004812C9"/>
    <w:rsid w:val="00481410"/>
    <w:rsid w:val="0048153B"/>
    <w:rsid w:val="00481862"/>
    <w:rsid w:val="004818B1"/>
    <w:rsid w:val="00481C18"/>
    <w:rsid w:val="00481C95"/>
    <w:rsid w:val="00481F01"/>
    <w:rsid w:val="00482207"/>
    <w:rsid w:val="00482AAD"/>
    <w:rsid w:val="00482B58"/>
    <w:rsid w:val="00482B66"/>
    <w:rsid w:val="00482E4B"/>
    <w:rsid w:val="00482EF3"/>
    <w:rsid w:val="004830D5"/>
    <w:rsid w:val="004833E2"/>
    <w:rsid w:val="00483610"/>
    <w:rsid w:val="004837FC"/>
    <w:rsid w:val="0048385A"/>
    <w:rsid w:val="0048393A"/>
    <w:rsid w:val="00483A8E"/>
    <w:rsid w:val="00483D9E"/>
    <w:rsid w:val="00484112"/>
    <w:rsid w:val="00484203"/>
    <w:rsid w:val="004845B1"/>
    <w:rsid w:val="0048473C"/>
    <w:rsid w:val="0048488D"/>
    <w:rsid w:val="004849CE"/>
    <w:rsid w:val="004849F0"/>
    <w:rsid w:val="00484B3D"/>
    <w:rsid w:val="00484CF8"/>
    <w:rsid w:val="00484E9C"/>
    <w:rsid w:val="00484ECE"/>
    <w:rsid w:val="00485052"/>
    <w:rsid w:val="00485079"/>
    <w:rsid w:val="00485149"/>
    <w:rsid w:val="00485175"/>
    <w:rsid w:val="004851E6"/>
    <w:rsid w:val="00485349"/>
    <w:rsid w:val="00485570"/>
    <w:rsid w:val="00485845"/>
    <w:rsid w:val="00485BBE"/>
    <w:rsid w:val="00485C08"/>
    <w:rsid w:val="00485C0C"/>
    <w:rsid w:val="00485E9B"/>
    <w:rsid w:val="004860ED"/>
    <w:rsid w:val="004862BF"/>
    <w:rsid w:val="00486410"/>
    <w:rsid w:val="00486448"/>
    <w:rsid w:val="004867E6"/>
    <w:rsid w:val="00486827"/>
    <w:rsid w:val="00486D4D"/>
    <w:rsid w:val="00486DDE"/>
    <w:rsid w:val="00486ED4"/>
    <w:rsid w:val="00487354"/>
    <w:rsid w:val="004873FB"/>
    <w:rsid w:val="00487534"/>
    <w:rsid w:val="0048771E"/>
    <w:rsid w:val="0048784D"/>
    <w:rsid w:val="00487B3A"/>
    <w:rsid w:val="00490442"/>
    <w:rsid w:val="00490739"/>
    <w:rsid w:val="00490A71"/>
    <w:rsid w:val="00490C89"/>
    <w:rsid w:val="00490D8D"/>
    <w:rsid w:val="00491136"/>
    <w:rsid w:val="004913A3"/>
    <w:rsid w:val="004914DB"/>
    <w:rsid w:val="0049162D"/>
    <w:rsid w:val="00491751"/>
    <w:rsid w:val="00491942"/>
    <w:rsid w:val="00491B22"/>
    <w:rsid w:val="00491E27"/>
    <w:rsid w:val="00491FFE"/>
    <w:rsid w:val="004922B8"/>
    <w:rsid w:val="004923DC"/>
    <w:rsid w:val="004927BD"/>
    <w:rsid w:val="004928C4"/>
    <w:rsid w:val="00492936"/>
    <w:rsid w:val="00492B3D"/>
    <w:rsid w:val="004934A7"/>
    <w:rsid w:val="004934CC"/>
    <w:rsid w:val="00493A1C"/>
    <w:rsid w:val="00493B39"/>
    <w:rsid w:val="00493EF2"/>
    <w:rsid w:val="00493F02"/>
    <w:rsid w:val="00494081"/>
    <w:rsid w:val="00494215"/>
    <w:rsid w:val="004942A7"/>
    <w:rsid w:val="00494688"/>
    <w:rsid w:val="0049478A"/>
    <w:rsid w:val="00494DFC"/>
    <w:rsid w:val="00494E22"/>
    <w:rsid w:val="004950EB"/>
    <w:rsid w:val="00495229"/>
    <w:rsid w:val="004953EF"/>
    <w:rsid w:val="00495B0A"/>
    <w:rsid w:val="00495C48"/>
    <w:rsid w:val="00495F0D"/>
    <w:rsid w:val="00495FFC"/>
    <w:rsid w:val="0049600D"/>
    <w:rsid w:val="00496096"/>
    <w:rsid w:val="00496237"/>
    <w:rsid w:val="00496447"/>
    <w:rsid w:val="00496835"/>
    <w:rsid w:val="00496CD0"/>
    <w:rsid w:val="0049733F"/>
    <w:rsid w:val="0049772B"/>
    <w:rsid w:val="00497CDC"/>
    <w:rsid w:val="00497DD1"/>
    <w:rsid w:val="00497FA8"/>
    <w:rsid w:val="004A0277"/>
    <w:rsid w:val="004A02FE"/>
    <w:rsid w:val="004A08A1"/>
    <w:rsid w:val="004A0A8B"/>
    <w:rsid w:val="004A0D2D"/>
    <w:rsid w:val="004A0DDC"/>
    <w:rsid w:val="004A1180"/>
    <w:rsid w:val="004A11BB"/>
    <w:rsid w:val="004A1236"/>
    <w:rsid w:val="004A125D"/>
    <w:rsid w:val="004A142F"/>
    <w:rsid w:val="004A1857"/>
    <w:rsid w:val="004A18AD"/>
    <w:rsid w:val="004A1A64"/>
    <w:rsid w:val="004A1B79"/>
    <w:rsid w:val="004A1DDB"/>
    <w:rsid w:val="004A22B2"/>
    <w:rsid w:val="004A2340"/>
    <w:rsid w:val="004A2528"/>
    <w:rsid w:val="004A2537"/>
    <w:rsid w:val="004A2959"/>
    <w:rsid w:val="004A2C3B"/>
    <w:rsid w:val="004A2E26"/>
    <w:rsid w:val="004A2EC7"/>
    <w:rsid w:val="004A3024"/>
    <w:rsid w:val="004A30E9"/>
    <w:rsid w:val="004A3586"/>
    <w:rsid w:val="004A397E"/>
    <w:rsid w:val="004A3C4F"/>
    <w:rsid w:val="004A3F11"/>
    <w:rsid w:val="004A3F20"/>
    <w:rsid w:val="004A4196"/>
    <w:rsid w:val="004A435C"/>
    <w:rsid w:val="004A452E"/>
    <w:rsid w:val="004A49E7"/>
    <w:rsid w:val="004A4BB5"/>
    <w:rsid w:val="004A4D1D"/>
    <w:rsid w:val="004A4D9C"/>
    <w:rsid w:val="004A4DD4"/>
    <w:rsid w:val="004A5000"/>
    <w:rsid w:val="004A546E"/>
    <w:rsid w:val="004A5B36"/>
    <w:rsid w:val="004A5C35"/>
    <w:rsid w:val="004A5F64"/>
    <w:rsid w:val="004A6236"/>
    <w:rsid w:val="004A65B6"/>
    <w:rsid w:val="004A6631"/>
    <w:rsid w:val="004A6C92"/>
    <w:rsid w:val="004A6D2B"/>
    <w:rsid w:val="004A6E07"/>
    <w:rsid w:val="004A7026"/>
    <w:rsid w:val="004A7049"/>
    <w:rsid w:val="004A70B5"/>
    <w:rsid w:val="004A7190"/>
    <w:rsid w:val="004A72C6"/>
    <w:rsid w:val="004A73AB"/>
    <w:rsid w:val="004A750A"/>
    <w:rsid w:val="004A7584"/>
    <w:rsid w:val="004A780F"/>
    <w:rsid w:val="004B007B"/>
    <w:rsid w:val="004B0095"/>
    <w:rsid w:val="004B01CB"/>
    <w:rsid w:val="004B024F"/>
    <w:rsid w:val="004B02A7"/>
    <w:rsid w:val="004B0730"/>
    <w:rsid w:val="004B0944"/>
    <w:rsid w:val="004B0AD1"/>
    <w:rsid w:val="004B0B5C"/>
    <w:rsid w:val="004B0CFB"/>
    <w:rsid w:val="004B101E"/>
    <w:rsid w:val="004B1134"/>
    <w:rsid w:val="004B1945"/>
    <w:rsid w:val="004B1972"/>
    <w:rsid w:val="004B19F8"/>
    <w:rsid w:val="004B1AAC"/>
    <w:rsid w:val="004B1C78"/>
    <w:rsid w:val="004B1F31"/>
    <w:rsid w:val="004B20D1"/>
    <w:rsid w:val="004B20D8"/>
    <w:rsid w:val="004B225C"/>
    <w:rsid w:val="004B2272"/>
    <w:rsid w:val="004B24CC"/>
    <w:rsid w:val="004B24DC"/>
    <w:rsid w:val="004B2724"/>
    <w:rsid w:val="004B2814"/>
    <w:rsid w:val="004B284B"/>
    <w:rsid w:val="004B2DBD"/>
    <w:rsid w:val="004B32CB"/>
    <w:rsid w:val="004B3554"/>
    <w:rsid w:val="004B3592"/>
    <w:rsid w:val="004B3618"/>
    <w:rsid w:val="004B391C"/>
    <w:rsid w:val="004B3A57"/>
    <w:rsid w:val="004B3AD9"/>
    <w:rsid w:val="004B3BDF"/>
    <w:rsid w:val="004B438D"/>
    <w:rsid w:val="004B4487"/>
    <w:rsid w:val="004B4A8F"/>
    <w:rsid w:val="004B4C71"/>
    <w:rsid w:val="004B4D55"/>
    <w:rsid w:val="004B5034"/>
    <w:rsid w:val="004B52BC"/>
    <w:rsid w:val="004B552D"/>
    <w:rsid w:val="004B5782"/>
    <w:rsid w:val="004B57E2"/>
    <w:rsid w:val="004B59AF"/>
    <w:rsid w:val="004B5B14"/>
    <w:rsid w:val="004B684D"/>
    <w:rsid w:val="004B6922"/>
    <w:rsid w:val="004B6CF2"/>
    <w:rsid w:val="004B6F47"/>
    <w:rsid w:val="004B751E"/>
    <w:rsid w:val="004B766D"/>
    <w:rsid w:val="004B76C2"/>
    <w:rsid w:val="004B7781"/>
    <w:rsid w:val="004B7ACA"/>
    <w:rsid w:val="004B7D0B"/>
    <w:rsid w:val="004B7DA7"/>
    <w:rsid w:val="004B7F56"/>
    <w:rsid w:val="004B7FAD"/>
    <w:rsid w:val="004C004D"/>
    <w:rsid w:val="004C00AB"/>
    <w:rsid w:val="004C01AB"/>
    <w:rsid w:val="004C0218"/>
    <w:rsid w:val="004C031A"/>
    <w:rsid w:val="004C03AC"/>
    <w:rsid w:val="004C03F7"/>
    <w:rsid w:val="004C06CD"/>
    <w:rsid w:val="004C07F1"/>
    <w:rsid w:val="004C07FF"/>
    <w:rsid w:val="004C09CE"/>
    <w:rsid w:val="004C0FA4"/>
    <w:rsid w:val="004C1001"/>
    <w:rsid w:val="004C1207"/>
    <w:rsid w:val="004C132A"/>
    <w:rsid w:val="004C17E9"/>
    <w:rsid w:val="004C1823"/>
    <w:rsid w:val="004C1EF3"/>
    <w:rsid w:val="004C1F56"/>
    <w:rsid w:val="004C2045"/>
    <w:rsid w:val="004C23CB"/>
    <w:rsid w:val="004C2502"/>
    <w:rsid w:val="004C2668"/>
    <w:rsid w:val="004C2B25"/>
    <w:rsid w:val="004C31B1"/>
    <w:rsid w:val="004C31CA"/>
    <w:rsid w:val="004C3228"/>
    <w:rsid w:val="004C34AC"/>
    <w:rsid w:val="004C3B57"/>
    <w:rsid w:val="004C3C15"/>
    <w:rsid w:val="004C3DBA"/>
    <w:rsid w:val="004C3DFA"/>
    <w:rsid w:val="004C3F70"/>
    <w:rsid w:val="004C4058"/>
    <w:rsid w:val="004C4365"/>
    <w:rsid w:val="004C460D"/>
    <w:rsid w:val="004C462D"/>
    <w:rsid w:val="004C463E"/>
    <w:rsid w:val="004C4880"/>
    <w:rsid w:val="004C493D"/>
    <w:rsid w:val="004C4A4A"/>
    <w:rsid w:val="004C4B3E"/>
    <w:rsid w:val="004C4B9A"/>
    <w:rsid w:val="004C4D71"/>
    <w:rsid w:val="004C53BC"/>
    <w:rsid w:val="004C568D"/>
    <w:rsid w:val="004C5867"/>
    <w:rsid w:val="004C5C4D"/>
    <w:rsid w:val="004C5FE3"/>
    <w:rsid w:val="004C6B4B"/>
    <w:rsid w:val="004C7031"/>
    <w:rsid w:val="004C7386"/>
    <w:rsid w:val="004C7543"/>
    <w:rsid w:val="004C7585"/>
    <w:rsid w:val="004C7743"/>
    <w:rsid w:val="004C7808"/>
    <w:rsid w:val="004C7901"/>
    <w:rsid w:val="004C79A5"/>
    <w:rsid w:val="004C7D14"/>
    <w:rsid w:val="004C7FC0"/>
    <w:rsid w:val="004D0126"/>
    <w:rsid w:val="004D040F"/>
    <w:rsid w:val="004D04B8"/>
    <w:rsid w:val="004D0696"/>
    <w:rsid w:val="004D0CAF"/>
    <w:rsid w:val="004D159E"/>
    <w:rsid w:val="004D15AF"/>
    <w:rsid w:val="004D16BF"/>
    <w:rsid w:val="004D17AA"/>
    <w:rsid w:val="004D1C27"/>
    <w:rsid w:val="004D20C8"/>
    <w:rsid w:val="004D2128"/>
    <w:rsid w:val="004D234D"/>
    <w:rsid w:val="004D2474"/>
    <w:rsid w:val="004D27CB"/>
    <w:rsid w:val="004D2B40"/>
    <w:rsid w:val="004D30DC"/>
    <w:rsid w:val="004D33B0"/>
    <w:rsid w:val="004D3415"/>
    <w:rsid w:val="004D380A"/>
    <w:rsid w:val="004D3942"/>
    <w:rsid w:val="004D39BE"/>
    <w:rsid w:val="004D3A86"/>
    <w:rsid w:val="004D3DA8"/>
    <w:rsid w:val="004D3E03"/>
    <w:rsid w:val="004D3E80"/>
    <w:rsid w:val="004D3F58"/>
    <w:rsid w:val="004D412E"/>
    <w:rsid w:val="004D4362"/>
    <w:rsid w:val="004D4565"/>
    <w:rsid w:val="004D46B4"/>
    <w:rsid w:val="004D4836"/>
    <w:rsid w:val="004D496F"/>
    <w:rsid w:val="004D49D0"/>
    <w:rsid w:val="004D4AAB"/>
    <w:rsid w:val="004D4E9B"/>
    <w:rsid w:val="004D4EB9"/>
    <w:rsid w:val="004D5586"/>
    <w:rsid w:val="004D573B"/>
    <w:rsid w:val="004D58AD"/>
    <w:rsid w:val="004D5B73"/>
    <w:rsid w:val="004D5E3C"/>
    <w:rsid w:val="004D5FF4"/>
    <w:rsid w:val="004D6062"/>
    <w:rsid w:val="004D6313"/>
    <w:rsid w:val="004D699B"/>
    <w:rsid w:val="004D6AF4"/>
    <w:rsid w:val="004D7104"/>
    <w:rsid w:val="004D7245"/>
    <w:rsid w:val="004D7C0C"/>
    <w:rsid w:val="004D7CE2"/>
    <w:rsid w:val="004E00AE"/>
    <w:rsid w:val="004E02E5"/>
    <w:rsid w:val="004E072A"/>
    <w:rsid w:val="004E0839"/>
    <w:rsid w:val="004E0AA8"/>
    <w:rsid w:val="004E0B90"/>
    <w:rsid w:val="004E1041"/>
    <w:rsid w:val="004E1340"/>
    <w:rsid w:val="004E17CF"/>
    <w:rsid w:val="004E190F"/>
    <w:rsid w:val="004E19AD"/>
    <w:rsid w:val="004E1BC8"/>
    <w:rsid w:val="004E1BF2"/>
    <w:rsid w:val="004E1D64"/>
    <w:rsid w:val="004E1EB8"/>
    <w:rsid w:val="004E2134"/>
    <w:rsid w:val="004E21DA"/>
    <w:rsid w:val="004E2326"/>
    <w:rsid w:val="004E2698"/>
    <w:rsid w:val="004E2A91"/>
    <w:rsid w:val="004E2DAB"/>
    <w:rsid w:val="004E31CB"/>
    <w:rsid w:val="004E31DF"/>
    <w:rsid w:val="004E324B"/>
    <w:rsid w:val="004E325A"/>
    <w:rsid w:val="004E337E"/>
    <w:rsid w:val="004E3388"/>
    <w:rsid w:val="004E340D"/>
    <w:rsid w:val="004E34CB"/>
    <w:rsid w:val="004E3802"/>
    <w:rsid w:val="004E38CA"/>
    <w:rsid w:val="004E38F6"/>
    <w:rsid w:val="004E3BC6"/>
    <w:rsid w:val="004E43AF"/>
    <w:rsid w:val="004E47E1"/>
    <w:rsid w:val="004E4891"/>
    <w:rsid w:val="004E48B8"/>
    <w:rsid w:val="004E4A6F"/>
    <w:rsid w:val="004E4BC4"/>
    <w:rsid w:val="004E4CFB"/>
    <w:rsid w:val="004E4EF3"/>
    <w:rsid w:val="004E5102"/>
    <w:rsid w:val="004E5171"/>
    <w:rsid w:val="004E523B"/>
    <w:rsid w:val="004E5588"/>
    <w:rsid w:val="004E574C"/>
    <w:rsid w:val="004E57C3"/>
    <w:rsid w:val="004E5912"/>
    <w:rsid w:val="004E59D6"/>
    <w:rsid w:val="004E5A95"/>
    <w:rsid w:val="004E5AF3"/>
    <w:rsid w:val="004E5D92"/>
    <w:rsid w:val="004E6011"/>
    <w:rsid w:val="004E647D"/>
    <w:rsid w:val="004E660B"/>
    <w:rsid w:val="004E6824"/>
    <w:rsid w:val="004E69A9"/>
    <w:rsid w:val="004E6AAF"/>
    <w:rsid w:val="004E6B2D"/>
    <w:rsid w:val="004E6B36"/>
    <w:rsid w:val="004E6F99"/>
    <w:rsid w:val="004E7178"/>
    <w:rsid w:val="004E73F7"/>
    <w:rsid w:val="004E7721"/>
    <w:rsid w:val="004E77E8"/>
    <w:rsid w:val="004E78E7"/>
    <w:rsid w:val="004E7A77"/>
    <w:rsid w:val="004E7FB0"/>
    <w:rsid w:val="004F0175"/>
    <w:rsid w:val="004F02B3"/>
    <w:rsid w:val="004F0368"/>
    <w:rsid w:val="004F0831"/>
    <w:rsid w:val="004F092A"/>
    <w:rsid w:val="004F0A5B"/>
    <w:rsid w:val="004F0E96"/>
    <w:rsid w:val="004F0F72"/>
    <w:rsid w:val="004F131F"/>
    <w:rsid w:val="004F135E"/>
    <w:rsid w:val="004F16BA"/>
    <w:rsid w:val="004F16D2"/>
    <w:rsid w:val="004F171F"/>
    <w:rsid w:val="004F1AB8"/>
    <w:rsid w:val="004F1F8F"/>
    <w:rsid w:val="004F2286"/>
    <w:rsid w:val="004F231F"/>
    <w:rsid w:val="004F23C9"/>
    <w:rsid w:val="004F2617"/>
    <w:rsid w:val="004F2A17"/>
    <w:rsid w:val="004F2A1E"/>
    <w:rsid w:val="004F2AB1"/>
    <w:rsid w:val="004F3005"/>
    <w:rsid w:val="004F32D0"/>
    <w:rsid w:val="004F34A6"/>
    <w:rsid w:val="004F34D7"/>
    <w:rsid w:val="004F3604"/>
    <w:rsid w:val="004F364D"/>
    <w:rsid w:val="004F3908"/>
    <w:rsid w:val="004F39C8"/>
    <w:rsid w:val="004F3D04"/>
    <w:rsid w:val="004F3F7A"/>
    <w:rsid w:val="004F4408"/>
    <w:rsid w:val="004F4613"/>
    <w:rsid w:val="004F4626"/>
    <w:rsid w:val="004F4D62"/>
    <w:rsid w:val="004F5218"/>
    <w:rsid w:val="004F521A"/>
    <w:rsid w:val="004F5528"/>
    <w:rsid w:val="004F5568"/>
    <w:rsid w:val="004F5688"/>
    <w:rsid w:val="004F5A31"/>
    <w:rsid w:val="004F5FB0"/>
    <w:rsid w:val="004F628F"/>
    <w:rsid w:val="004F62BB"/>
    <w:rsid w:val="004F6393"/>
    <w:rsid w:val="004F65C2"/>
    <w:rsid w:val="004F6681"/>
    <w:rsid w:val="004F6713"/>
    <w:rsid w:val="004F6D8E"/>
    <w:rsid w:val="004F7189"/>
    <w:rsid w:val="004F734D"/>
    <w:rsid w:val="004F757B"/>
    <w:rsid w:val="004F760F"/>
    <w:rsid w:val="004F762A"/>
    <w:rsid w:val="004F77AD"/>
    <w:rsid w:val="004F7AA6"/>
    <w:rsid w:val="004F7DF7"/>
    <w:rsid w:val="0050003D"/>
    <w:rsid w:val="0050004D"/>
    <w:rsid w:val="00500340"/>
    <w:rsid w:val="0050046B"/>
    <w:rsid w:val="005005B6"/>
    <w:rsid w:val="005006A4"/>
    <w:rsid w:val="005008B6"/>
    <w:rsid w:val="00500905"/>
    <w:rsid w:val="0050094A"/>
    <w:rsid w:val="00500A2E"/>
    <w:rsid w:val="00500DBE"/>
    <w:rsid w:val="00500DE7"/>
    <w:rsid w:val="00500E05"/>
    <w:rsid w:val="0050113D"/>
    <w:rsid w:val="0050116D"/>
    <w:rsid w:val="00501391"/>
    <w:rsid w:val="005015BE"/>
    <w:rsid w:val="005016FF"/>
    <w:rsid w:val="005017B4"/>
    <w:rsid w:val="005017DB"/>
    <w:rsid w:val="00501AD5"/>
    <w:rsid w:val="00501E49"/>
    <w:rsid w:val="00501F1F"/>
    <w:rsid w:val="005020C8"/>
    <w:rsid w:val="00502177"/>
    <w:rsid w:val="005021D4"/>
    <w:rsid w:val="005023C0"/>
    <w:rsid w:val="005026D7"/>
    <w:rsid w:val="0050276D"/>
    <w:rsid w:val="00502902"/>
    <w:rsid w:val="00502B49"/>
    <w:rsid w:val="00502C92"/>
    <w:rsid w:val="00502E65"/>
    <w:rsid w:val="00503033"/>
    <w:rsid w:val="005032FF"/>
    <w:rsid w:val="00503412"/>
    <w:rsid w:val="00503566"/>
    <w:rsid w:val="00503574"/>
    <w:rsid w:val="0050377C"/>
    <w:rsid w:val="005039AB"/>
    <w:rsid w:val="00503A69"/>
    <w:rsid w:val="00503CC0"/>
    <w:rsid w:val="00504070"/>
    <w:rsid w:val="005042B1"/>
    <w:rsid w:val="005047DE"/>
    <w:rsid w:val="00504A63"/>
    <w:rsid w:val="00504BD3"/>
    <w:rsid w:val="00505005"/>
    <w:rsid w:val="005050C4"/>
    <w:rsid w:val="00505188"/>
    <w:rsid w:val="00505268"/>
    <w:rsid w:val="0050583E"/>
    <w:rsid w:val="005059DD"/>
    <w:rsid w:val="00505C51"/>
    <w:rsid w:val="00505E61"/>
    <w:rsid w:val="0050609B"/>
    <w:rsid w:val="00506159"/>
    <w:rsid w:val="005061AD"/>
    <w:rsid w:val="00506261"/>
    <w:rsid w:val="00506DCC"/>
    <w:rsid w:val="00507575"/>
    <w:rsid w:val="005079EA"/>
    <w:rsid w:val="00507BC1"/>
    <w:rsid w:val="00507C0A"/>
    <w:rsid w:val="00507C50"/>
    <w:rsid w:val="00510278"/>
    <w:rsid w:val="005106D1"/>
    <w:rsid w:val="00510703"/>
    <w:rsid w:val="0051079E"/>
    <w:rsid w:val="005108CF"/>
    <w:rsid w:val="0051096D"/>
    <w:rsid w:val="00510A02"/>
    <w:rsid w:val="00510B57"/>
    <w:rsid w:val="00510FD2"/>
    <w:rsid w:val="005110C5"/>
    <w:rsid w:val="005110E3"/>
    <w:rsid w:val="005114A4"/>
    <w:rsid w:val="005115F3"/>
    <w:rsid w:val="0051168F"/>
    <w:rsid w:val="00511696"/>
    <w:rsid w:val="00511D90"/>
    <w:rsid w:val="00511E93"/>
    <w:rsid w:val="00511EAC"/>
    <w:rsid w:val="00511FF0"/>
    <w:rsid w:val="00512008"/>
    <w:rsid w:val="00512040"/>
    <w:rsid w:val="00512046"/>
    <w:rsid w:val="005123A0"/>
    <w:rsid w:val="0051259C"/>
    <w:rsid w:val="005128EA"/>
    <w:rsid w:val="005129B0"/>
    <w:rsid w:val="00512E8F"/>
    <w:rsid w:val="00513102"/>
    <w:rsid w:val="0051353E"/>
    <w:rsid w:val="005135D0"/>
    <w:rsid w:val="005135F4"/>
    <w:rsid w:val="00513632"/>
    <w:rsid w:val="0051375C"/>
    <w:rsid w:val="005139A9"/>
    <w:rsid w:val="00513C91"/>
    <w:rsid w:val="00513CEF"/>
    <w:rsid w:val="00514598"/>
    <w:rsid w:val="005145F4"/>
    <w:rsid w:val="00514B0B"/>
    <w:rsid w:val="00514DFA"/>
    <w:rsid w:val="00515031"/>
    <w:rsid w:val="00515196"/>
    <w:rsid w:val="005154CA"/>
    <w:rsid w:val="00515A4A"/>
    <w:rsid w:val="00515AA0"/>
    <w:rsid w:val="00515BC4"/>
    <w:rsid w:val="00515EDC"/>
    <w:rsid w:val="00516498"/>
    <w:rsid w:val="005164C8"/>
    <w:rsid w:val="00516734"/>
    <w:rsid w:val="00517391"/>
    <w:rsid w:val="00517590"/>
    <w:rsid w:val="00517921"/>
    <w:rsid w:val="005200E4"/>
    <w:rsid w:val="00520242"/>
    <w:rsid w:val="00520463"/>
    <w:rsid w:val="0052074F"/>
    <w:rsid w:val="005209D5"/>
    <w:rsid w:val="00520AAC"/>
    <w:rsid w:val="00520E41"/>
    <w:rsid w:val="005212DA"/>
    <w:rsid w:val="0052144C"/>
    <w:rsid w:val="005215E5"/>
    <w:rsid w:val="0052179B"/>
    <w:rsid w:val="00521A55"/>
    <w:rsid w:val="00521B05"/>
    <w:rsid w:val="00521CA9"/>
    <w:rsid w:val="00521DB0"/>
    <w:rsid w:val="00522203"/>
    <w:rsid w:val="005223E8"/>
    <w:rsid w:val="0052263E"/>
    <w:rsid w:val="00522A83"/>
    <w:rsid w:val="00522B79"/>
    <w:rsid w:val="00522C38"/>
    <w:rsid w:val="00522E2D"/>
    <w:rsid w:val="00523004"/>
    <w:rsid w:val="00523051"/>
    <w:rsid w:val="005234CD"/>
    <w:rsid w:val="00523743"/>
    <w:rsid w:val="005238C5"/>
    <w:rsid w:val="0052393F"/>
    <w:rsid w:val="00523A2D"/>
    <w:rsid w:val="00523B01"/>
    <w:rsid w:val="00523C9B"/>
    <w:rsid w:val="00523E8F"/>
    <w:rsid w:val="0052405C"/>
    <w:rsid w:val="005242EC"/>
    <w:rsid w:val="00524331"/>
    <w:rsid w:val="00524342"/>
    <w:rsid w:val="0052445D"/>
    <w:rsid w:val="00524641"/>
    <w:rsid w:val="00524951"/>
    <w:rsid w:val="005249C1"/>
    <w:rsid w:val="00524A53"/>
    <w:rsid w:val="00524DE4"/>
    <w:rsid w:val="00524E65"/>
    <w:rsid w:val="00525026"/>
    <w:rsid w:val="005252BD"/>
    <w:rsid w:val="0052572D"/>
    <w:rsid w:val="0052585A"/>
    <w:rsid w:val="00525B21"/>
    <w:rsid w:val="00525E66"/>
    <w:rsid w:val="00525F43"/>
    <w:rsid w:val="00526127"/>
    <w:rsid w:val="0052670F"/>
    <w:rsid w:val="005267C7"/>
    <w:rsid w:val="0052688D"/>
    <w:rsid w:val="0052688F"/>
    <w:rsid w:val="00526DB7"/>
    <w:rsid w:val="00526E9C"/>
    <w:rsid w:val="00526F80"/>
    <w:rsid w:val="00527289"/>
    <w:rsid w:val="005273FB"/>
    <w:rsid w:val="00527869"/>
    <w:rsid w:val="0053048E"/>
    <w:rsid w:val="005304AD"/>
    <w:rsid w:val="00530DB0"/>
    <w:rsid w:val="00530F67"/>
    <w:rsid w:val="00531147"/>
    <w:rsid w:val="005316D4"/>
    <w:rsid w:val="005317BE"/>
    <w:rsid w:val="00531A00"/>
    <w:rsid w:val="00531BCF"/>
    <w:rsid w:val="00532302"/>
    <w:rsid w:val="00532324"/>
    <w:rsid w:val="005324A0"/>
    <w:rsid w:val="005326D0"/>
    <w:rsid w:val="00532D2A"/>
    <w:rsid w:val="00532E03"/>
    <w:rsid w:val="00532F4E"/>
    <w:rsid w:val="00532FCE"/>
    <w:rsid w:val="00532FFE"/>
    <w:rsid w:val="00533435"/>
    <w:rsid w:val="00533646"/>
    <w:rsid w:val="00533934"/>
    <w:rsid w:val="00533A1E"/>
    <w:rsid w:val="00533CA4"/>
    <w:rsid w:val="00533E3E"/>
    <w:rsid w:val="00534121"/>
    <w:rsid w:val="005346E5"/>
    <w:rsid w:val="00534C3A"/>
    <w:rsid w:val="005350C0"/>
    <w:rsid w:val="0053534D"/>
    <w:rsid w:val="00535B31"/>
    <w:rsid w:val="00535B5A"/>
    <w:rsid w:val="00535B64"/>
    <w:rsid w:val="00535DF2"/>
    <w:rsid w:val="00536178"/>
    <w:rsid w:val="0053620A"/>
    <w:rsid w:val="00536271"/>
    <w:rsid w:val="00536371"/>
    <w:rsid w:val="005365A8"/>
    <w:rsid w:val="005365AF"/>
    <w:rsid w:val="00536660"/>
    <w:rsid w:val="0053672D"/>
    <w:rsid w:val="00536B34"/>
    <w:rsid w:val="00536BB1"/>
    <w:rsid w:val="00536C56"/>
    <w:rsid w:val="00536D0B"/>
    <w:rsid w:val="005370E8"/>
    <w:rsid w:val="005371CB"/>
    <w:rsid w:val="005372D4"/>
    <w:rsid w:val="00537501"/>
    <w:rsid w:val="005376DA"/>
    <w:rsid w:val="0053774C"/>
    <w:rsid w:val="005378CA"/>
    <w:rsid w:val="00537A46"/>
    <w:rsid w:val="00537C2D"/>
    <w:rsid w:val="00537D9A"/>
    <w:rsid w:val="0054012C"/>
    <w:rsid w:val="00540A10"/>
    <w:rsid w:val="00540B3F"/>
    <w:rsid w:val="00540CE2"/>
    <w:rsid w:val="00540D1A"/>
    <w:rsid w:val="0054132B"/>
    <w:rsid w:val="005415B2"/>
    <w:rsid w:val="005416B9"/>
    <w:rsid w:val="00541983"/>
    <w:rsid w:val="00541A86"/>
    <w:rsid w:val="00541BDB"/>
    <w:rsid w:val="00541DE6"/>
    <w:rsid w:val="00541F9E"/>
    <w:rsid w:val="00542023"/>
    <w:rsid w:val="0054204F"/>
    <w:rsid w:val="00542850"/>
    <w:rsid w:val="00542A4E"/>
    <w:rsid w:val="005432BB"/>
    <w:rsid w:val="00543419"/>
    <w:rsid w:val="00543504"/>
    <w:rsid w:val="00543512"/>
    <w:rsid w:val="0054360B"/>
    <w:rsid w:val="00543A6F"/>
    <w:rsid w:val="00544142"/>
    <w:rsid w:val="005441E8"/>
    <w:rsid w:val="0054428F"/>
    <w:rsid w:val="005445E9"/>
    <w:rsid w:val="005447E9"/>
    <w:rsid w:val="005449A7"/>
    <w:rsid w:val="00544AD0"/>
    <w:rsid w:val="00544DFB"/>
    <w:rsid w:val="005454E8"/>
    <w:rsid w:val="005459C2"/>
    <w:rsid w:val="00545CE5"/>
    <w:rsid w:val="00545D32"/>
    <w:rsid w:val="0054606E"/>
    <w:rsid w:val="00546176"/>
    <w:rsid w:val="0054640F"/>
    <w:rsid w:val="00546BA0"/>
    <w:rsid w:val="00546C62"/>
    <w:rsid w:val="00546CA6"/>
    <w:rsid w:val="00546CCE"/>
    <w:rsid w:val="0054722D"/>
    <w:rsid w:val="005472D1"/>
    <w:rsid w:val="005472D8"/>
    <w:rsid w:val="00547420"/>
    <w:rsid w:val="00547589"/>
    <w:rsid w:val="00547671"/>
    <w:rsid w:val="00547CD0"/>
    <w:rsid w:val="00547EA0"/>
    <w:rsid w:val="00547EA1"/>
    <w:rsid w:val="0055028D"/>
    <w:rsid w:val="005509C4"/>
    <w:rsid w:val="00550A0F"/>
    <w:rsid w:val="00550A30"/>
    <w:rsid w:val="00550D94"/>
    <w:rsid w:val="00551081"/>
    <w:rsid w:val="00551086"/>
    <w:rsid w:val="005510B7"/>
    <w:rsid w:val="005512AD"/>
    <w:rsid w:val="0055162E"/>
    <w:rsid w:val="005516EB"/>
    <w:rsid w:val="00551789"/>
    <w:rsid w:val="00551A08"/>
    <w:rsid w:val="00551B5F"/>
    <w:rsid w:val="00551E0D"/>
    <w:rsid w:val="005520AF"/>
    <w:rsid w:val="005521A5"/>
    <w:rsid w:val="00552282"/>
    <w:rsid w:val="00552391"/>
    <w:rsid w:val="00552475"/>
    <w:rsid w:val="00552781"/>
    <w:rsid w:val="005527F1"/>
    <w:rsid w:val="00552912"/>
    <w:rsid w:val="00552A50"/>
    <w:rsid w:val="00552A6D"/>
    <w:rsid w:val="00552A94"/>
    <w:rsid w:val="00552AF2"/>
    <w:rsid w:val="00552BCC"/>
    <w:rsid w:val="00552C3B"/>
    <w:rsid w:val="00552ED5"/>
    <w:rsid w:val="0055356D"/>
    <w:rsid w:val="005535CF"/>
    <w:rsid w:val="0055367C"/>
    <w:rsid w:val="005536DB"/>
    <w:rsid w:val="00553854"/>
    <w:rsid w:val="00553963"/>
    <w:rsid w:val="00553BB6"/>
    <w:rsid w:val="00553F13"/>
    <w:rsid w:val="0055410E"/>
    <w:rsid w:val="0055447E"/>
    <w:rsid w:val="00554A11"/>
    <w:rsid w:val="00554BC6"/>
    <w:rsid w:val="00554CE9"/>
    <w:rsid w:val="0055506E"/>
    <w:rsid w:val="00555242"/>
    <w:rsid w:val="005555AF"/>
    <w:rsid w:val="00555747"/>
    <w:rsid w:val="00555771"/>
    <w:rsid w:val="0055666F"/>
    <w:rsid w:val="00556787"/>
    <w:rsid w:val="00556818"/>
    <w:rsid w:val="00556AE8"/>
    <w:rsid w:val="00556B34"/>
    <w:rsid w:val="00556CAC"/>
    <w:rsid w:val="005570B2"/>
    <w:rsid w:val="005572B4"/>
    <w:rsid w:val="0055737A"/>
    <w:rsid w:val="00557494"/>
    <w:rsid w:val="005574BB"/>
    <w:rsid w:val="00557A04"/>
    <w:rsid w:val="00557A95"/>
    <w:rsid w:val="005600C8"/>
    <w:rsid w:val="00560FD4"/>
    <w:rsid w:val="005613FF"/>
    <w:rsid w:val="00561786"/>
    <w:rsid w:val="005619CD"/>
    <w:rsid w:val="00561AAA"/>
    <w:rsid w:val="00561B67"/>
    <w:rsid w:val="00561D96"/>
    <w:rsid w:val="005627A8"/>
    <w:rsid w:val="0056284F"/>
    <w:rsid w:val="005629E9"/>
    <w:rsid w:val="00562BD2"/>
    <w:rsid w:val="00562C55"/>
    <w:rsid w:val="00562D2D"/>
    <w:rsid w:val="005632E6"/>
    <w:rsid w:val="00563487"/>
    <w:rsid w:val="00563698"/>
    <w:rsid w:val="005638A8"/>
    <w:rsid w:val="00563A5E"/>
    <w:rsid w:val="00563DFC"/>
    <w:rsid w:val="00564208"/>
    <w:rsid w:val="00564552"/>
    <w:rsid w:val="00564590"/>
    <w:rsid w:val="00564A1E"/>
    <w:rsid w:val="00564A30"/>
    <w:rsid w:val="00564DA3"/>
    <w:rsid w:val="005659B7"/>
    <w:rsid w:val="00566590"/>
    <w:rsid w:val="005665D1"/>
    <w:rsid w:val="00566946"/>
    <w:rsid w:val="005669A5"/>
    <w:rsid w:val="005669EC"/>
    <w:rsid w:val="00566D38"/>
    <w:rsid w:val="00566DAC"/>
    <w:rsid w:val="005671A0"/>
    <w:rsid w:val="005672E2"/>
    <w:rsid w:val="005673CB"/>
    <w:rsid w:val="005675E0"/>
    <w:rsid w:val="00567691"/>
    <w:rsid w:val="00567711"/>
    <w:rsid w:val="00567732"/>
    <w:rsid w:val="00567835"/>
    <w:rsid w:val="005678F4"/>
    <w:rsid w:val="00567A3D"/>
    <w:rsid w:val="00567C64"/>
    <w:rsid w:val="00567D8A"/>
    <w:rsid w:val="005703EF"/>
    <w:rsid w:val="005705B7"/>
    <w:rsid w:val="00570D29"/>
    <w:rsid w:val="00570E42"/>
    <w:rsid w:val="005710CB"/>
    <w:rsid w:val="0057111E"/>
    <w:rsid w:val="00571543"/>
    <w:rsid w:val="005715D6"/>
    <w:rsid w:val="0057167E"/>
    <w:rsid w:val="00571685"/>
    <w:rsid w:val="00571696"/>
    <w:rsid w:val="00571920"/>
    <w:rsid w:val="00571CC1"/>
    <w:rsid w:val="00571F19"/>
    <w:rsid w:val="00571F9C"/>
    <w:rsid w:val="00572339"/>
    <w:rsid w:val="005726BF"/>
    <w:rsid w:val="00572750"/>
    <w:rsid w:val="00572C93"/>
    <w:rsid w:val="00572D19"/>
    <w:rsid w:val="00572D8A"/>
    <w:rsid w:val="00572F1C"/>
    <w:rsid w:val="0057388C"/>
    <w:rsid w:val="00573AC8"/>
    <w:rsid w:val="00573B34"/>
    <w:rsid w:val="00573BE4"/>
    <w:rsid w:val="00573C22"/>
    <w:rsid w:val="00574740"/>
    <w:rsid w:val="00574813"/>
    <w:rsid w:val="00574921"/>
    <w:rsid w:val="00574B58"/>
    <w:rsid w:val="00574B87"/>
    <w:rsid w:val="00574E22"/>
    <w:rsid w:val="00574E4D"/>
    <w:rsid w:val="00574F4B"/>
    <w:rsid w:val="00575081"/>
    <w:rsid w:val="0057509B"/>
    <w:rsid w:val="00575493"/>
    <w:rsid w:val="005755C5"/>
    <w:rsid w:val="005759B0"/>
    <w:rsid w:val="00575B0E"/>
    <w:rsid w:val="00575EFA"/>
    <w:rsid w:val="00576005"/>
    <w:rsid w:val="0057616D"/>
    <w:rsid w:val="00576441"/>
    <w:rsid w:val="00576490"/>
    <w:rsid w:val="0057654C"/>
    <w:rsid w:val="00576627"/>
    <w:rsid w:val="00576860"/>
    <w:rsid w:val="00576CC1"/>
    <w:rsid w:val="00576D66"/>
    <w:rsid w:val="00576E82"/>
    <w:rsid w:val="005772CA"/>
    <w:rsid w:val="00577362"/>
    <w:rsid w:val="005774A8"/>
    <w:rsid w:val="005775F9"/>
    <w:rsid w:val="00577806"/>
    <w:rsid w:val="00577BAD"/>
    <w:rsid w:val="00577CAE"/>
    <w:rsid w:val="00577CD5"/>
    <w:rsid w:val="00577D9A"/>
    <w:rsid w:val="00577DF3"/>
    <w:rsid w:val="0058002E"/>
    <w:rsid w:val="0058045D"/>
    <w:rsid w:val="005806AE"/>
    <w:rsid w:val="005808C0"/>
    <w:rsid w:val="00580A89"/>
    <w:rsid w:val="00580F02"/>
    <w:rsid w:val="00581375"/>
    <w:rsid w:val="00581ABE"/>
    <w:rsid w:val="00581CA4"/>
    <w:rsid w:val="00581ED7"/>
    <w:rsid w:val="00581F1D"/>
    <w:rsid w:val="005820DA"/>
    <w:rsid w:val="00582638"/>
    <w:rsid w:val="00582656"/>
    <w:rsid w:val="00583032"/>
    <w:rsid w:val="005830A9"/>
    <w:rsid w:val="005837FE"/>
    <w:rsid w:val="00583907"/>
    <w:rsid w:val="00583DB5"/>
    <w:rsid w:val="00583DD5"/>
    <w:rsid w:val="0058412A"/>
    <w:rsid w:val="00584441"/>
    <w:rsid w:val="0058445F"/>
    <w:rsid w:val="0058485F"/>
    <w:rsid w:val="005848FB"/>
    <w:rsid w:val="005849B1"/>
    <w:rsid w:val="005849ED"/>
    <w:rsid w:val="00584CAB"/>
    <w:rsid w:val="00584DAB"/>
    <w:rsid w:val="00584DCC"/>
    <w:rsid w:val="00584EA8"/>
    <w:rsid w:val="005852CA"/>
    <w:rsid w:val="005856E2"/>
    <w:rsid w:val="00585D84"/>
    <w:rsid w:val="0058630E"/>
    <w:rsid w:val="00586348"/>
    <w:rsid w:val="00586556"/>
    <w:rsid w:val="0058659D"/>
    <w:rsid w:val="0058687D"/>
    <w:rsid w:val="00586926"/>
    <w:rsid w:val="00586DB6"/>
    <w:rsid w:val="00586E0B"/>
    <w:rsid w:val="0058777F"/>
    <w:rsid w:val="0058781A"/>
    <w:rsid w:val="00587846"/>
    <w:rsid w:val="00587BA9"/>
    <w:rsid w:val="00587D90"/>
    <w:rsid w:val="00587F67"/>
    <w:rsid w:val="00590006"/>
    <w:rsid w:val="00590377"/>
    <w:rsid w:val="005903F6"/>
    <w:rsid w:val="0059058B"/>
    <w:rsid w:val="005906C9"/>
    <w:rsid w:val="005909C6"/>
    <w:rsid w:val="00590B3C"/>
    <w:rsid w:val="00590BCF"/>
    <w:rsid w:val="00590C40"/>
    <w:rsid w:val="00590E71"/>
    <w:rsid w:val="00590F59"/>
    <w:rsid w:val="00590F81"/>
    <w:rsid w:val="00591163"/>
    <w:rsid w:val="005911CA"/>
    <w:rsid w:val="00591255"/>
    <w:rsid w:val="00591339"/>
    <w:rsid w:val="005915BA"/>
    <w:rsid w:val="005918D0"/>
    <w:rsid w:val="005918E1"/>
    <w:rsid w:val="00591956"/>
    <w:rsid w:val="00591E4D"/>
    <w:rsid w:val="00591FDC"/>
    <w:rsid w:val="00592247"/>
    <w:rsid w:val="005922C0"/>
    <w:rsid w:val="005924EA"/>
    <w:rsid w:val="00592B0C"/>
    <w:rsid w:val="00592B6B"/>
    <w:rsid w:val="00592BCA"/>
    <w:rsid w:val="00592E8C"/>
    <w:rsid w:val="005931BC"/>
    <w:rsid w:val="005936EE"/>
    <w:rsid w:val="0059397E"/>
    <w:rsid w:val="00593A7C"/>
    <w:rsid w:val="00593AF3"/>
    <w:rsid w:val="00593B5B"/>
    <w:rsid w:val="00593BFF"/>
    <w:rsid w:val="00593CAD"/>
    <w:rsid w:val="0059412A"/>
    <w:rsid w:val="0059452C"/>
    <w:rsid w:val="0059458A"/>
    <w:rsid w:val="005946F7"/>
    <w:rsid w:val="00594938"/>
    <w:rsid w:val="00594A69"/>
    <w:rsid w:val="00594AFE"/>
    <w:rsid w:val="00594B36"/>
    <w:rsid w:val="00594CCC"/>
    <w:rsid w:val="00594DDE"/>
    <w:rsid w:val="00594E69"/>
    <w:rsid w:val="00594E9A"/>
    <w:rsid w:val="00594F8A"/>
    <w:rsid w:val="005959DE"/>
    <w:rsid w:val="00595AF2"/>
    <w:rsid w:val="00595E93"/>
    <w:rsid w:val="00595F41"/>
    <w:rsid w:val="005960C9"/>
    <w:rsid w:val="0059651C"/>
    <w:rsid w:val="0059659B"/>
    <w:rsid w:val="005967B5"/>
    <w:rsid w:val="00596968"/>
    <w:rsid w:val="00596AD9"/>
    <w:rsid w:val="00596BE2"/>
    <w:rsid w:val="00596E6C"/>
    <w:rsid w:val="00597A6A"/>
    <w:rsid w:val="00597B57"/>
    <w:rsid w:val="00597F22"/>
    <w:rsid w:val="00597FA3"/>
    <w:rsid w:val="00597FF3"/>
    <w:rsid w:val="005A006A"/>
    <w:rsid w:val="005A0112"/>
    <w:rsid w:val="005A0A6F"/>
    <w:rsid w:val="005A0B1C"/>
    <w:rsid w:val="005A0C8D"/>
    <w:rsid w:val="005A0F16"/>
    <w:rsid w:val="005A13D8"/>
    <w:rsid w:val="005A1A93"/>
    <w:rsid w:val="005A2704"/>
    <w:rsid w:val="005A2827"/>
    <w:rsid w:val="005A2A2A"/>
    <w:rsid w:val="005A2CF9"/>
    <w:rsid w:val="005A2D52"/>
    <w:rsid w:val="005A2F20"/>
    <w:rsid w:val="005A388C"/>
    <w:rsid w:val="005A3A42"/>
    <w:rsid w:val="005A3EBE"/>
    <w:rsid w:val="005A3F08"/>
    <w:rsid w:val="005A4197"/>
    <w:rsid w:val="005A43B0"/>
    <w:rsid w:val="005A446A"/>
    <w:rsid w:val="005A45C1"/>
    <w:rsid w:val="005A4756"/>
    <w:rsid w:val="005A484E"/>
    <w:rsid w:val="005A4A15"/>
    <w:rsid w:val="005A4C9E"/>
    <w:rsid w:val="005A4F64"/>
    <w:rsid w:val="005A5BA5"/>
    <w:rsid w:val="005A5C3F"/>
    <w:rsid w:val="005A5C44"/>
    <w:rsid w:val="005A5E0C"/>
    <w:rsid w:val="005A6484"/>
    <w:rsid w:val="005A6812"/>
    <w:rsid w:val="005A68A7"/>
    <w:rsid w:val="005A6A61"/>
    <w:rsid w:val="005A6B48"/>
    <w:rsid w:val="005A6CF2"/>
    <w:rsid w:val="005A7038"/>
    <w:rsid w:val="005A721A"/>
    <w:rsid w:val="005A762F"/>
    <w:rsid w:val="005A788C"/>
    <w:rsid w:val="005A7CB7"/>
    <w:rsid w:val="005A7D8F"/>
    <w:rsid w:val="005A7F3F"/>
    <w:rsid w:val="005A7FDC"/>
    <w:rsid w:val="005B040B"/>
    <w:rsid w:val="005B04C9"/>
    <w:rsid w:val="005B05C0"/>
    <w:rsid w:val="005B063E"/>
    <w:rsid w:val="005B0777"/>
    <w:rsid w:val="005B08D2"/>
    <w:rsid w:val="005B0E85"/>
    <w:rsid w:val="005B1239"/>
    <w:rsid w:val="005B1271"/>
    <w:rsid w:val="005B13D9"/>
    <w:rsid w:val="005B14C2"/>
    <w:rsid w:val="005B1793"/>
    <w:rsid w:val="005B1993"/>
    <w:rsid w:val="005B1C80"/>
    <w:rsid w:val="005B1D4D"/>
    <w:rsid w:val="005B1DB5"/>
    <w:rsid w:val="005B24B9"/>
    <w:rsid w:val="005B26CB"/>
    <w:rsid w:val="005B2BFF"/>
    <w:rsid w:val="005B329A"/>
    <w:rsid w:val="005B32B1"/>
    <w:rsid w:val="005B32B5"/>
    <w:rsid w:val="005B3DB1"/>
    <w:rsid w:val="005B3FE8"/>
    <w:rsid w:val="005B41D1"/>
    <w:rsid w:val="005B4302"/>
    <w:rsid w:val="005B4B73"/>
    <w:rsid w:val="005B4CA7"/>
    <w:rsid w:val="005B503F"/>
    <w:rsid w:val="005B5388"/>
    <w:rsid w:val="005B5544"/>
    <w:rsid w:val="005B57FE"/>
    <w:rsid w:val="005B5D89"/>
    <w:rsid w:val="005B60E4"/>
    <w:rsid w:val="005B62ED"/>
    <w:rsid w:val="005B6502"/>
    <w:rsid w:val="005B6879"/>
    <w:rsid w:val="005B6B35"/>
    <w:rsid w:val="005B6B67"/>
    <w:rsid w:val="005B6D13"/>
    <w:rsid w:val="005B6DB7"/>
    <w:rsid w:val="005B6E5A"/>
    <w:rsid w:val="005B6E5F"/>
    <w:rsid w:val="005B702D"/>
    <w:rsid w:val="005B730C"/>
    <w:rsid w:val="005B73D5"/>
    <w:rsid w:val="005B7791"/>
    <w:rsid w:val="005B78BA"/>
    <w:rsid w:val="005B7A0C"/>
    <w:rsid w:val="005B7B35"/>
    <w:rsid w:val="005B7C38"/>
    <w:rsid w:val="005B7DC1"/>
    <w:rsid w:val="005B7E1B"/>
    <w:rsid w:val="005B7FDA"/>
    <w:rsid w:val="005C079F"/>
    <w:rsid w:val="005C0AA5"/>
    <w:rsid w:val="005C0B4A"/>
    <w:rsid w:val="005C0B80"/>
    <w:rsid w:val="005C0FA3"/>
    <w:rsid w:val="005C107B"/>
    <w:rsid w:val="005C1848"/>
    <w:rsid w:val="005C1B28"/>
    <w:rsid w:val="005C1CD3"/>
    <w:rsid w:val="005C1DE1"/>
    <w:rsid w:val="005C213D"/>
    <w:rsid w:val="005C2309"/>
    <w:rsid w:val="005C2356"/>
    <w:rsid w:val="005C2A10"/>
    <w:rsid w:val="005C2CDE"/>
    <w:rsid w:val="005C2E0B"/>
    <w:rsid w:val="005C2FE8"/>
    <w:rsid w:val="005C309F"/>
    <w:rsid w:val="005C31D3"/>
    <w:rsid w:val="005C37B0"/>
    <w:rsid w:val="005C3C9C"/>
    <w:rsid w:val="005C3FCC"/>
    <w:rsid w:val="005C42D0"/>
    <w:rsid w:val="005C4737"/>
    <w:rsid w:val="005C4971"/>
    <w:rsid w:val="005C4F4B"/>
    <w:rsid w:val="005C5048"/>
    <w:rsid w:val="005C5693"/>
    <w:rsid w:val="005C584D"/>
    <w:rsid w:val="005C5975"/>
    <w:rsid w:val="005C5B79"/>
    <w:rsid w:val="005C5D09"/>
    <w:rsid w:val="005C661A"/>
    <w:rsid w:val="005C68F9"/>
    <w:rsid w:val="005C6B32"/>
    <w:rsid w:val="005C6F2E"/>
    <w:rsid w:val="005C7494"/>
    <w:rsid w:val="005C7702"/>
    <w:rsid w:val="005C7749"/>
    <w:rsid w:val="005C775D"/>
    <w:rsid w:val="005C7B51"/>
    <w:rsid w:val="005D021E"/>
    <w:rsid w:val="005D0327"/>
    <w:rsid w:val="005D0555"/>
    <w:rsid w:val="005D0BEB"/>
    <w:rsid w:val="005D0D97"/>
    <w:rsid w:val="005D0E77"/>
    <w:rsid w:val="005D10EE"/>
    <w:rsid w:val="005D13E4"/>
    <w:rsid w:val="005D140D"/>
    <w:rsid w:val="005D1575"/>
    <w:rsid w:val="005D1828"/>
    <w:rsid w:val="005D18DD"/>
    <w:rsid w:val="005D1D3E"/>
    <w:rsid w:val="005D1DF8"/>
    <w:rsid w:val="005D1FDE"/>
    <w:rsid w:val="005D227C"/>
    <w:rsid w:val="005D23DC"/>
    <w:rsid w:val="005D256A"/>
    <w:rsid w:val="005D25BF"/>
    <w:rsid w:val="005D2737"/>
    <w:rsid w:val="005D2A4E"/>
    <w:rsid w:val="005D2F06"/>
    <w:rsid w:val="005D351E"/>
    <w:rsid w:val="005D3848"/>
    <w:rsid w:val="005D3A7E"/>
    <w:rsid w:val="005D425F"/>
    <w:rsid w:val="005D478C"/>
    <w:rsid w:val="005D4B45"/>
    <w:rsid w:val="005D4E05"/>
    <w:rsid w:val="005D52F0"/>
    <w:rsid w:val="005D55A2"/>
    <w:rsid w:val="005D644F"/>
    <w:rsid w:val="005D677D"/>
    <w:rsid w:val="005D68BD"/>
    <w:rsid w:val="005D6BA7"/>
    <w:rsid w:val="005D6F16"/>
    <w:rsid w:val="005D705C"/>
    <w:rsid w:val="005D70F6"/>
    <w:rsid w:val="005D7336"/>
    <w:rsid w:val="005D76CA"/>
    <w:rsid w:val="005D7A37"/>
    <w:rsid w:val="005E085D"/>
    <w:rsid w:val="005E0998"/>
    <w:rsid w:val="005E0BA5"/>
    <w:rsid w:val="005E0BCF"/>
    <w:rsid w:val="005E0D06"/>
    <w:rsid w:val="005E0F1B"/>
    <w:rsid w:val="005E1191"/>
    <w:rsid w:val="005E14A9"/>
    <w:rsid w:val="005E15B3"/>
    <w:rsid w:val="005E16C3"/>
    <w:rsid w:val="005E1F02"/>
    <w:rsid w:val="005E1F16"/>
    <w:rsid w:val="005E20AE"/>
    <w:rsid w:val="005E228F"/>
    <w:rsid w:val="005E26EE"/>
    <w:rsid w:val="005E294A"/>
    <w:rsid w:val="005E295D"/>
    <w:rsid w:val="005E2A78"/>
    <w:rsid w:val="005E2D24"/>
    <w:rsid w:val="005E364A"/>
    <w:rsid w:val="005E391C"/>
    <w:rsid w:val="005E3930"/>
    <w:rsid w:val="005E39E7"/>
    <w:rsid w:val="005E3F83"/>
    <w:rsid w:val="005E3F90"/>
    <w:rsid w:val="005E41BE"/>
    <w:rsid w:val="005E4587"/>
    <w:rsid w:val="005E48D6"/>
    <w:rsid w:val="005E4B88"/>
    <w:rsid w:val="005E4D3D"/>
    <w:rsid w:val="005E5566"/>
    <w:rsid w:val="005E5705"/>
    <w:rsid w:val="005E5AF7"/>
    <w:rsid w:val="005E5B47"/>
    <w:rsid w:val="005E5BB2"/>
    <w:rsid w:val="005E5D9C"/>
    <w:rsid w:val="005E5E98"/>
    <w:rsid w:val="005E6191"/>
    <w:rsid w:val="005E64BA"/>
    <w:rsid w:val="005E66A4"/>
    <w:rsid w:val="005E68CB"/>
    <w:rsid w:val="005E69D6"/>
    <w:rsid w:val="005E69DF"/>
    <w:rsid w:val="005E6C6F"/>
    <w:rsid w:val="005E6F3B"/>
    <w:rsid w:val="005E7167"/>
    <w:rsid w:val="005E7237"/>
    <w:rsid w:val="005E733F"/>
    <w:rsid w:val="005E7434"/>
    <w:rsid w:val="005E7462"/>
    <w:rsid w:val="005E754D"/>
    <w:rsid w:val="005E7783"/>
    <w:rsid w:val="005E77DD"/>
    <w:rsid w:val="005E7825"/>
    <w:rsid w:val="005E7AFD"/>
    <w:rsid w:val="005E7D83"/>
    <w:rsid w:val="005E7F62"/>
    <w:rsid w:val="005F025B"/>
    <w:rsid w:val="005F02D6"/>
    <w:rsid w:val="005F0579"/>
    <w:rsid w:val="005F0670"/>
    <w:rsid w:val="005F06AE"/>
    <w:rsid w:val="005F06C4"/>
    <w:rsid w:val="005F06D0"/>
    <w:rsid w:val="005F0712"/>
    <w:rsid w:val="005F07F4"/>
    <w:rsid w:val="005F087F"/>
    <w:rsid w:val="005F13FA"/>
    <w:rsid w:val="005F140C"/>
    <w:rsid w:val="005F14D3"/>
    <w:rsid w:val="005F19EE"/>
    <w:rsid w:val="005F1CC5"/>
    <w:rsid w:val="005F1F51"/>
    <w:rsid w:val="005F23A8"/>
    <w:rsid w:val="005F23C4"/>
    <w:rsid w:val="005F24B2"/>
    <w:rsid w:val="005F261D"/>
    <w:rsid w:val="005F2D10"/>
    <w:rsid w:val="005F2F4D"/>
    <w:rsid w:val="005F310E"/>
    <w:rsid w:val="005F3742"/>
    <w:rsid w:val="005F3748"/>
    <w:rsid w:val="005F388B"/>
    <w:rsid w:val="005F3B2E"/>
    <w:rsid w:val="005F406A"/>
    <w:rsid w:val="005F41F9"/>
    <w:rsid w:val="005F4205"/>
    <w:rsid w:val="005F474C"/>
    <w:rsid w:val="005F4AB1"/>
    <w:rsid w:val="005F4AB7"/>
    <w:rsid w:val="005F4B58"/>
    <w:rsid w:val="005F4C34"/>
    <w:rsid w:val="005F5021"/>
    <w:rsid w:val="005F5067"/>
    <w:rsid w:val="005F51FD"/>
    <w:rsid w:val="005F532E"/>
    <w:rsid w:val="005F554B"/>
    <w:rsid w:val="005F5977"/>
    <w:rsid w:val="005F5D8E"/>
    <w:rsid w:val="005F5FD2"/>
    <w:rsid w:val="005F6619"/>
    <w:rsid w:val="005F67BF"/>
    <w:rsid w:val="005F6922"/>
    <w:rsid w:val="005F6982"/>
    <w:rsid w:val="005F6A2E"/>
    <w:rsid w:val="005F6B3F"/>
    <w:rsid w:val="005F6BEB"/>
    <w:rsid w:val="005F6C97"/>
    <w:rsid w:val="005F6D56"/>
    <w:rsid w:val="005F6F2C"/>
    <w:rsid w:val="005F72CB"/>
    <w:rsid w:val="005F72EF"/>
    <w:rsid w:val="005F7320"/>
    <w:rsid w:val="005F7481"/>
    <w:rsid w:val="005F788F"/>
    <w:rsid w:val="005F7A0E"/>
    <w:rsid w:val="005F7AAC"/>
    <w:rsid w:val="005F7B88"/>
    <w:rsid w:val="0060014F"/>
    <w:rsid w:val="00600289"/>
    <w:rsid w:val="0060028E"/>
    <w:rsid w:val="006005DC"/>
    <w:rsid w:val="00600678"/>
    <w:rsid w:val="00600CAB"/>
    <w:rsid w:val="00600E6D"/>
    <w:rsid w:val="00601058"/>
    <w:rsid w:val="00601158"/>
    <w:rsid w:val="006014B8"/>
    <w:rsid w:val="00601E38"/>
    <w:rsid w:val="0060201A"/>
    <w:rsid w:val="0060203B"/>
    <w:rsid w:val="00602563"/>
    <w:rsid w:val="00602B52"/>
    <w:rsid w:val="0060321A"/>
    <w:rsid w:val="006036B6"/>
    <w:rsid w:val="00603726"/>
    <w:rsid w:val="00603961"/>
    <w:rsid w:val="00603FD3"/>
    <w:rsid w:val="006040CF"/>
    <w:rsid w:val="006041D4"/>
    <w:rsid w:val="006043C8"/>
    <w:rsid w:val="00604408"/>
    <w:rsid w:val="006044A6"/>
    <w:rsid w:val="00604501"/>
    <w:rsid w:val="0060479E"/>
    <w:rsid w:val="00604991"/>
    <w:rsid w:val="006049BB"/>
    <w:rsid w:val="00604D82"/>
    <w:rsid w:val="00604FAE"/>
    <w:rsid w:val="0060504D"/>
    <w:rsid w:val="00605333"/>
    <w:rsid w:val="006053C6"/>
    <w:rsid w:val="00605488"/>
    <w:rsid w:val="0060553F"/>
    <w:rsid w:val="00605863"/>
    <w:rsid w:val="0060591A"/>
    <w:rsid w:val="00605CF5"/>
    <w:rsid w:val="00605D89"/>
    <w:rsid w:val="00605E78"/>
    <w:rsid w:val="00606453"/>
    <w:rsid w:val="006065B3"/>
    <w:rsid w:val="00606874"/>
    <w:rsid w:val="00606925"/>
    <w:rsid w:val="00606B93"/>
    <w:rsid w:val="00606D39"/>
    <w:rsid w:val="00606DC8"/>
    <w:rsid w:val="00606E4E"/>
    <w:rsid w:val="006070AE"/>
    <w:rsid w:val="0060714B"/>
    <w:rsid w:val="00607611"/>
    <w:rsid w:val="00607644"/>
    <w:rsid w:val="00607754"/>
    <w:rsid w:val="0060790B"/>
    <w:rsid w:val="0060794C"/>
    <w:rsid w:val="00607A98"/>
    <w:rsid w:val="00607B14"/>
    <w:rsid w:val="00607B54"/>
    <w:rsid w:val="00607F10"/>
    <w:rsid w:val="00607F31"/>
    <w:rsid w:val="00610147"/>
    <w:rsid w:val="00610213"/>
    <w:rsid w:val="0061110F"/>
    <w:rsid w:val="00611AB7"/>
    <w:rsid w:val="00611C73"/>
    <w:rsid w:val="00611CFE"/>
    <w:rsid w:val="00611D22"/>
    <w:rsid w:val="00611DC9"/>
    <w:rsid w:val="00611DD9"/>
    <w:rsid w:val="00611F09"/>
    <w:rsid w:val="006120F7"/>
    <w:rsid w:val="006128FE"/>
    <w:rsid w:val="00612E89"/>
    <w:rsid w:val="00612FDC"/>
    <w:rsid w:val="006134E0"/>
    <w:rsid w:val="00613682"/>
    <w:rsid w:val="00613A81"/>
    <w:rsid w:val="00613B98"/>
    <w:rsid w:val="00613C68"/>
    <w:rsid w:val="00613F2C"/>
    <w:rsid w:val="00614168"/>
    <w:rsid w:val="006142D6"/>
    <w:rsid w:val="00614400"/>
    <w:rsid w:val="0061461A"/>
    <w:rsid w:val="0061465C"/>
    <w:rsid w:val="006146D3"/>
    <w:rsid w:val="00614783"/>
    <w:rsid w:val="00614CCA"/>
    <w:rsid w:val="00614D20"/>
    <w:rsid w:val="00614E5B"/>
    <w:rsid w:val="00615222"/>
    <w:rsid w:val="006152BC"/>
    <w:rsid w:val="006154ED"/>
    <w:rsid w:val="0061553C"/>
    <w:rsid w:val="00615A3B"/>
    <w:rsid w:val="00615B6B"/>
    <w:rsid w:val="00616102"/>
    <w:rsid w:val="00616229"/>
    <w:rsid w:val="0061676E"/>
    <w:rsid w:val="00616E62"/>
    <w:rsid w:val="00616F75"/>
    <w:rsid w:val="00616FBD"/>
    <w:rsid w:val="006174FB"/>
    <w:rsid w:val="0061760D"/>
    <w:rsid w:val="006177CD"/>
    <w:rsid w:val="00617A71"/>
    <w:rsid w:val="00617D38"/>
    <w:rsid w:val="0062010C"/>
    <w:rsid w:val="006201B1"/>
    <w:rsid w:val="0062028E"/>
    <w:rsid w:val="0062051D"/>
    <w:rsid w:val="006206DB"/>
    <w:rsid w:val="00620864"/>
    <w:rsid w:val="00620947"/>
    <w:rsid w:val="00620DF5"/>
    <w:rsid w:val="00620E0B"/>
    <w:rsid w:val="00620E17"/>
    <w:rsid w:val="00620FB6"/>
    <w:rsid w:val="006215F8"/>
    <w:rsid w:val="00621640"/>
    <w:rsid w:val="0062188E"/>
    <w:rsid w:val="006219C2"/>
    <w:rsid w:val="006220AC"/>
    <w:rsid w:val="00622489"/>
    <w:rsid w:val="00622798"/>
    <w:rsid w:val="0062298A"/>
    <w:rsid w:val="00622CF9"/>
    <w:rsid w:val="00622D9D"/>
    <w:rsid w:val="00623188"/>
    <w:rsid w:val="00623400"/>
    <w:rsid w:val="006237C7"/>
    <w:rsid w:val="00623C4E"/>
    <w:rsid w:val="00623E05"/>
    <w:rsid w:val="00623E81"/>
    <w:rsid w:val="0062402F"/>
    <w:rsid w:val="006240EB"/>
    <w:rsid w:val="00624158"/>
    <w:rsid w:val="00624218"/>
    <w:rsid w:val="0062439F"/>
    <w:rsid w:val="006246EF"/>
    <w:rsid w:val="00624777"/>
    <w:rsid w:val="00624D9B"/>
    <w:rsid w:val="00624DA1"/>
    <w:rsid w:val="00624F4C"/>
    <w:rsid w:val="00624FE4"/>
    <w:rsid w:val="00625287"/>
    <w:rsid w:val="006252A2"/>
    <w:rsid w:val="006252BC"/>
    <w:rsid w:val="00625478"/>
    <w:rsid w:val="006256DF"/>
    <w:rsid w:val="006258C5"/>
    <w:rsid w:val="006259B3"/>
    <w:rsid w:val="006259C6"/>
    <w:rsid w:val="00625C7E"/>
    <w:rsid w:val="00626712"/>
    <w:rsid w:val="00626AC5"/>
    <w:rsid w:val="00626B1E"/>
    <w:rsid w:val="00626E73"/>
    <w:rsid w:val="0062719B"/>
    <w:rsid w:val="006272DB"/>
    <w:rsid w:val="006277A1"/>
    <w:rsid w:val="00627829"/>
    <w:rsid w:val="00627C2F"/>
    <w:rsid w:val="00627D25"/>
    <w:rsid w:val="00627FA0"/>
    <w:rsid w:val="00627FC3"/>
    <w:rsid w:val="006300E2"/>
    <w:rsid w:val="0063030A"/>
    <w:rsid w:val="006307CD"/>
    <w:rsid w:val="00630855"/>
    <w:rsid w:val="00630944"/>
    <w:rsid w:val="00630A48"/>
    <w:rsid w:val="00630A75"/>
    <w:rsid w:val="00630B4B"/>
    <w:rsid w:val="00630DDB"/>
    <w:rsid w:val="00630E10"/>
    <w:rsid w:val="00630E41"/>
    <w:rsid w:val="0063112C"/>
    <w:rsid w:val="006311C2"/>
    <w:rsid w:val="00631430"/>
    <w:rsid w:val="006315B0"/>
    <w:rsid w:val="00631758"/>
    <w:rsid w:val="006318AF"/>
    <w:rsid w:val="006319C6"/>
    <w:rsid w:val="00631C8A"/>
    <w:rsid w:val="00631CEA"/>
    <w:rsid w:val="00632268"/>
    <w:rsid w:val="006322C0"/>
    <w:rsid w:val="006324D8"/>
    <w:rsid w:val="0063282E"/>
    <w:rsid w:val="00632B60"/>
    <w:rsid w:val="006330DA"/>
    <w:rsid w:val="0063321F"/>
    <w:rsid w:val="0063347E"/>
    <w:rsid w:val="00633629"/>
    <w:rsid w:val="0063367C"/>
    <w:rsid w:val="0063368B"/>
    <w:rsid w:val="00633761"/>
    <w:rsid w:val="00633999"/>
    <w:rsid w:val="00633CEC"/>
    <w:rsid w:val="00633E72"/>
    <w:rsid w:val="00634026"/>
    <w:rsid w:val="00634239"/>
    <w:rsid w:val="006343BF"/>
    <w:rsid w:val="0063446A"/>
    <w:rsid w:val="00634501"/>
    <w:rsid w:val="0063492B"/>
    <w:rsid w:val="00634F5D"/>
    <w:rsid w:val="00634FA3"/>
    <w:rsid w:val="00634FAF"/>
    <w:rsid w:val="00634FC3"/>
    <w:rsid w:val="00635533"/>
    <w:rsid w:val="00635E94"/>
    <w:rsid w:val="0063645D"/>
    <w:rsid w:val="006365A7"/>
    <w:rsid w:val="00636653"/>
    <w:rsid w:val="00636C70"/>
    <w:rsid w:val="00636D87"/>
    <w:rsid w:val="00636E7C"/>
    <w:rsid w:val="00637249"/>
    <w:rsid w:val="006373DE"/>
    <w:rsid w:val="00637405"/>
    <w:rsid w:val="006374D0"/>
    <w:rsid w:val="0063766A"/>
    <w:rsid w:val="00637C48"/>
    <w:rsid w:val="00640538"/>
    <w:rsid w:val="00640B28"/>
    <w:rsid w:val="00640BC7"/>
    <w:rsid w:val="00640C74"/>
    <w:rsid w:val="00640C9E"/>
    <w:rsid w:val="00640D3F"/>
    <w:rsid w:val="00641040"/>
    <w:rsid w:val="00641129"/>
    <w:rsid w:val="00641151"/>
    <w:rsid w:val="00641373"/>
    <w:rsid w:val="006414FC"/>
    <w:rsid w:val="006417FF"/>
    <w:rsid w:val="00641EBC"/>
    <w:rsid w:val="0064247F"/>
    <w:rsid w:val="006425DC"/>
    <w:rsid w:val="00642E11"/>
    <w:rsid w:val="00642F8F"/>
    <w:rsid w:val="00643036"/>
    <w:rsid w:val="006431E6"/>
    <w:rsid w:val="00643241"/>
    <w:rsid w:val="00643250"/>
    <w:rsid w:val="006434F9"/>
    <w:rsid w:val="00643512"/>
    <w:rsid w:val="00643693"/>
    <w:rsid w:val="00643910"/>
    <w:rsid w:val="00643B12"/>
    <w:rsid w:val="00643B31"/>
    <w:rsid w:val="00643EB8"/>
    <w:rsid w:val="00644130"/>
    <w:rsid w:val="00644365"/>
    <w:rsid w:val="00644590"/>
    <w:rsid w:val="00644921"/>
    <w:rsid w:val="00644A09"/>
    <w:rsid w:val="00644D29"/>
    <w:rsid w:val="00644DC8"/>
    <w:rsid w:val="00644ED6"/>
    <w:rsid w:val="00645060"/>
    <w:rsid w:val="00645A3D"/>
    <w:rsid w:val="0064610B"/>
    <w:rsid w:val="00646501"/>
    <w:rsid w:val="006466C3"/>
    <w:rsid w:val="00646921"/>
    <w:rsid w:val="00646A2A"/>
    <w:rsid w:val="00646AFC"/>
    <w:rsid w:val="00646F3B"/>
    <w:rsid w:val="00646FBA"/>
    <w:rsid w:val="00647188"/>
    <w:rsid w:val="0064722B"/>
    <w:rsid w:val="0064729A"/>
    <w:rsid w:val="006479A2"/>
    <w:rsid w:val="00647B34"/>
    <w:rsid w:val="00647EF2"/>
    <w:rsid w:val="006501B8"/>
    <w:rsid w:val="006503AB"/>
    <w:rsid w:val="006503D3"/>
    <w:rsid w:val="00650453"/>
    <w:rsid w:val="00650818"/>
    <w:rsid w:val="00650EF6"/>
    <w:rsid w:val="0065110A"/>
    <w:rsid w:val="006512AD"/>
    <w:rsid w:val="00651829"/>
    <w:rsid w:val="00651879"/>
    <w:rsid w:val="00651BC4"/>
    <w:rsid w:val="00651CF6"/>
    <w:rsid w:val="00651D50"/>
    <w:rsid w:val="00651DEF"/>
    <w:rsid w:val="0065227F"/>
    <w:rsid w:val="00652C71"/>
    <w:rsid w:val="00652CA4"/>
    <w:rsid w:val="00652CE4"/>
    <w:rsid w:val="00652F3C"/>
    <w:rsid w:val="00653028"/>
    <w:rsid w:val="0065358D"/>
    <w:rsid w:val="00653625"/>
    <w:rsid w:val="00653710"/>
    <w:rsid w:val="0065381C"/>
    <w:rsid w:val="00653902"/>
    <w:rsid w:val="0065399A"/>
    <w:rsid w:val="00653D9C"/>
    <w:rsid w:val="00653E8B"/>
    <w:rsid w:val="006540EA"/>
    <w:rsid w:val="00654131"/>
    <w:rsid w:val="00654284"/>
    <w:rsid w:val="006543EE"/>
    <w:rsid w:val="006547CB"/>
    <w:rsid w:val="00654954"/>
    <w:rsid w:val="00654CB9"/>
    <w:rsid w:val="00655160"/>
    <w:rsid w:val="006551F4"/>
    <w:rsid w:val="00655320"/>
    <w:rsid w:val="00655450"/>
    <w:rsid w:val="0065580F"/>
    <w:rsid w:val="00655A45"/>
    <w:rsid w:val="00655AC2"/>
    <w:rsid w:val="006564EB"/>
    <w:rsid w:val="00656672"/>
    <w:rsid w:val="006566BA"/>
    <w:rsid w:val="006566E5"/>
    <w:rsid w:val="00656893"/>
    <w:rsid w:val="0065692A"/>
    <w:rsid w:val="006569D3"/>
    <w:rsid w:val="00656A5C"/>
    <w:rsid w:val="00656B56"/>
    <w:rsid w:val="00656BA1"/>
    <w:rsid w:val="00656E4B"/>
    <w:rsid w:val="00657065"/>
    <w:rsid w:val="006571A7"/>
    <w:rsid w:val="006577D6"/>
    <w:rsid w:val="006579B4"/>
    <w:rsid w:val="00657B43"/>
    <w:rsid w:val="00657C40"/>
    <w:rsid w:val="00657DD0"/>
    <w:rsid w:val="00657F00"/>
    <w:rsid w:val="006600FF"/>
    <w:rsid w:val="0066020D"/>
    <w:rsid w:val="00660213"/>
    <w:rsid w:val="006606AD"/>
    <w:rsid w:val="00660870"/>
    <w:rsid w:val="006608AB"/>
    <w:rsid w:val="00660A33"/>
    <w:rsid w:val="00660AC6"/>
    <w:rsid w:val="00660FF7"/>
    <w:rsid w:val="006610A9"/>
    <w:rsid w:val="00661171"/>
    <w:rsid w:val="00661347"/>
    <w:rsid w:val="00661642"/>
    <w:rsid w:val="006619F2"/>
    <w:rsid w:val="00661CE7"/>
    <w:rsid w:val="00661EA0"/>
    <w:rsid w:val="006623A7"/>
    <w:rsid w:val="006624CA"/>
    <w:rsid w:val="006629DC"/>
    <w:rsid w:val="00662A93"/>
    <w:rsid w:val="00662C4F"/>
    <w:rsid w:val="00662DF5"/>
    <w:rsid w:val="0066313C"/>
    <w:rsid w:val="0066342F"/>
    <w:rsid w:val="00663455"/>
    <w:rsid w:val="0066354E"/>
    <w:rsid w:val="00663559"/>
    <w:rsid w:val="0066370A"/>
    <w:rsid w:val="006637A7"/>
    <w:rsid w:val="00663B3E"/>
    <w:rsid w:val="00663BFC"/>
    <w:rsid w:val="00663C63"/>
    <w:rsid w:val="00663ED3"/>
    <w:rsid w:val="00663F08"/>
    <w:rsid w:val="0066412A"/>
    <w:rsid w:val="00664D0D"/>
    <w:rsid w:val="00664E8F"/>
    <w:rsid w:val="006651E2"/>
    <w:rsid w:val="0066521D"/>
    <w:rsid w:val="00665268"/>
    <w:rsid w:val="0066541C"/>
    <w:rsid w:val="00665860"/>
    <w:rsid w:val="00665DA4"/>
    <w:rsid w:val="00665E16"/>
    <w:rsid w:val="006662A9"/>
    <w:rsid w:val="00666A1B"/>
    <w:rsid w:val="00666A4C"/>
    <w:rsid w:val="00666B13"/>
    <w:rsid w:val="00666ED4"/>
    <w:rsid w:val="00666FBD"/>
    <w:rsid w:val="00667299"/>
    <w:rsid w:val="00667320"/>
    <w:rsid w:val="006675DA"/>
    <w:rsid w:val="006677D7"/>
    <w:rsid w:val="00667A0A"/>
    <w:rsid w:val="00667E26"/>
    <w:rsid w:val="00667ED4"/>
    <w:rsid w:val="00670005"/>
    <w:rsid w:val="00670579"/>
    <w:rsid w:val="006706A5"/>
    <w:rsid w:val="00670708"/>
    <w:rsid w:val="00670722"/>
    <w:rsid w:val="00670CDB"/>
    <w:rsid w:val="00670F1C"/>
    <w:rsid w:val="0067113F"/>
    <w:rsid w:val="006713CB"/>
    <w:rsid w:val="006718B3"/>
    <w:rsid w:val="00671BB5"/>
    <w:rsid w:val="00671D70"/>
    <w:rsid w:val="00671E9E"/>
    <w:rsid w:val="00672223"/>
    <w:rsid w:val="00672288"/>
    <w:rsid w:val="0067260D"/>
    <w:rsid w:val="00672676"/>
    <w:rsid w:val="0067286E"/>
    <w:rsid w:val="00672904"/>
    <w:rsid w:val="00672B92"/>
    <w:rsid w:val="00672BF5"/>
    <w:rsid w:val="00672DDB"/>
    <w:rsid w:val="00672F2A"/>
    <w:rsid w:val="006733E4"/>
    <w:rsid w:val="00673498"/>
    <w:rsid w:val="00673A29"/>
    <w:rsid w:val="00673B68"/>
    <w:rsid w:val="00674037"/>
    <w:rsid w:val="00674487"/>
    <w:rsid w:val="0067457F"/>
    <w:rsid w:val="00674672"/>
    <w:rsid w:val="00674D4B"/>
    <w:rsid w:val="00674EC7"/>
    <w:rsid w:val="006750E1"/>
    <w:rsid w:val="006752FC"/>
    <w:rsid w:val="006754EA"/>
    <w:rsid w:val="00675716"/>
    <w:rsid w:val="006757BB"/>
    <w:rsid w:val="00675AFD"/>
    <w:rsid w:val="00675F03"/>
    <w:rsid w:val="006760DC"/>
    <w:rsid w:val="00676495"/>
    <w:rsid w:val="00676544"/>
    <w:rsid w:val="00676800"/>
    <w:rsid w:val="00676839"/>
    <w:rsid w:val="006769C0"/>
    <w:rsid w:val="00676B23"/>
    <w:rsid w:val="00676C74"/>
    <w:rsid w:val="00676E55"/>
    <w:rsid w:val="00676F88"/>
    <w:rsid w:val="00677443"/>
    <w:rsid w:val="0067777A"/>
    <w:rsid w:val="00677A17"/>
    <w:rsid w:val="00677C68"/>
    <w:rsid w:val="00677CCA"/>
    <w:rsid w:val="00677F52"/>
    <w:rsid w:val="0068013F"/>
    <w:rsid w:val="00680380"/>
    <w:rsid w:val="00680395"/>
    <w:rsid w:val="00680716"/>
    <w:rsid w:val="00680905"/>
    <w:rsid w:val="00680ABB"/>
    <w:rsid w:val="00680B9B"/>
    <w:rsid w:val="00680C9F"/>
    <w:rsid w:val="00680CEC"/>
    <w:rsid w:val="00680E90"/>
    <w:rsid w:val="00680F37"/>
    <w:rsid w:val="006810FB"/>
    <w:rsid w:val="00681607"/>
    <w:rsid w:val="006818B4"/>
    <w:rsid w:val="00681B43"/>
    <w:rsid w:val="00681BA8"/>
    <w:rsid w:val="00681D16"/>
    <w:rsid w:val="00681D43"/>
    <w:rsid w:val="00681DBE"/>
    <w:rsid w:val="0068228B"/>
    <w:rsid w:val="006822C4"/>
    <w:rsid w:val="006823D3"/>
    <w:rsid w:val="00682465"/>
    <w:rsid w:val="006824DB"/>
    <w:rsid w:val="00682537"/>
    <w:rsid w:val="00682623"/>
    <w:rsid w:val="006826DC"/>
    <w:rsid w:val="006828AF"/>
    <w:rsid w:val="00682B21"/>
    <w:rsid w:val="00683120"/>
    <w:rsid w:val="006832D4"/>
    <w:rsid w:val="00683495"/>
    <w:rsid w:val="00683884"/>
    <w:rsid w:val="00683C8D"/>
    <w:rsid w:val="00683DE7"/>
    <w:rsid w:val="00683F44"/>
    <w:rsid w:val="00684105"/>
    <w:rsid w:val="0068424D"/>
    <w:rsid w:val="00684504"/>
    <w:rsid w:val="00684702"/>
    <w:rsid w:val="006847B0"/>
    <w:rsid w:val="00684D51"/>
    <w:rsid w:val="00684DD7"/>
    <w:rsid w:val="00684F04"/>
    <w:rsid w:val="0068510C"/>
    <w:rsid w:val="0068555E"/>
    <w:rsid w:val="0068593D"/>
    <w:rsid w:val="00685B97"/>
    <w:rsid w:val="00685CAC"/>
    <w:rsid w:val="00685DCA"/>
    <w:rsid w:val="00685E14"/>
    <w:rsid w:val="006860E5"/>
    <w:rsid w:val="0068615A"/>
    <w:rsid w:val="006868FB"/>
    <w:rsid w:val="006869D4"/>
    <w:rsid w:val="00686CBD"/>
    <w:rsid w:val="00686D43"/>
    <w:rsid w:val="006870BE"/>
    <w:rsid w:val="0068758B"/>
    <w:rsid w:val="006875A4"/>
    <w:rsid w:val="00687603"/>
    <w:rsid w:val="00687688"/>
    <w:rsid w:val="00687939"/>
    <w:rsid w:val="006879F6"/>
    <w:rsid w:val="00687CC6"/>
    <w:rsid w:val="00687D5C"/>
    <w:rsid w:val="0069010B"/>
    <w:rsid w:val="00690ADF"/>
    <w:rsid w:val="00690AE8"/>
    <w:rsid w:val="00690C1F"/>
    <w:rsid w:val="0069101A"/>
    <w:rsid w:val="0069116B"/>
    <w:rsid w:val="00691200"/>
    <w:rsid w:val="00691586"/>
    <w:rsid w:val="00692083"/>
    <w:rsid w:val="006921B6"/>
    <w:rsid w:val="0069253B"/>
    <w:rsid w:val="006927F3"/>
    <w:rsid w:val="0069284F"/>
    <w:rsid w:val="00692B23"/>
    <w:rsid w:val="00692D48"/>
    <w:rsid w:val="00692F9B"/>
    <w:rsid w:val="00692FBC"/>
    <w:rsid w:val="006932AE"/>
    <w:rsid w:val="0069364E"/>
    <w:rsid w:val="00693817"/>
    <w:rsid w:val="00693BD7"/>
    <w:rsid w:val="00693C38"/>
    <w:rsid w:val="00694238"/>
    <w:rsid w:val="00694524"/>
    <w:rsid w:val="0069455E"/>
    <w:rsid w:val="006945C2"/>
    <w:rsid w:val="006946C2"/>
    <w:rsid w:val="00694800"/>
    <w:rsid w:val="00694CA5"/>
    <w:rsid w:val="00694F6F"/>
    <w:rsid w:val="006951A1"/>
    <w:rsid w:val="0069523A"/>
    <w:rsid w:val="00695273"/>
    <w:rsid w:val="00695443"/>
    <w:rsid w:val="006955AE"/>
    <w:rsid w:val="006956FE"/>
    <w:rsid w:val="00695767"/>
    <w:rsid w:val="0069595E"/>
    <w:rsid w:val="00695A0F"/>
    <w:rsid w:val="00695E39"/>
    <w:rsid w:val="00695F53"/>
    <w:rsid w:val="00695F99"/>
    <w:rsid w:val="00696003"/>
    <w:rsid w:val="00696973"/>
    <w:rsid w:val="00696B70"/>
    <w:rsid w:val="00696EB9"/>
    <w:rsid w:val="006973A6"/>
    <w:rsid w:val="006975CF"/>
    <w:rsid w:val="0069767D"/>
    <w:rsid w:val="006978E8"/>
    <w:rsid w:val="00697C7C"/>
    <w:rsid w:val="00697F7A"/>
    <w:rsid w:val="006A0355"/>
    <w:rsid w:val="006A076A"/>
    <w:rsid w:val="006A082E"/>
    <w:rsid w:val="006A0925"/>
    <w:rsid w:val="006A0CA5"/>
    <w:rsid w:val="006A0D35"/>
    <w:rsid w:val="006A0D6D"/>
    <w:rsid w:val="006A0DB9"/>
    <w:rsid w:val="006A0E1E"/>
    <w:rsid w:val="006A108F"/>
    <w:rsid w:val="006A1353"/>
    <w:rsid w:val="006A157F"/>
    <w:rsid w:val="006A163E"/>
    <w:rsid w:val="006A1910"/>
    <w:rsid w:val="006A1CAF"/>
    <w:rsid w:val="006A1E90"/>
    <w:rsid w:val="006A1FF9"/>
    <w:rsid w:val="006A2525"/>
    <w:rsid w:val="006A2601"/>
    <w:rsid w:val="006A26E0"/>
    <w:rsid w:val="006A27E0"/>
    <w:rsid w:val="006A293A"/>
    <w:rsid w:val="006A2A37"/>
    <w:rsid w:val="006A2C34"/>
    <w:rsid w:val="006A2F3C"/>
    <w:rsid w:val="006A2FDB"/>
    <w:rsid w:val="006A3235"/>
    <w:rsid w:val="006A3679"/>
    <w:rsid w:val="006A3B3C"/>
    <w:rsid w:val="006A4217"/>
    <w:rsid w:val="006A44A4"/>
    <w:rsid w:val="006A46A9"/>
    <w:rsid w:val="006A46E7"/>
    <w:rsid w:val="006A4AE1"/>
    <w:rsid w:val="006A501B"/>
    <w:rsid w:val="006A521A"/>
    <w:rsid w:val="006A5319"/>
    <w:rsid w:val="006A53F2"/>
    <w:rsid w:val="006A5630"/>
    <w:rsid w:val="006A56CF"/>
    <w:rsid w:val="006A5C5C"/>
    <w:rsid w:val="006A615B"/>
    <w:rsid w:val="006A615C"/>
    <w:rsid w:val="006A628B"/>
    <w:rsid w:val="006A6755"/>
    <w:rsid w:val="006A69C4"/>
    <w:rsid w:val="006A6BE0"/>
    <w:rsid w:val="006A6DEF"/>
    <w:rsid w:val="006A6F45"/>
    <w:rsid w:val="006A727A"/>
    <w:rsid w:val="006A730E"/>
    <w:rsid w:val="006A73BC"/>
    <w:rsid w:val="006A74AD"/>
    <w:rsid w:val="006A79F1"/>
    <w:rsid w:val="006A7BB4"/>
    <w:rsid w:val="006A7D0A"/>
    <w:rsid w:val="006A7DF7"/>
    <w:rsid w:val="006A7EDD"/>
    <w:rsid w:val="006A7F47"/>
    <w:rsid w:val="006B0104"/>
    <w:rsid w:val="006B0530"/>
    <w:rsid w:val="006B0757"/>
    <w:rsid w:val="006B09A7"/>
    <w:rsid w:val="006B0A1D"/>
    <w:rsid w:val="006B0AFA"/>
    <w:rsid w:val="006B0C26"/>
    <w:rsid w:val="006B0E02"/>
    <w:rsid w:val="006B0E1F"/>
    <w:rsid w:val="006B1029"/>
    <w:rsid w:val="006B11DC"/>
    <w:rsid w:val="006B12F2"/>
    <w:rsid w:val="006B136C"/>
    <w:rsid w:val="006B15D0"/>
    <w:rsid w:val="006B1890"/>
    <w:rsid w:val="006B1A26"/>
    <w:rsid w:val="006B1EDC"/>
    <w:rsid w:val="006B22D0"/>
    <w:rsid w:val="006B2347"/>
    <w:rsid w:val="006B246C"/>
    <w:rsid w:val="006B312B"/>
    <w:rsid w:val="006B3226"/>
    <w:rsid w:val="006B34C0"/>
    <w:rsid w:val="006B380B"/>
    <w:rsid w:val="006B3D96"/>
    <w:rsid w:val="006B3FEA"/>
    <w:rsid w:val="006B4116"/>
    <w:rsid w:val="006B450A"/>
    <w:rsid w:val="006B45F7"/>
    <w:rsid w:val="006B461F"/>
    <w:rsid w:val="006B46D0"/>
    <w:rsid w:val="006B48D4"/>
    <w:rsid w:val="006B49D1"/>
    <w:rsid w:val="006B4F33"/>
    <w:rsid w:val="006B5048"/>
    <w:rsid w:val="006B533F"/>
    <w:rsid w:val="006B5653"/>
    <w:rsid w:val="006B59CF"/>
    <w:rsid w:val="006B59FE"/>
    <w:rsid w:val="006B6480"/>
    <w:rsid w:val="006B654E"/>
    <w:rsid w:val="006B6899"/>
    <w:rsid w:val="006B6D6C"/>
    <w:rsid w:val="006B6FF7"/>
    <w:rsid w:val="006B70D2"/>
    <w:rsid w:val="006B718F"/>
    <w:rsid w:val="006B7B45"/>
    <w:rsid w:val="006C02BD"/>
    <w:rsid w:val="006C075F"/>
    <w:rsid w:val="006C09FD"/>
    <w:rsid w:val="006C0B48"/>
    <w:rsid w:val="006C0C8B"/>
    <w:rsid w:val="006C0D49"/>
    <w:rsid w:val="006C0E33"/>
    <w:rsid w:val="006C1526"/>
    <w:rsid w:val="006C153C"/>
    <w:rsid w:val="006C1AC2"/>
    <w:rsid w:val="006C1C6F"/>
    <w:rsid w:val="006C1C7A"/>
    <w:rsid w:val="006C1E12"/>
    <w:rsid w:val="006C21A3"/>
    <w:rsid w:val="006C21EF"/>
    <w:rsid w:val="006C2248"/>
    <w:rsid w:val="006C2367"/>
    <w:rsid w:val="006C2A01"/>
    <w:rsid w:val="006C2C8E"/>
    <w:rsid w:val="006C2D24"/>
    <w:rsid w:val="006C2D74"/>
    <w:rsid w:val="006C2DE0"/>
    <w:rsid w:val="006C3237"/>
    <w:rsid w:val="006C3422"/>
    <w:rsid w:val="006C374B"/>
    <w:rsid w:val="006C3882"/>
    <w:rsid w:val="006C3A40"/>
    <w:rsid w:val="006C3FA0"/>
    <w:rsid w:val="006C4333"/>
    <w:rsid w:val="006C44A9"/>
    <w:rsid w:val="006C4649"/>
    <w:rsid w:val="006C464E"/>
    <w:rsid w:val="006C468F"/>
    <w:rsid w:val="006C46D4"/>
    <w:rsid w:val="006C4805"/>
    <w:rsid w:val="006C4D16"/>
    <w:rsid w:val="006C5119"/>
    <w:rsid w:val="006C5735"/>
    <w:rsid w:val="006C57A3"/>
    <w:rsid w:val="006C6236"/>
    <w:rsid w:val="006C6A03"/>
    <w:rsid w:val="006C6B97"/>
    <w:rsid w:val="006C777E"/>
    <w:rsid w:val="006C77F3"/>
    <w:rsid w:val="006C780B"/>
    <w:rsid w:val="006C7D75"/>
    <w:rsid w:val="006D038C"/>
    <w:rsid w:val="006D04D2"/>
    <w:rsid w:val="006D0742"/>
    <w:rsid w:val="006D083D"/>
    <w:rsid w:val="006D08B2"/>
    <w:rsid w:val="006D09AE"/>
    <w:rsid w:val="006D0A0B"/>
    <w:rsid w:val="006D0E9A"/>
    <w:rsid w:val="006D0FB0"/>
    <w:rsid w:val="006D1001"/>
    <w:rsid w:val="006D1091"/>
    <w:rsid w:val="006D1B5D"/>
    <w:rsid w:val="006D1ECA"/>
    <w:rsid w:val="006D2163"/>
    <w:rsid w:val="006D2598"/>
    <w:rsid w:val="006D2B2B"/>
    <w:rsid w:val="006D2E90"/>
    <w:rsid w:val="006D3435"/>
    <w:rsid w:val="006D35CE"/>
    <w:rsid w:val="006D3883"/>
    <w:rsid w:val="006D38F4"/>
    <w:rsid w:val="006D3914"/>
    <w:rsid w:val="006D3CEE"/>
    <w:rsid w:val="006D3E7C"/>
    <w:rsid w:val="006D3F87"/>
    <w:rsid w:val="006D418A"/>
    <w:rsid w:val="006D41F1"/>
    <w:rsid w:val="006D47CF"/>
    <w:rsid w:val="006D4965"/>
    <w:rsid w:val="006D4CBF"/>
    <w:rsid w:val="006D4CCF"/>
    <w:rsid w:val="006D4FAA"/>
    <w:rsid w:val="006D51C6"/>
    <w:rsid w:val="006D54FC"/>
    <w:rsid w:val="006D56E9"/>
    <w:rsid w:val="006D59A6"/>
    <w:rsid w:val="006D5BCF"/>
    <w:rsid w:val="006D5C03"/>
    <w:rsid w:val="006D60FE"/>
    <w:rsid w:val="006D61A0"/>
    <w:rsid w:val="006D6985"/>
    <w:rsid w:val="006D698A"/>
    <w:rsid w:val="006D6B05"/>
    <w:rsid w:val="006D6BAB"/>
    <w:rsid w:val="006D6FCC"/>
    <w:rsid w:val="006D700F"/>
    <w:rsid w:val="006D740F"/>
    <w:rsid w:val="006D780B"/>
    <w:rsid w:val="006D793F"/>
    <w:rsid w:val="006D7ACA"/>
    <w:rsid w:val="006D7BA2"/>
    <w:rsid w:val="006D7C49"/>
    <w:rsid w:val="006E00D7"/>
    <w:rsid w:val="006E06E0"/>
    <w:rsid w:val="006E0C27"/>
    <w:rsid w:val="006E0C4B"/>
    <w:rsid w:val="006E113F"/>
    <w:rsid w:val="006E11BF"/>
    <w:rsid w:val="006E1669"/>
    <w:rsid w:val="006E1794"/>
    <w:rsid w:val="006E1903"/>
    <w:rsid w:val="006E19F5"/>
    <w:rsid w:val="006E1B52"/>
    <w:rsid w:val="006E1F02"/>
    <w:rsid w:val="006E1F1C"/>
    <w:rsid w:val="006E1F55"/>
    <w:rsid w:val="006E24A1"/>
    <w:rsid w:val="006E268F"/>
    <w:rsid w:val="006E2B57"/>
    <w:rsid w:val="006E2BBF"/>
    <w:rsid w:val="006E2E58"/>
    <w:rsid w:val="006E2EF1"/>
    <w:rsid w:val="006E33C6"/>
    <w:rsid w:val="006E3459"/>
    <w:rsid w:val="006E356B"/>
    <w:rsid w:val="006E3D30"/>
    <w:rsid w:val="006E4282"/>
    <w:rsid w:val="006E44B6"/>
    <w:rsid w:val="006E473B"/>
    <w:rsid w:val="006E47CE"/>
    <w:rsid w:val="006E4ABA"/>
    <w:rsid w:val="006E4BEC"/>
    <w:rsid w:val="006E4CA9"/>
    <w:rsid w:val="006E4FB6"/>
    <w:rsid w:val="006E53BC"/>
    <w:rsid w:val="006E563A"/>
    <w:rsid w:val="006E573A"/>
    <w:rsid w:val="006E57CF"/>
    <w:rsid w:val="006E5818"/>
    <w:rsid w:val="006E5E2E"/>
    <w:rsid w:val="006E5FE9"/>
    <w:rsid w:val="006E6094"/>
    <w:rsid w:val="006E636D"/>
    <w:rsid w:val="006E6A76"/>
    <w:rsid w:val="006E6AA2"/>
    <w:rsid w:val="006E7015"/>
    <w:rsid w:val="006E70D8"/>
    <w:rsid w:val="006E71EA"/>
    <w:rsid w:val="006E76CE"/>
    <w:rsid w:val="006E776B"/>
    <w:rsid w:val="006E7988"/>
    <w:rsid w:val="006E7CC0"/>
    <w:rsid w:val="006E7D30"/>
    <w:rsid w:val="006E7E0E"/>
    <w:rsid w:val="006E7E3A"/>
    <w:rsid w:val="006F0280"/>
    <w:rsid w:val="006F0297"/>
    <w:rsid w:val="006F02AC"/>
    <w:rsid w:val="006F04B8"/>
    <w:rsid w:val="006F0506"/>
    <w:rsid w:val="006F05D8"/>
    <w:rsid w:val="006F0AB5"/>
    <w:rsid w:val="006F0AD1"/>
    <w:rsid w:val="006F0CD9"/>
    <w:rsid w:val="006F0D92"/>
    <w:rsid w:val="006F0FBF"/>
    <w:rsid w:val="006F1450"/>
    <w:rsid w:val="006F147C"/>
    <w:rsid w:val="006F1AB5"/>
    <w:rsid w:val="006F1D66"/>
    <w:rsid w:val="006F1F71"/>
    <w:rsid w:val="006F2070"/>
    <w:rsid w:val="006F21AE"/>
    <w:rsid w:val="006F230F"/>
    <w:rsid w:val="006F23A6"/>
    <w:rsid w:val="006F24B9"/>
    <w:rsid w:val="006F25F1"/>
    <w:rsid w:val="006F288E"/>
    <w:rsid w:val="006F28C2"/>
    <w:rsid w:val="006F28C3"/>
    <w:rsid w:val="006F2D16"/>
    <w:rsid w:val="006F2E66"/>
    <w:rsid w:val="006F2E85"/>
    <w:rsid w:val="006F2ECF"/>
    <w:rsid w:val="006F2F65"/>
    <w:rsid w:val="006F36C1"/>
    <w:rsid w:val="006F387B"/>
    <w:rsid w:val="006F38A9"/>
    <w:rsid w:val="006F3AEA"/>
    <w:rsid w:val="006F3D3C"/>
    <w:rsid w:val="006F3DD7"/>
    <w:rsid w:val="006F3FB9"/>
    <w:rsid w:val="006F40C4"/>
    <w:rsid w:val="006F421D"/>
    <w:rsid w:val="006F43F1"/>
    <w:rsid w:val="006F451F"/>
    <w:rsid w:val="006F45ED"/>
    <w:rsid w:val="006F4F9F"/>
    <w:rsid w:val="006F5008"/>
    <w:rsid w:val="006F5067"/>
    <w:rsid w:val="006F568E"/>
    <w:rsid w:val="006F56E5"/>
    <w:rsid w:val="006F5901"/>
    <w:rsid w:val="006F59FA"/>
    <w:rsid w:val="006F5B3C"/>
    <w:rsid w:val="006F5C9E"/>
    <w:rsid w:val="006F5CE4"/>
    <w:rsid w:val="006F5E5C"/>
    <w:rsid w:val="006F6107"/>
    <w:rsid w:val="006F6160"/>
    <w:rsid w:val="006F6485"/>
    <w:rsid w:val="006F672E"/>
    <w:rsid w:val="006F68AB"/>
    <w:rsid w:val="006F69CC"/>
    <w:rsid w:val="006F6B24"/>
    <w:rsid w:val="006F6C03"/>
    <w:rsid w:val="006F6CC8"/>
    <w:rsid w:val="006F6D1E"/>
    <w:rsid w:val="006F6D76"/>
    <w:rsid w:val="006F6E9B"/>
    <w:rsid w:val="006F728C"/>
    <w:rsid w:val="006F73CD"/>
    <w:rsid w:val="006F7683"/>
    <w:rsid w:val="006F7768"/>
    <w:rsid w:val="006F7C78"/>
    <w:rsid w:val="006F7DA0"/>
    <w:rsid w:val="00700047"/>
    <w:rsid w:val="00700902"/>
    <w:rsid w:val="00700C76"/>
    <w:rsid w:val="00700CB8"/>
    <w:rsid w:val="007016AA"/>
    <w:rsid w:val="0070171E"/>
    <w:rsid w:val="007020EF"/>
    <w:rsid w:val="00702272"/>
    <w:rsid w:val="00702484"/>
    <w:rsid w:val="00702645"/>
    <w:rsid w:val="00702673"/>
    <w:rsid w:val="00702873"/>
    <w:rsid w:val="00702C98"/>
    <w:rsid w:val="00703157"/>
    <w:rsid w:val="00703430"/>
    <w:rsid w:val="007036EF"/>
    <w:rsid w:val="0070397E"/>
    <w:rsid w:val="00703A96"/>
    <w:rsid w:val="00703B4A"/>
    <w:rsid w:val="00703CCB"/>
    <w:rsid w:val="00703F91"/>
    <w:rsid w:val="00703FC9"/>
    <w:rsid w:val="00704536"/>
    <w:rsid w:val="00704B11"/>
    <w:rsid w:val="00704B74"/>
    <w:rsid w:val="00704C19"/>
    <w:rsid w:val="00704E6E"/>
    <w:rsid w:val="00705183"/>
    <w:rsid w:val="007053C2"/>
    <w:rsid w:val="00705945"/>
    <w:rsid w:val="00705D6C"/>
    <w:rsid w:val="00705E32"/>
    <w:rsid w:val="00706219"/>
    <w:rsid w:val="00706242"/>
    <w:rsid w:val="00706615"/>
    <w:rsid w:val="0070676D"/>
    <w:rsid w:val="00706D3C"/>
    <w:rsid w:val="00706F65"/>
    <w:rsid w:val="007071A1"/>
    <w:rsid w:val="00707555"/>
    <w:rsid w:val="00707813"/>
    <w:rsid w:val="00707A6C"/>
    <w:rsid w:val="00707D17"/>
    <w:rsid w:val="00707DAC"/>
    <w:rsid w:val="00710085"/>
    <w:rsid w:val="007101A7"/>
    <w:rsid w:val="00710616"/>
    <w:rsid w:val="00710A8E"/>
    <w:rsid w:val="00710B03"/>
    <w:rsid w:val="00710B99"/>
    <w:rsid w:val="00711099"/>
    <w:rsid w:val="007114C2"/>
    <w:rsid w:val="0071181E"/>
    <w:rsid w:val="00711AD9"/>
    <w:rsid w:val="00711CB4"/>
    <w:rsid w:val="00711FE1"/>
    <w:rsid w:val="007122EE"/>
    <w:rsid w:val="007123B1"/>
    <w:rsid w:val="00712420"/>
    <w:rsid w:val="007131D3"/>
    <w:rsid w:val="007132C0"/>
    <w:rsid w:val="0071388B"/>
    <w:rsid w:val="007138B5"/>
    <w:rsid w:val="00713BFA"/>
    <w:rsid w:val="00713CDC"/>
    <w:rsid w:val="00713FA9"/>
    <w:rsid w:val="00713FB9"/>
    <w:rsid w:val="007140AD"/>
    <w:rsid w:val="007140D7"/>
    <w:rsid w:val="00714196"/>
    <w:rsid w:val="00714287"/>
    <w:rsid w:val="00714520"/>
    <w:rsid w:val="0071487E"/>
    <w:rsid w:val="0071490C"/>
    <w:rsid w:val="00714914"/>
    <w:rsid w:val="00714979"/>
    <w:rsid w:val="00714A88"/>
    <w:rsid w:val="00714B2C"/>
    <w:rsid w:val="00714FDF"/>
    <w:rsid w:val="0071518F"/>
    <w:rsid w:val="00715202"/>
    <w:rsid w:val="007157F2"/>
    <w:rsid w:val="00715968"/>
    <w:rsid w:val="00715E18"/>
    <w:rsid w:val="00715E89"/>
    <w:rsid w:val="00715F7C"/>
    <w:rsid w:val="007162EE"/>
    <w:rsid w:val="00716547"/>
    <w:rsid w:val="0071661E"/>
    <w:rsid w:val="00716CD5"/>
    <w:rsid w:val="00716D5C"/>
    <w:rsid w:val="00716D74"/>
    <w:rsid w:val="00716F00"/>
    <w:rsid w:val="00716FEF"/>
    <w:rsid w:val="00717186"/>
    <w:rsid w:val="0071718E"/>
    <w:rsid w:val="007177D9"/>
    <w:rsid w:val="00717C08"/>
    <w:rsid w:val="00717D05"/>
    <w:rsid w:val="00720192"/>
    <w:rsid w:val="007203B4"/>
    <w:rsid w:val="00720609"/>
    <w:rsid w:val="0072061E"/>
    <w:rsid w:val="00720889"/>
    <w:rsid w:val="00720957"/>
    <w:rsid w:val="00720AD7"/>
    <w:rsid w:val="00720B9A"/>
    <w:rsid w:val="00721096"/>
    <w:rsid w:val="007217B9"/>
    <w:rsid w:val="00721A5E"/>
    <w:rsid w:val="00721B74"/>
    <w:rsid w:val="00721CE7"/>
    <w:rsid w:val="00721F5B"/>
    <w:rsid w:val="007220FC"/>
    <w:rsid w:val="007223A7"/>
    <w:rsid w:val="0072254A"/>
    <w:rsid w:val="007227C7"/>
    <w:rsid w:val="00722DE9"/>
    <w:rsid w:val="00722FC6"/>
    <w:rsid w:val="00723037"/>
    <w:rsid w:val="007231FB"/>
    <w:rsid w:val="007232E6"/>
    <w:rsid w:val="00723573"/>
    <w:rsid w:val="007237D3"/>
    <w:rsid w:val="00723F13"/>
    <w:rsid w:val="007242A6"/>
    <w:rsid w:val="007242B9"/>
    <w:rsid w:val="00724366"/>
    <w:rsid w:val="007246BA"/>
    <w:rsid w:val="0072476F"/>
    <w:rsid w:val="00724DB3"/>
    <w:rsid w:val="00724DEC"/>
    <w:rsid w:val="00725096"/>
    <w:rsid w:val="00725937"/>
    <w:rsid w:val="00725D05"/>
    <w:rsid w:val="00725FCE"/>
    <w:rsid w:val="00726445"/>
    <w:rsid w:val="00726641"/>
    <w:rsid w:val="00726708"/>
    <w:rsid w:val="00726B4D"/>
    <w:rsid w:val="00726FBE"/>
    <w:rsid w:val="0072714A"/>
    <w:rsid w:val="0072724D"/>
    <w:rsid w:val="007273EE"/>
    <w:rsid w:val="0072743D"/>
    <w:rsid w:val="00727620"/>
    <w:rsid w:val="007276A8"/>
    <w:rsid w:val="007276C2"/>
    <w:rsid w:val="00727963"/>
    <w:rsid w:val="0072797F"/>
    <w:rsid w:val="00727AB2"/>
    <w:rsid w:val="007306AE"/>
    <w:rsid w:val="007306E0"/>
    <w:rsid w:val="007307C0"/>
    <w:rsid w:val="00730AC7"/>
    <w:rsid w:val="00730B53"/>
    <w:rsid w:val="007310E6"/>
    <w:rsid w:val="0073115B"/>
    <w:rsid w:val="00731168"/>
    <w:rsid w:val="00731236"/>
    <w:rsid w:val="00731680"/>
    <w:rsid w:val="007317E9"/>
    <w:rsid w:val="00731898"/>
    <w:rsid w:val="00731A27"/>
    <w:rsid w:val="00731DC0"/>
    <w:rsid w:val="00731DC2"/>
    <w:rsid w:val="00731DCB"/>
    <w:rsid w:val="00731FD3"/>
    <w:rsid w:val="007326F0"/>
    <w:rsid w:val="007327B0"/>
    <w:rsid w:val="007327C9"/>
    <w:rsid w:val="007327F6"/>
    <w:rsid w:val="00732CC9"/>
    <w:rsid w:val="00732FD4"/>
    <w:rsid w:val="0073337F"/>
    <w:rsid w:val="007333B2"/>
    <w:rsid w:val="0073341F"/>
    <w:rsid w:val="0073346B"/>
    <w:rsid w:val="0073350C"/>
    <w:rsid w:val="007338D9"/>
    <w:rsid w:val="00733920"/>
    <w:rsid w:val="007339F3"/>
    <w:rsid w:val="00733A83"/>
    <w:rsid w:val="00733C04"/>
    <w:rsid w:val="007347AB"/>
    <w:rsid w:val="00734A3F"/>
    <w:rsid w:val="00734A81"/>
    <w:rsid w:val="00734C54"/>
    <w:rsid w:val="00734E82"/>
    <w:rsid w:val="00735396"/>
    <w:rsid w:val="00735495"/>
    <w:rsid w:val="007357E2"/>
    <w:rsid w:val="00735A94"/>
    <w:rsid w:val="00735C78"/>
    <w:rsid w:val="00735D12"/>
    <w:rsid w:val="00735D61"/>
    <w:rsid w:val="0073614D"/>
    <w:rsid w:val="0073628B"/>
    <w:rsid w:val="007362DB"/>
    <w:rsid w:val="0073640C"/>
    <w:rsid w:val="00736485"/>
    <w:rsid w:val="0073648A"/>
    <w:rsid w:val="007365F0"/>
    <w:rsid w:val="0073674E"/>
    <w:rsid w:val="00736783"/>
    <w:rsid w:val="007368E4"/>
    <w:rsid w:val="00736900"/>
    <w:rsid w:val="00736A9D"/>
    <w:rsid w:val="00736C53"/>
    <w:rsid w:val="00736E18"/>
    <w:rsid w:val="00737B34"/>
    <w:rsid w:val="00737DB1"/>
    <w:rsid w:val="007402FB"/>
    <w:rsid w:val="00740396"/>
    <w:rsid w:val="00740570"/>
    <w:rsid w:val="007406F6"/>
    <w:rsid w:val="00740915"/>
    <w:rsid w:val="00740B8E"/>
    <w:rsid w:val="00740C8B"/>
    <w:rsid w:val="00740CA4"/>
    <w:rsid w:val="00740D6B"/>
    <w:rsid w:val="00740DCF"/>
    <w:rsid w:val="00740E50"/>
    <w:rsid w:val="00740E94"/>
    <w:rsid w:val="00740F97"/>
    <w:rsid w:val="00740FD0"/>
    <w:rsid w:val="007411EC"/>
    <w:rsid w:val="007412F6"/>
    <w:rsid w:val="00741689"/>
    <w:rsid w:val="00741B3B"/>
    <w:rsid w:val="00741BF1"/>
    <w:rsid w:val="00741F60"/>
    <w:rsid w:val="00742423"/>
    <w:rsid w:val="00742573"/>
    <w:rsid w:val="00742A09"/>
    <w:rsid w:val="00742A4B"/>
    <w:rsid w:val="007430C8"/>
    <w:rsid w:val="0074316C"/>
    <w:rsid w:val="0074316D"/>
    <w:rsid w:val="0074329C"/>
    <w:rsid w:val="00743319"/>
    <w:rsid w:val="00743555"/>
    <w:rsid w:val="00743B19"/>
    <w:rsid w:val="00743CAD"/>
    <w:rsid w:val="00744032"/>
    <w:rsid w:val="00744199"/>
    <w:rsid w:val="007445C8"/>
    <w:rsid w:val="0074477B"/>
    <w:rsid w:val="007449D5"/>
    <w:rsid w:val="00744B97"/>
    <w:rsid w:val="00744D45"/>
    <w:rsid w:val="00744E78"/>
    <w:rsid w:val="00745112"/>
    <w:rsid w:val="00745352"/>
    <w:rsid w:val="00745527"/>
    <w:rsid w:val="00745804"/>
    <w:rsid w:val="0074584A"/>
    <w:rsid w:val="00745967"/>
    <w:rsid w:val="00745A94"/>
    <w:rsid w:val="00745B45"/>
    <w:rsid w:val="00745BB8"/>
    <w:rsid w:val="00745D9D"/>
    <w:rsid w:val="00745E63"/>
    <w:rsid w:val="0074600F"/>
    <w:rsid w:val="007460DC"/>
    <w:rsid w:val="007464BA"/>
    <w:rsid w:val="00746731"/>
    <w:rsid w:val="007469E9"/>
    <w:rsid w:val="00746B7A"/>
    <w:rsid w:val="00747092"/>
    <w:rsid w:val="007472F6"/>
    <w:rsid w:val="0074742D"/>
    <w:rsid w:val="007476B8"/>
    <w:rsid w:val="007478A4"/>
    <w:rsid w:val="00747A21"/>
    <w:rsid w:val="00747F0C"/>
    <w:rsid w:val="00750101"/>
    <w:rsid w:val="00750468"/>
    <w:rsid w:val="0075088C"/>
    <w:rsid w:val="00750CED"/>
    <w:rsid w:val="0075124C"/>
    <w:rsid w:val="0075129F"/>
    <w:rsid w:val="007514A4"/>
    <w:rsid w:val="007515CD"/>
    <w:rsid w:val="00751B78"/>
    <w:rsid w:val="00751B83"/>
    <w:rsid w:val="00751D8D"/>
    <w:rsid w:val="007521BA"/>
    <w:rsid w:val="0075240A"/>
    <w:rsid w:val="00752520"/>
    <w:rsid w:val="007528AB"/>
    <w:rsid w:val="00752CB9"/>
    <w:rsid w:val="00752E8E"/>
    <w:rsid w:val="00752F6B"/>
    <w:rsid w:val="00753084"/>
    <w:rsid w:val="00753092"/>
    <w:rsid w:val="00753680"/>
    <w:rsid w:val="00753BEA"/>
    <w:rsid w:val="00753E4D"/>
    <w:rsid w:val="00754005"/>
    <w:rsid w:val="00754384"/>
    <w:rsid w:val="007543AA"/>
    <w:rsid w:val="00754978"/>
    <w:rsid w:val="00754983"/>
    <w:rsid w:val="00754B37"/>
    <w:rsid w:val="007550E3"/>
    <w:rsid w:val="0075546A"/>
    <w:rsid w:val="007555E5"/>
    <w:rsid w:val="0075560D"/>
    <w:rsid w:val="007557BE"/>
    <w:rsid w:val="00756398"/>
    <w:rsid w:val="00756445"/>
    <w:rsid w:val="00756489"/>
    <w:rsid w:val="007566BA"/>
    <w:rsid w:val="007568DD"/>
    <w:rsid w:val="00756EEB"/>
    <w:rsid w:val="00757058"/>
    <w:rsid w:val="007571C9"/>
    <w:rsid w:val="0075721F"/>
    <w:rsid w:val="007572F2"/>
    <w:rsid w:val="00757356"/>
    <w:rsid w:val="00757418"/>
    <w:rsid w:val="00757891"/>
    <w:rsid w:val="00757926"/>
    <w:rsid w:val="00757BC7"/>
    <w:rsid w:val="00757CB1"/>
    <w:rsid w:val="00760087"/>
    <w:rsid w:val="007602B3"/>
    <w:rsid w:val="007603B0"/>
    <w:rsid w:val="007603FE"/>
    <w:rsid w:val="00760435"/>
    <w:rsid w:val="00760530"/>
    <w:rsid w:val="00760800"/>
    <w:rsid w:val="00760855"/>
    <w:rsid w:val="00760981"/>
    <w:rsid w:val="00760A3D"/>
    <w:rsid w:val="00760ADE"/>
    <w:rsid w:val="00760D72"/>
    <w:rsid w:val="00760F63"/>
    <w:rsid w:val="007610C5"/>
    <w:rsid w:val="007611B3"/>
    <w:rsid w:val="007614CA"/>
    <w:rsid w:val="007615D4"/>
    <w:rsid w:val="007617C4"/>
    <w:rsid w:val="007617FC"/>
    <w:rsid w:val="00761E4A"/>
    <w:rsid w:val="007620C0"/>
    <w:rsid w:val="0076235A"/>
    <w:rsid w:val="00762558"/>
    <w:rsid w:val="0076259B"/>
    <w:rsid w:val="00762758"/>
    <w:rsid w:val="00762BF4"/>
    <w:rsid w:val="00762F86"/>
    <w:rsid w:val="00763324"/>
    <w:rsid w:val="00763566"/>
    <w:rsid w:val="00763791"/>
    <w:rsid w:val="0076397B"/>
    <w:rsid w:val="00763A90"/>
    <w:rsid w:val="00763B7A"/>
    <w:rsid w:val="00763C07"/>
    <w:rsid w:val="00763C14"/>
    <w:rsid w:val="00763E3E"/>
    <w:rsid w:val="007641B1"/>
    <w:rsid w:val="00764371"/>
    <w:rsid w:val="0076519D"/>
    <w:rsid w:val="00765341"/>
    <w:rsid w:val="00766069"/>
    <w:rsid w:val="00766130"/>
    <w:rsid w:val="00766480"/>
    <w:rsid w:val="00766497"/>
    <w:rsid w:val="00766893"/>
    <w:rsid w:val="00766A8E"/>
    <w:rsid w:val="00766C88"/>
    <w:rsid w:val="00766EB2"/>
    <w:rsid w:val="00767075"/>
    <w:rsid w:val="007672CE"/>
    <w:rsid w:val="00767441"/>
    <w:rsid w:val="00767881"/>
    <w:rsid w:val="00767951"/>
    <w:rsid w:val="0076796C"/>
    <w:rsid w:val="00767A33"/>
    <w:rsid w:val="00767CAB"/>
    <w:rsid w:val="00767F1E"/>
    <w:rsid w:val="007700AC"/>
    <w:rsid w:val="00770177"/>
    <w:rsid w:val="00770618"/>
    <w:rsid w:val="00770693"/>
    <w:rsid w:val="007708A3"/>
    <w:rsid w:val="00770A39"/>
    <w:rsid w:val="00770EEC"/>
    <w:rsid w:val="00770FB1"/>
    <w:rsid w:val="00771068"/>
    <w:rsid w:val="0077130E"/>
    <w:rsid w:val="0077136F"/>
    <w:rsid w:val="0077162F"/>
    <w:rsid w:val="007716F1"/>
    <w:rsid w:val="00771726"/>
    <w:rsid w:val="00771B0B"/>
    <w:rsid w:val="00772216"/>
    <w:rsid w:val="00772F24"/>
    <w:rsid w:val="00772FBB"/>
    <w:rsid w:val="007731DE"/>
    <w:rsid w:val="007732DB"/>
    <w:rsid w:val="007734D3"/>
    <w:rsid w:val="007735AB"/>
    <w:rsid w:val="0077369A"/>
    <w:rsid w:val="007736FA"/>
    <w:rsid w:val="00773797"/>
    <w:rsid w:val="00773A66"/>
    <w:rsid w:val="00773BFB"/>
    <w:rsid w:val="00773E8F"/>
    <w:rsid w:val="00773F6C"/>
    <w:rsid w:val="007743A8"/>
    <w:rsid w:val="007746D8"/>
    <w:rsid w:val="00774788"/>
    <w:rsid w:val="007748EA"/>
    <w:rsid w:val="00774ACB"/>
    <w:rsid w:val="00774AF4"/>
    <w:rsid w:val="00774BA5"/>
    <w:rsid w:val="00774EDC"/>
    <w:rsid w:val="00775108"/>
    <w:rsid w:val="0077524C"/>
    <w:rsid w:val="00775575"/>
    <w:rsid w:val="007755B2"/>
    <w:rsid w:val="00775630"/>
    <w:rsid w:val="007758E8"/>
    <w:rsid w:val="00775A28"/>
    <w:rsid w:val="00775DDF"/>
    <w:rsid w:val="0077628E"/>
    <w:rsid w:val="007763C8"/>
    <w:rsid w:val="00776457"/>
    <w:rsid w:val="007766A2"/>
    <w:rsid w:val="00776923"/>
    <w:rsid w:val="00776C65"/>
    <w:rsid w:val="00776D8B"/>
    <w:rsid w:val="00776EC8"/>
    <w:rsid w:val="00777020"/>
    <w:rsid w:val="00777239"/>
    <w:rsid w:val="00777368"/>
    <w:rsid w:val="007773CD"/>
    <w:rsid w:val="00777424"/>
    <w:rsid w:val="0077749D"/>
    <w:rsid w:val="0077758A"/>
    <w:rsid w:val="0077783D"/>
    <w:rsid w:val="00777855"/>
    <w:rsid w:val="0077797E"/>
    <w:rsid w:val="00777AAF"/>
    <w:rsid w:val="00777AF5"/>
    <w:rsid w:val="007800F5"/>
    <w:rsid w:val="00780352"/>
    <w:rsid w:val="00780A21"/>
    <w:rsid w:val="00780C72"/>
    <w:rsid w:val="00780FE0"/>
    <w:rsid w:val="007810BF"/>
    <w:rsid w:val="00781189"/>
    <w:rsid w:val="007812BC"/>
    <w:rsid w:val="00781405"/>
    <w:rsid w:val="007814B2"/>
    <w:rsid w:val="0078173D"/>
    <w:rsid w:val="00781ACE"/>
    <w:rsid w:val="00781D5E"/>
    <w:rsid w:val="007821CD"/>
    <w:rsid w:val="007823A1"/>
    <w:rsid w:val="007825F7"/>
    <w:rsid w:val="007826EC"/>
    <w:rsid w:val="0078292A"/>
    <w:rsid w:val="00782A64"/>
    <w:rsid w:val="00782C39"/>
    <w:rsid w:val="00782DC7"/>
    <w:rsid w:val="0078348C"/>
    <w:rsid w:val="007838BB"/>
    <w:rsid w:val="00783909"/>
    <w:rsid w:val="00783AB2"/>
    <w:rsid w:val="007840C2"/>
    <w:rsid w:val="007842FB"/>
    <w:rsid w:val="0078451C"/>
    <w:rsid w:val="007845EF"/>
    <w:rsid w:val="00784638"/>
    <w:rsid w:val="007847D2"/>
    <w:rsid w:val="00784833"/>
    <w:rsid w:val="00784B2A"/>
    <w:rsid w:val="00784C12"/>
    <w:rsid w:val="00784E66"/>
    <w:rsid w:val="007853A4"/>
    <w:rsid w:val="00785919"/>
    <w:rsid w:val="00785A96"/>
    <w:rsid w:val="00785C7A"/>
    <w:rsid w:val="00785D11"/>
    <w:rsid w:val="00785D27"/>
    <w:rsid w:val="00785DCC"/>
    <w:rsid w:val="007865A0"/>
    <w:rsid w:val="00786FF1"/>
    <w:rsid w:val="00787295"/>
    <w:rsid w:val="00787335"/>
    <w:rsid w:val="00787A84"/>
    <w:rsid w:val="00787BF6"/>
    <w:rsid w:val="00787EA8"/>
    <w:rsid w:val="00790014"/>
    <w:rsid w:val="007900C1"/>
    <w:rsid w:val="0079020F"/>
    <w:rsid w:val="00790330"/>
    <w:rsid w:val="007904BB"/>
    <w:rsid w:val="00790524"/>
    <w:rsid w:val="0079074C"/>
    <w:rsid w:val="00790755"/>
    <w:rsid w:val="00790884"/>
    <w:rsid w:val="007908FC"/>
    <w:rsid w:val="007909FB"/>
    <w:rsid w:val="00790CC0"/>
    <w:rsid w:val="00790D6E"/>
    <w:rsid w:val="00791165"/>
    <w:rsid w:val="00791182"/>
    <w:rsid w:val="007911DC"/>
    <w:rsid w:val="00791555"/>
    <w:rsid w:val="007916B2"/>
    <w:rsid w:val="00791D91"/>
    <w:rsid w:val="00791F1B"/>
    <w:rsid w:val="00791F62"/>
    <w:rsid w:val="00791FDC"/>
    <w:rsid w:val="0079214A"/>
    <w:rsid w:val="007926C1"/>
    <w:rsid w:val="007928BF"/>
    <w:rsid w:val="00792B2C"/>
    <w:rsid w:val="00792B2E"/>
    <w:rsid w:val="00792BBC"/>
    <w:rsid w:val="00793248"/>
    <w:rsid w:val="00793266"/>
    <w:rsid w:val="0079341F"/>
    <w:rsid w:val="00793506"/>
    <w:rsid w:val="00793635"/>
    <w:rsid w:val="007937DC"/>
    <w:rsid w:val="007939AC"/>
    <w:rsid w:val="00793DFB"/>
    <w:rsid w:val="00793E50"/>
    <w:rsid w:val="00793EC6"/>
    <w:rsid w:val="00793FA0"/>
    <w:rsid w:val="007942CE"/>
    <w:rsid w:val="007944B4"/>
    <w:rsid w:val="00794516"/>
    <w:rsid w:val="00794737"/>
    <w:rsid w:val="00794A8C"/>
    <w:rsid w:val="00795099"/>
    <w:rsid w:val="0079527C"/>
    <w:rsid w:val="0079527D"/>
    <w:rsid w:val="00795340"/>
    <w:rsid w:val="00795634"/>
    <w:rsid w:val="0079582D"/>
    <w:rsid w:val="0079594E"/>
    <w:rsid w:val="00795AEA"/>
    <w:rsid w:val="00795B67"/>
    <w:rsid w:val="00795ED6"/>
    <w:rsid w:val="00795F0F"/>
    <w:rsid w:val="0079619C"/>
    <w:rsid w:val="0079639B"/>
    <w:rsid w:val="007968C1"/>
    <w:rsid w:val="00796B0D"/>
    <w:rsid w:val="00796D0F"/>
    <w:rsid w:val="00796D7D"/>
    <w:rsid w:val="00796DA1"/>
    <w:rsid w:val="00797170"/>
    <w:rsid w:val="007972AF"/>
    <w:rsid w:val="00797363"/>
    <w:rsid w:val="00797690"/>
    <w:rsid w:val="00797731"/>
    <w:rsid w:val="00797910"/>
    <w:rsid w:val="00797AC6"/>
    <w:rsid w:val="00797D8E"/>
    <w:rsid w:val="007A0183"/>
    <w:rsid w:val="007A0259"/>
    <w:rsid w:val="007A0266"/>
    <w:rsid w:val="007A03D1"/>
    <w:rsid w:val="007A0497"/>
    <w:rsid w:val="007A07CD"/>
    <w:rsid w:val="007A08E2"/>
    <w:rsid w:val="007A0A4A"/>
    <w:rsid w:val="007A0DED"/>
    <w:rsid w:val="007A1096"/>
    <w:rsid w:val="007A1181"/>
    <w:rsid w:val="007A1341"/>
    <w:rsid w:val="007A162F"/>
    <w:rsid w:val="007A1782"/>
    <w:rsid w:val="007A1D02"/>
    <w:rsid w:val="007A1D67"/>
    <w:rsid w:val="007A1E61"/>
    <w:rsid w:val="007A1F58"/>
    <w:rsid w:val="007A22BC"/>
    <w:rsid w:val="007A2529"/>
    <w:rsid w:val="007A2612"/>
    <w:rsid w:val="007A27D6"/>
    <w:rsid w:val="007A29DC"/>
    <w:rsid w:val="007A2BC7"/>
    <w:rsid w:val="007A2BD7"/>
    <w:rsid w:val="007A2D61"/>
    <w:rsid w:val="007A305E"/>
    <w:rsid w:val="007A34F8"/>
    <w:rsid w:val="007A365F"/>
    <w:rsid w:val="007A36ED"/>
    <w:rsid w:val="007A375F"/>
    <w:rsid w:val="007A3A38"/>
    <w:rsid w:val="007A3D92"/>
    <w:rsid w:val="007A3DD6"/>
    <w:rsid w:val="007A3E8F"/>
    <w:rsid w:val="007A3F82"/>
    <w:rsid w:val="007A4088"/>
    <w:rsid w:val="007A411A"/>
    <w:rsid w:val="007A4509"/>
    <w:rsid w:val="007A4706"/>
    <w:rsid w:val="007A4B53"/>
    <w:rsid w:val="007A5419"/>
    <w:rsid w:val="007A55A4"/>
    <w:rsid w:val="007A5645"/>
    <w:rsid w:val="007A57DE"/>
    <w:rsid w:val="007A5A74"/>
    <w:rsid w:val="007A5AD2"/>
    <w:rsid w:val="007A5AE9"/>
    <w:rsid w:val="007A5CB1"/>
    <w:rsid w:val="007A5D81"/>
    <w:rsid w:val="007A6056"/>
    <w:rsid w:val="007A637A"/>
    <w:rsid w:val="007A67B1"/>
    <w:rsid w:val="007A6842"/>
    <w:rsid w:val="007A6B8B"/>
    <w:rsid w:val="007A6C34"/>
    <w:rsid w:val="007A6CF0"/>
    <w:rsid w:val="007A6E31"/>
    <w:rsid w:val="007A704E"/>
    <w:rsid w:val="007A722A"/>
    <w:rsid w:val="007A7604"/>
    <w:rsid w:val="007A7876"/>
    <w:rsid w:val="007A7A7D"/>
    <w:rsid w:val="007B037E"/>
    <w:rsid w:val="007B046B"/>
    <w:rsid w:val="007B04F4"/>
    <w:rsid w:val="007B0939"/>
    <w:rsid w:val="007B1645"/>
    <w:rsid w:val="007B182E"/>
    <w:rsid w:val="007B1C7D"/>
    <w:rsid w:val="007B1DD9"/>
    <w:rsid w:val="007B2561"/>
    <w:rsid w:val="007B2A06"/>
    <w:rsid w:val="007B2AA3"/>
    <w:rsid w:val="007B2F84"/>
    <w:rsid w:val="007B33AF"/>
    <w:rsid w:val="007B3686"/>
    <w:rsid w:val="007B3F08"/>
    <w:rsid w:val="007B3F7E"/>
    <w:rsid w:val="007B42C2"/>
    <w:rsid w:val="007B4445"/>
    <w:rsid w:val="007B446C"/>
    <w:rsid w:val="007B47B8"/>
    <w:rsid w:val="007B48EF"/>
    <w:rsid w:val="007B4A20"/>
    <w:rsid w:val="007B4AB9"/>
    <w:rsid w:val="007B4B66"/>
    <w:rsid w:val="007B4C9E"/>
    <w:rsid w:val="007B4D1A"/>
    <w:rsid w:val="007B4F5F"/>
    <w:rsid w:val="007B5079"/>
    <w:rsid w:val="007B50C6"/>
    <w:rsid w:val="007B5194"/>
    <w:rsid w:val="007B5386"/>
    <w:rsid w:val="007B55FB"/>
    <w:rsid w:val="007B5688"/>
    <w:rsid w:val="007B571E"/>
    <w:rsid w:val="007B57E4"/>
    <w:rsid w:val="007B59BB"/>
    <w:rsid w:val="007B5B8F"/>
    <w:rsid w:val="007B5CE9"/>
    <w:rsid w:val="007B5F76"/>
    <w:rsid w:val="007B5F85"/>
    <w:rsid w:val="007B624A"/>
    <w:rsid w:val="007B62D1"/>
    <w:rsid w:val="007B65C7"/>
    <w:rsid w:val="007B6606"/>
    <w:rsid w:val="007B6666"/>
    <w:rsid w:val="007B6AE8"/>
    <w:rsid w:val="007B6AF0"/>
    <w:rsid w:val="007B6AFF"/>
    <w:rsid w:val="007B6D42"/>
    <w:rsid w:val="007B6EF8"/>
    <w:rsid w:val="007B724D"/>
    <w:rsid w:val="007B725F"/>
    <w:rsid w:val="007B74EF"/>
    <w:rsid w:val="007B74FB"/>
    <w:rsid w:val="007B7808"/>
    <w:rsid w:val="007B7951"/>
    <w:rsid w:val="007B7B08"/>
    <w:rsid w:val="007B7E1A"/>
    <w:rsid w:val="007B7E5B"/>
    <w:rsid w:val="007B7EDD"/>
    <w:rsid w:val="007C020F"/>
    <w:rsid w:val="007C0237"/>
    <w:rsid w:val="007C0B15"/>
    <w:rsid w:val="007C0B27"/>
    <w:rsid w:val="007C0CE7"/>
    <w:rsid w:val="007C0D2C"/>
    <w:rsid w:val="007C0D66"/>
    <w:rsid w:val="007C11CC"/>
    <w:rsid w:val="007C137B"/>
    <w:rsid w:val="007C1A77"/>
    <w:rsid w:val="007C1E72"/>
    <w:rsid w:val="007C1F5D"/>
    <w:rsid w:val="007C1F64"/>
    <w:rsid w:val="007C22D7"/>
    <w:rsid w:val="007C2345"/>
    <w:rsid w:val="007C2693"/>
    <w:rsid w:val="007C2924"/>
    <w:rsid w:val="007C2B22"/>
    <w:rsid w:val="007C2BC5"/>
    <w:rsid w:val="007C2C6A"/>
    <w:rsid w:val="007C2F24"/>
    <w:rsid w:val="007C2FD7"/>
    <w:rsid w:val="007C3086"/>
    <w:rsid w:val="007C3218"/>
    <w:rsid w:val="007C328C"/>
    <w:rsid w:val="007C3324"/>
    <w:rsid w:val="007C3507"/>
    <w:rsid w:val="007C35CA"/>
    <w:rsid w:val="007C378F"/>
    <w:rsid w:val="007C38C0"/>
    <w:rsid w:val="007C3901"/>
    <w:rsid w:val="007C39CD"/>
    <w:rsid w:val="007C3DAF"/>
    <w:rsid w:val="007C3F60"/>
    <w:rsid w:val="007C4111"/>
    <w:rsid w:val="007C45F8"/>
    <w:rsid w:val="007C4604"/>
    <w:rsid w:val="007C4960"/>
    <w:rsid w:val="007C4A04"/>
    <w:rsid w:val="007C4A74"/>
    <w:rsid w:val="007C4A7B"/>
    <w:rsid w:val="007C4D17"/>
    <w:rsid w:val="007C4E8C"/>
    <w:rsid w:val="007C567E"/>
    <w:rsid w:val="007C56D2"/>
    <w:rsid w:val="007C606C"/>
    <w:rsid w:val="007C6195"/>
    <w:rsid w:val="007C6252"/>
    <w:rsid w:val="007C6377"/>
    <w:rsid w:val="007C677A"/>
    <w:rsid w:val="007C6878"/>
    <w:rsid w:val="007C6BF8"/>
    <w:rsid w:val="007C6D66"/>
    <w:rsid w:val="007C6D7E"/>
    <w:rsid w:val="007C708A"/>
    <w:rsid w:val="007C723D"/>
    <w:rsid w:val="007C72A0"/>
    <w:rsid w:val="007C751D"/>
    <w:rsid w:val="007C7595"/>
    <w:rsid w:val="007C7694"/>
    <w:rsid w:val="007C7ACF"/>
    <w:rsid w:val="007C7DF2"/>
    <w:rsid w:val="007C7FF9"/>
    <w:rsid w:val="007D0640"/>
    <w:rsid w:val="007D0B69"/>
    <w:rsid w:val="007D0D63"/>
    <w:rsid w:val="007D0FAD"/>
    <w:rsid w:val="007D10D3"/>
    <w:rsid w:val="007D12D9"/>
    <w:rsid w:val="007D1597"/>
    <w:rsid w:val="007D1658"/>
    <w:rsid w:val="007D16A0"/>
    <w:rsid w:val="007D18EC"/>
    <w:rsid w:val="007D1A92"/>
    <w:rsid w:val="007D1AC4"/>
    <w:rsid w:val="007D1AFC"/>
    <w:rsid w:val="007D1B3B"/>
    <w:rsid w:val="007D1C06"/>
    <w:rsid w:val="007D1E0E"/>
    <w:rsid w:val="007D1E8E"/>
    <w:rsid w:val="007D2259"/>
    <w:rsid w:val="007D2C0C"/>
    <w:rsid w:val="007D2EC2"/>
    <w:rsid w:val="007D2F38"/>
    <w:rsid w:val="007D3402"/>
    <w:rsid w:val="007D3567"/>
    <w:rsid w:val="007D36F6"/>
    <w:rsid w:val="007D3A1D"/>
    <w:rsid w:val="007D3C00"/>
    <w:rsid w:val="007D3CFD"/>
    <w:rsid w:val="007D409D"/>
    <w:rsid w:val="007D4146"/>
    <w:rsid w:val="007D41FD"/>
    <w:rsid w:val="007D46D2"/>
    <w:rsid w:val="007D4856"/>
    <w:rsid w:val="007D4C77"/>
    <w:rsid w:val="007D4F58"/>
    <w:rsid w:val="007D510E"/>
    <w:rsid w:val="007D528C"/>
    <w:rsid w:val="007D5786"/>
    <w:rsid w:val="007D59DE"/>
    <w:rsid w:val="007D6208"/>
    <w:rsid w:val="007D62D5"/>
    <w:rsid w:val="007D62E4"/>
    <w:rsid w:val="007D67A7"/>
    <w:rsid w:val="007D68AC"/>
    <w:rsid w:val="007D69A8"/>
    <w:rsid w:val="007D6ED0"/>
    <w:rsid w:val="007D6EEC"/>
    <w:rsid w:val="007D7309"/>
    <w:rsid w:val="007D7AC9"/>
    <w:rsid w:val="007D7B4D"/>
    <w:rsid w:val="007D7F2C"/>
    <w:rsid w:val="007D7F4B"/>
    <w:rsid w:val="007E0017"/>
    <w:rsid w:val="007E0107"/>
    <w:rsid w:val="007E0362"/>
    <w:rsid w:val="007E0447"/>
    <w:rsid w:val="007E0748"/>
    <w:rsid w:val="007E07F8"/>
    <w:rsid w:val="007E086D"/>
    <w:rsid w:val="007E0BC6"/>
    <w:rsid w:val="007E0C34"/>
    <w:rsid w:val="007E0CB5"/>
    <w:rsid w:val="007E0D0D"/>
    <w:rsid w:val="007E10C9"/>
    <w:rsid w:val="007E1107"/>
    <w:rsid w:val="007E136D"/>
    <w:rsid w:val="007E13C7"/>
    <w:rsid w:val="007E1496"/>
    <w:rsid w:val="007E14CF"/>
    <w:rsid w:val="007E1765"/>
    <w:rsid w:val="007E1BE0"/>
    <w:rsid w:val="007E1D23"/>
    <w:rsid w:val="007E1E1B"/>
    <w:rsid w:val="007E1F47"/>
    <w:rsid w:val="007E2097"/>
    <w:rsid w:val="007E228C"/>
    <w:rsid w:val="007E2CA8"/>
    <w:rsid w:val="007E2D17"/>
    <w:rsid w:val="007E2E6E"/>
    <w:rsid w:val="007E2EE4"/>
    <w:rsid w:val="007E2FCA"/>
    <w:rsid w:val="007E3699"/>
    <w:rsid w:val="007E3D67"/>
    <w:rsid w:val="007E4593"/>
    <w:rsid w:val="007E45B4"/>
    <w:rsid w:val="007E4657"/>
    <w:rsid w:val="007E491E"/>
    <w:rsid w:val="007E4C28"/>
    <w:rsid w:val="007E4C9C"/>
    <w:rsid w:val="007E4F06"/>
    <w:rsid w:val="007E4F0B"/>
    <w:rsid w:val="007E50B1"/>
    <w:rsid w:val="007E50D1"/>
    <w:rsid w:val="007E5203"/>
    <w:rsid w:val="007E5406"/>
    <w:rsid w:val="007E55E2"/>
    <w:rsid w:val="007E568C"/>
    <w:rsid w:val="007E5840"/>
    <w:rsid w:val="007E58F7"/>
    <w:rsid w:val="007E5AC0"/>
    <w:rsid w:val="007E5B64"/>
    <w:rsid w:val="007E5C14"/>
    <w:rsid w:val="007E5C3D"/>
    <w:rsid w:val="007E5D36"/>
    <w:rsid w:val="007E5D98"/>
    <w:rsid w:val="007E616D"/>
    <w:rsid w:val="007E656D"/>
    <w:rsid w:val="007E6681"/>
    <w:rsid w:val="007E6901"/>
    <w:rsid w:val="007E69DD"/>
    <w:rsid w:val="007E706A"/>
    <w:rsid w:val="007E7226"/>
    <w:rsid w:val="007E72EC"/>
    <w:rsid w:val="007E75BA"/>
    <w:rsid w:val="007E793B"/>
    <w:rsid w:val="007E79F5"/>
    <w:rsid w:val="007E7A89"/>
    <w:rsid w:val="007E7D05"/>
    <w:rsid w:val="007E7D2A"/>
    <w:rsid w:val="007E7ED8"/>
    <w:rsid w:val="007F005E"/>
    <w:rsid w:val="007F0125"/>
    <w:rsid w:val="007F0161"/>
    <w:rsid w:val="007F02AB"/>
    <w:rsid w:val="007F02BD"/>
    <w:rsid w:val="007F0623"/>
    <w:rsid w:val="007F08B0"/>
    <w:rsid w:val="007F095B"/>
    <w:rsid w:val="007F0A4A"/>
    <w:rsid w:val="007F0FC4"/>
    <w:rsid w:val="007F1A89"/>
    <w:rsid w:val="007F1C47"/>
    <w:rsid w:val="007F1CBE"/>
    <w:rsid w:val="007F20BA"/>
    <w:rsid w:val="007F2433"/>
    <w:rsid w:val="007F2453"/>
    <w:rsid w:val="007F24FD"/>
    <w:rsid w:val="007F27A6"/>
    <w:rsid w:val="007F2A4E"/>
    <w:rsid w:val="007F2A55"/>
    <w:rsid w:val="007F2C89"/>
    <w:rsid w:val="007F314D"/>
    <w:rsid w:val="007F37F8"/>
    <w:rsid w:val="007F392E"/>
    <w:rsid w:val="007F3984"/>
    <w:rsid w:val="007F3AC5"/>
    <w:rsid w:val="007F3D3C"/>
    <w:rsid w:val="007F3E58"/>
    <w:rsid w:val="007F4030"/>
    <w:rsid w:val="007F4185"/>
    <w:rsid w:val="007F41C7"/>
    <w:rsid w:val="007F4413"/>
    <w:rsid w:val="007F4415"/>
    <w:rsid w:val="007F47BB"/>
    <w:rsid w:val="007F4A56"/>
    <w:rsid w:val="007F4AFD"/>
    <w:rsid w:val="007F4D33"/>
    <w:rsid w:val="007F5165"/>
    <w:rsid w:val="007F54F6"/>
    <w:rsid w:val="007F5796"/>
    <w:rsid w:val="007F58B6"/>
    <w:rsid w:val="007F5C75"/>
    <w:rsid w:val="007F5D07"/>
    <w:rsid w:val="007F67B3"/>
    <w:rsid w:val="007F6E47"/>
    <w:rsid w:val="007F7239"/>
    <w:rsid w:val="007F728A"/>
    <w:rsid w:val="007F7927"/>
    <w:rsid w:val="007F7ADE"/>
    <w:rsid w:val="007F7FD6"/>
    <w:rsid w:val="007F7FFB"/>
    <w:rsid w:val="008007E2"/>
    <w:rsid w:val="0080084C"/>
    <w:rsid w:val="00800980"/>
    <w:rsid w:val="008009C4"/>
    <w:rsid w:val="0080104F"/>
    <w:rsid w:val="0080108A"/>
    <w:rsid w:val="0080122D"/>
    <w:rsid w:val="008013C8"/>
    <w:rsid w:val="00801B41"/>
    <w:rsid w:val="00801D39"/>
    <w:rsid w:val="00801FA4"/>
    <w:rsid w:val="0080210D"/>
    <w:rsid w:val="00802854"/>
    <w:rsid w:val="00802965"/>
    <w:rsid w:val="00802F67"/>
    <w:rsid w:val="00802F7F"/>
    <w:rsid w:val="00803196"/>
    <w:rsid w:val="0080342B"/>
    <w:rsid w:val="00803907"/>
    <w:rsid w:val="00803A96"/>
    <w:rsid w:val="00803CFA"/>
    <w:rsid w:val="00803D6F"/>
    <w:rsid w:val="00803DAE"/>
    <w:rsid w:val="00804154"/>
    <w:rsid w:val="00804179"/>
    <w:rsid w:val="0080465F"/>
    <w:rsid w:val="00804697"/>
    <w:rsid w:val="00804BC9"/>
    <w:rsid w:val="00804D86"/>
    <w:rsid w:val="00804E96"/>
    <w:rsid w:val="0080506F"/>
    <w:rsid w:val="0080516C"/>
    <w:rsid w:val="008053B0"/>
    <w:rsid w:val="00805468"/>
    <w:rsid w:val="008055A0"/>
    <w:rsid w:val="008055C4"/>
    <w:rsid w:val="00805665"/>
    <w:rsid w:val="00805861"/>
    <w:rsid w:val="00805A37"/>
    <w:rsid w:val="00805C9A"/>
    <w:rsid w:val="00805DA4"/>
    <w:rsid w:val="0080633E"/>
    <w:rsid w:val="008063F2"/>
    <w:rsid w:val="008063FC"/>
    <w:rsid w:val="00806663"/>
    <w:rsid w:val="00806ADF"/>
    <w:rsid w:val="00806C17"/>
    <w:rsid w:val="00806F9F"/>
    <w:rsid w:val="00807286"/>
    <w:rsid w:val="008074F3"/>
    <w:rsid w:val="00807508"/>
    <w:rsid w:val="008075DD"/>
    <w:rsid w:val="00807798"/>
    <w:rsid w:val="00807884"/>
    <w:rsid w:val="00807CFB"/>
    <w:rsid w:val="00807EF4"/>
    <w:rsid w:val="0081024F"/>
    <w:rsid w:val="008102B5"/>
    <w:rsid w:val="0081071C"/>
    <w:rsid w:val="00810AB6"/>
    <w:rsid w:val="00810BEE"/>
    <w:rsid w:val="0081102A"/>
    <w:rsid w:val="0081103F"/>
    <w:rsid w:val="00811111"/>
    <w:rsid w:val="008111B6"/>
    <w:rsid w:val="00811258"/>
    <w:rsid w:val="0081131E"/>
    <w:rsid w:val="0081155B"/>
    <w:rsid w:val="0081157D"/>
    <w:rsid w:val="008117DB"/>
    <w:rsid w:val="00811A21"/>
    <w:rsid w:val="00811ABA"/>
    <w:rsid w:val="00811DA9"/>
    <w:rsid w:val="00811F99"/>
    <w:rsid w:val="00811FD1"/>
    <w:rsid w:val="008122EE"/>
    <w:rsid w:val="008123A3"/>
    <w:rsid w:val="008125D1"/>
    <w:rsid w:val="008128C2"/>
    <w:rsid w:val="00812D53"/>
    <w:rsid w:val="00812DEF"/>
    <w:rsid w:val="0081309E"/>
    <w:rsid w:val="00813208"/>
    <w:rsid w:val="008135F4"/>
    <w:rsid w:val="00813AD2"/>
    <w:rsid w:val="00813CA2"/>
    <w:rsid w:val="00814228"/>
    <w:rsid w:val="008142DC"/>
    <w:rsid w:val="00814368"/>
    <w:rsid w:val="00814857"/>
    <w:rsid w:val="0081510E"/>
    <w:rsid w:val="0081523B"/>
    <w:rsid w:val="0081527E"/>
    <w:rsid w:val="00815419"/>
    <w:rsid w:val="00815628"/>
    <w:rsid w:val="0081586F"/>
    <w:rsid w:val="00815900"/>
    <w:rsid w:val="0081590A"/>
    <w:rsid w:val="00815CD7"/>
    <w:rsid w:val="00816172"/>
    <w:rsid w:val="00816238"/>
    <w:rsid w:val="00816292"/>
    <w:rsid w:val="008163EE"/>
    <w:rsid w:val="00816717"/>
    <w:rsid w:val="008168DD"/>
    <w:rsid w:val="008169BB"/>
    <w:rsid w:val="008169F1"/>
    <w:rsid w:val="00816A7B"/>
    <w:rsid w:val="00816A8C"/>
    <w:rsid w:val="00816B49"/>
    <w:rsid w:val="00816E3B"/>
    <w:rsid w:val="00816FAF"/>
    <w:rsid w:val="00817619"/>
    <w:rsid w:val="00817807"/>
    <w:rsid w:val="00817A64"/>
    <w:rsid w:val="00817A84"/>
    <w:rsid w:val="00817AAF"/>
    <w:rsid w:val="00817D38"/>
    <w:rsid w:val="00817FE5"/>
    <w:rsid w:val="008201D1"/>
    <w:rsid w:val="008204C1"/>
    <w:rsid w:val="008206B9"/>
    <w:rsid w:val="0082086E"/>
    <w:rsid w:val="00820981"/>
    <w:rsid w:val="00820D40"/>
    <w:rsid w:val="00821193"/>
    <w:rsid w:val="008215F0"/>
    <w:rsid w:val="00821674"/>
    <w:rsid w:val="0082183F"/>
    <w:rsid w:val="00821883"/>
    <w:rsid w:val="00821D33"/>
    <w:rsid w:val="00822031"/>
    <w:rsid w:val="008220E4"/>
    <w:rsid w:val="00822776"/>
    <w:rsid w:val="00822E39"/>
    <w:rsid w:val="00822F5E"/>
    <w:rsid w:val="008237A3"/>
    <w:rsid w:val="00823815"/>
    <w:rsid w:val="00823B07"/>
    <w:rsid w:val="00823B6C"/>
    <w:rsid w:val="00823EE0"/>
    <w:rsid w:val="00823F69"/>
    <w:rsid w:val="00824046"/>
    <w:rsid w:val="00824106"/>
    <w:rsid w:val="00824511"/>
    <w:rsid w:val="0082463B"/>
    <w:rsid w:val="008247FA"/>
    <w:rsid w:val="00824A40"/>
    <w:rsid w:val="00824B2B"/>
    <w:rsid w:val="00824B53"/>
    <w:rsid w:val="00824D5A"/>
    <w:rsid w:val="00824DD0"/>
    <w:rsid w:val="00824F85"/>
    <w:rsid w:val="00825182"/>
    <w:rsid w:val="008253D5"/>
    <w:rsid w:val="0082543A"/>
    <w:rsid w:val="008254F7"/>
    <w:rsid w:val="008256EF"/>
    <w:rsid w:val="00825A3D"/>
    <w:rsid w:val="00825C81"/>
    <w:rsid w:val="0082612D"/>
    <w:rsid w:val="0082615E"/>
    <w:rsid w:val="00826190"/>
    <w:rsid w:val="00826699"/>
    <w:rsid w:val="008267CA"/>
    <w:rsid w:val="00826807"/>
    <w:rsid w:val="008268E8"/>
    <w:rsid w:val="00826B25"/>
    <w:rsid w:val="00826B29"/>
    <w:rsid w:val="00826B44"/>
    <w:rsid w:val="00826D67"/>
    <w:rsid w:val="00826DED"/>
    <w:rsid w:val="00826F9A"/>
    <w:rsid w:val="008271E7"/>
    <w:rsid w:val="00827430"/>
    <w:rsid w:val="008275E0"/>
    <w:rsid w:val="00827A6C"/>
    <w:rsid w:val="00827AEB"/>
    <w:rsid w:val="00827AFC"/>
    <w:rsid w:val="00827B11"/>
    <w:rsid w:val="00827DC9"/>
    <w:rsid w:val="008304C5"/>
    <w:rsid w:val="00830523"/>
    <w:rsid w:val="008307DF"/>
    <w:rsid w:val="0083089E"/>
    <w:rsid w:val="008310BE"/>
    <w:rsid w:val="0083117D"/>
    <w:rsid w:val="008312DC"/>
    <w:rsid w:val="00831409"/>
    <w:rsid w:val="008319C5"/>
    <w:rsid w:val="00832021"/>
    <w:rsid w:val="0083226A"/>
    <w:rsid w:val="008322C5"/>
    <w:rsid w:val="008323BA"/>
    <w:rsid w:val="00832758"/>
    <w:rsid w:val="00832A2E"/>
    <w:rsid w:val="0083304B"/>
    <w:rsid w:val="00833330"/>
    <w:rsid w:val="008333BD"/>
    <w:rsid w:val="00833876"/>
    <w:rsid w:val="00833966"/>
    <w:rsid w:val="0083398D"/>
    <w:rsid w:val="00833A57"/>
    <w:rsid w:val="00833ADB"/>
    <w:rsid w:val="00833C4C"/>
    <w:rsid w:val="00833F5C"/>
    <w:rsid w:val="008340BF"/>
    <w:rsid w:val="00834262"/>
    <w:rsid w:val="00834538"/>
    <w:rsid w:val="008348B6"/>
    <w:rsid w:val="00834BB6"/>
    <w:rsid w:val="00834D0F"/>
    <w:rsid w:val="0083502E"/>
    <w:rsid w:val="0083515E"/>
    <w:rsid w:val="00835369"/>
    <w:rsid w:val="00835790"/>
    <w:rsid w:val="008359D4"/>
    <w:rsid w:val="00835FBB"/>
    <w:rsid w:val="00836181"/>
    <w:rsid w:val="00836224"/>
    <w:rsid w:val="00836752"/>
    <w:rsid w:val="00836878"/>
    <w:rsid w:val="00836897"/>
    <w:rsid w:val="008368B5"/>
    <w:rsid w:val="00836C4D"/>
    <w:rsid w:val="00836E25"/>
    <w:rsid w:val="00837166"/>
    <w:rsid w:val="008372FA"/>
    <w:rsid w:val="00837455"/>
    <w:rsid w:val="0083776A"/>
    <w:rsid w:val="008400C2"/>
    <w:rsid w:val="008400CB"/>
    <w:rsid w:val="0084038C"/>
    <w:rsid w:val="0084095E"/>
    <w:rsid w:val="00840B14"/>
    <w:rsid w:val="00840EB9"/>
    <w:rsid w:val="0084138E"/>
    <w:rsid w:val="008414EA"/>
    <w:rsid w:val="00841661"/>
    <w:rsid w:val="008416FE"/>
    <w:rsid w:val="00841A70"/>
    <w:rsid w:val="00841B3E"/>
    <w:rsid w:val="00841D6E"/>
    <w:rsid w:val="00841EAB"/>
    <w:rsid w:val="00841EDA"/>
    <w:rsid w:val="00842573"/>
    <w:rsid w:val="0084265F"/>
    <w:rsid w:val="00842746"/>
    <w:rsid w:val="008429F6"/>
    <w:rsid w:val="00842D5A"/>
    <w:rsid w:val="00842E4E"/>
    <w:rsid w:val="00842E59"/>
    <w:rsid w:val="00842E92"/>
    <w:rsid w:val="008431AD"/>
    <w:rsid w:val="00843390"/>
    <w:rsid w:val="008434C3"/>
    <w:rsid w:val="0084356D"/>
    <w:rsid w:val="00843A14"/>
    <w:rsid w:val="00844145"/>
    <w:rsid w:val="00844299"/>
    <w:rsid w:val="0084457C"/>
    <w:rsid w:val="0084485A"/>
    <w:rsid w:val="00844C2D"/>
    <w:rsid w:val="00844E29"/>
    <w:rsid w:val="00844F33"/>
    <w:rsid w:val="0084512C"/>
    <w:rsid w:val="0084512F"/>
    <w:rsid w:val="008457FE"/>
    <w:rsid w:val="00845A54"/>
    <w:rsid w:val="00845A58"/>
    <w:rsid w:val="00845B2B"/>
    <w:rsid w:val="008460E7"/>
    <w:rsid w:val="0084625A"/>
    <w:rsid w:val="00846538"/>
    <w:rsid w:val="008466BA"/>
    <w:rsid w:val="008468DE"/>
    <w:rsid w:val="00846B92"/>
    <w:rsid w:val="00846BBC"/>
    <w:rsid w:val="00846C5A"/>
    <w:rsid w:val="00846C80"/>
    <w:rsid w:val="00847315"/>
    <w:rsid w:val="00847692"/>
    <w:rsid w:val="00847699"/>
    <w:rsid w:val="00847A3B"/>
    <w:rsid w:val="00847A9E"/>
    <w:rsid w:val="00847B17"/>
    <w:rsid w:val="00847C21"/>
    <w:rsid w:val="00847C7B"/>
    <w:rsid w:val="00847CBD"/>
    <w:rsid w:val="008504C6"/>
    <w:rsid w:val="00850525"/>
    <w:rsid w:val="008505A9"/>
    <w:rsid w:val="0085071C"/>
    <w:rsid w:val="008507B7"/>
    <w:rsid w:val="00850BA6"/>
    <w:rsid w:val="00850CD3"/>
    <w:rsid w:val="00850E99"/>
    <w:rsid w:val="0085125C"/>
    <w:rsid w:val="0085148C"/>
    <w:rsid w:val="008514DB"/>
    <w:rsid w:val="00851653"/>
    <w:rsid w:val="00851A75"/>
    <w:rsid w:val="00851B4F"/>
    <w:rsid w:val="00851BF7"/>
    <w:rsid w:val="00851E28"/>
    <w:rsid w:val="00851F7C"/>
    <w:rsid w:val="0085213B"/>
    <w:rsid w:val="00852274"/>
    <w:rsid w:val="00852853"/>
    <w:rsid w:val="008529B2"/>
    <w:rsid w:val="00852D4D"/>
    <w:rsid w:val="00852DD7"/>
    <w:rsid w:val="00852EFD"/>
    <w:rsid w:val="0085303E"/>
    <w:rsid w:val="0085315C"/>
    <w:rsid w:val="00853946"/>
    <w:rsid w:val="00853FE5"/>
    <w:rsid w:val="008540B8"/>
    <w:rsid w:val="008541D0"/>
    <w:rsid w:val="00854476"/>
    <w:rsid w:val="00854913"/>
    <w:rsid w:val="008549D3"/>
    <w:rsid w:val="00854A84"/>
    <w:rsid w:val="00854B0B"/>
    <w:rsid w:val="00854B54"/>
    <w:rsid w:val="008550BD"/>
    <w:rsid w:val="008552AC"/>
    <w:rsid w:val="008554C8"/>
    <w:rsid w:val="00855D5A"/>
    <w:rsid w:val="00855F5F"/>
    <w:rsid w:val="008560AC"/>
    <w:rsid w:val="0085658B"/>
    <w:rsid w:val="0085665D"/>
    <w:rsid w:val="008569DE"/>
    <w:rsid w:val="00856B9B"/>
    <w:rsid w:val="00856BA4"/>
    <w:rsid w:val="00856C10"/>
    <w:rsid w:val="00856C64"/>
    <w:rsid w:val="00857AAF"/>
    <w:rsid w:val="00857B2C"/>
    <w:rsid w:val="00857CD2"/>
    <w:rsid w:val="00857D2C"/>
    <w:rsid w:val="00857F91"/>
    <w:rsid w:val="008605DB"/>
    <w:rsid w:val="008606D5"/>
    <w:rsid w:val="00860C64"/>
    <w:rsid w:val="0086106F"/>
    <w:rsid w:val="00861111"/>
    <w:rsid w:val="00861155"/>
    <w:rsid w:val="00861608"/>
    <w:rsid w:val="0086198F"/>
    <w:rsid w:val="00861BD3"/>
    <w:rsid w:val="00861DE1"/>
    <w:rsid w:val="0086221E"/>
    <w:rsid w:val="008625CD"/>
    <w:rsid w:val="00862C3F"/>
    <w:rsid w:val="00862ED7"/>
    <w:rsid w:val="00862FEC"/>
    <w:rsid w:val="00863583"/>
    <w:rsid w:val="0086372F"/>
    <w:rsid w:val="00863976"/>
    <w:rsid w:val="00863E19"/>
    <w:rsid w:val="00864125"/>
    <w:rsid w:val="00864236"/>
    <w:rsid w:val="008644E3"/>
    <w:rsid w:val="00864738"/>
    <w:rsid w:val="008648FA"/>
    <w:rsid w:val="00864D99"/>
    <w:rsid w:val="00864EBC"/>
    <w:rsid w:val="00864FED"/>
    <w:rsid w:val="008650BC"/>
    <w:rsid w:val="0086513A"/>
    <w:rsid w:val="008653DE"/>
    <w:rsid w:val="00865AAB"/>
    <w:rsid w:val="00865EC9"/>
    <w:rsid w:val="00866133"/>
    <w:rsid w:val="008661A2"/>
    <w:rsid w:val="008661A4"/>
    <w:rsid w:val="008664FE"/>
    <w:rsid w:val="008665FD"/>
    <w:rsid w:val="00866F92"/>
    <w:rsid w:val="00867052"/>
    <w:rsid w:val="00867088"/>
    <w:rsid w:val="008670A4"/>
    <w:rsid w:val="00867179"/>
    <w:rsid w:val="008672D0"/>
    <w:rsid w:val="00867D0F"/>
    <w:rsid w:val="00867F71"/>
    <w:rsid w:val="00870061"/>
    <w:rsid w:val="00870252"/>
    <w:rsid w:val="0087035B"/>
    <w:rsid w:val="008704AC"/>
    <w:rsid w:val="008704BC"/>
    <w:rsid w:val="008708F8"/>
    <w:rsid w:val="00870A0A"/>
    <w:rsid w:val="00870B93"/>
    <w:rsid w:val="00870FAA"/>
    <w:rsid w:val="008711CD"/>
    <w:rsid w:val="00871225"/>
    <w:rsid w:val="0087125F"/>
    <w:rsid w:val="00871322"/>
    <w:rsid w:val="00871458"/>
    <w:rsid w:val="0087166B"/>
    <w:rsid w:val="008727C1"/>
    <w:rsid w:val="008729AC"/>
    <w:rsid w:val="00872AB9"/>
    <w:rsid w:val="00872B2E"/>
    <w:rsid w:val="00873112"/>
    <w:rsid w:val="00873121"/>
    <w:rsid w:val="00873166"/>
    <w:rsid w:val="008734FA"/>
    <w:rsid w:val="00873871"/>
    <w:rsid w:val="00873D4A"/>
    <w:rsid w:val="00873DDE"/>
    <w:rsid w:val="00873FE6"/>
    <w:rsid w:val="00874024"/>
    <w:rsid w:val="00874223"/>
    <w:rsid w:val="0087444B"/>
    <w:rsid w:val="0087461E"/>
    <w:rsid w:val="0087466D"/>
    <w:rsid w:val="008748CF"/>
    <w:rsid w:val="00874E4E"/>
    <w:rsid w:val="00875251"/>
    <w:rsid w:val="008756A1"/>
    <w:rsid w:val="00875DAF"/>
    <w:rsid w:val="00876314"/>
    <w:rsid w:val="00876382"/>
    <w:rsid w:val="008766CB"/>
    <w:rsid w:val="008768B6"/>
    <w:rsid w:val="00876A5E"/>
    <w:rsid w:val="00876EBD"/>
    <w:rsid w:val="00876FBF"/>
    <w:rsid w:val="0087700B"/>
    <w:rsid w:val="00877092"/>
    <w:rsid w:val="0087726D"/>
    <w:rsid w:val="008773C9"/>
    <w:rsid w:val="008773DB"/>
    <w:rsid w:val="008775F2"/>
    <w:rsid w:val="008779A9"/>
    <w:rsid w:val="008779B8"/>
    <w:rsid w:val="00880043"/>
    <w:rsid w:val="008804D1"/>
    <w:rsid w:val="008806DB"/>
    <w:rsid w:val="00880B36"/>
    <w:rsid w:val="00880B95"/>
    <w:rsid w:val="00880C5A"/>
    <w:rsid w:val="00880C78"/>
    <w:rsid w:val="00880CFA"/>
    <w:rsid w:val="00880D11"/>
    <w:rsid w:val="00880E3C"/>
    <w:rsid w:val="008814B9"/>
    <w:rsid w:val="008817DD"/>
    <w:rsid w:val="00881C85"/>
    <w:rsid w:val="0088234E"/>
    <w:rsid w:val="008823B4"/>
    <w:rsid w:val="00882415"/>
    <w:rsid w:val="0088296A"/>
    <w:rsid w:val="00882974"/>
    <w:rsid w:val="008829BF"/>
    <w:rsid w:val="00882D82"/>
    <w:rsid w:val="00882DB1"/>
    <w:rsid w:val="00882E4E"/>
    <w:rsid w:val="00883042"/>
    <w:rsid w:val="0088322E"/>
    <w:rsid w:val="0088323E"/>
    <w:rsid w:val="008833BC"/>
    <w:rsid w:val="00883777"/>
    <w:rsid w:val="008839D3"/>
    <w:rsid w:val="00883B48"/>
    <w:rsid w:val="00883B66"/>
    <w:rsid w:val="00883C27"/>
    <w:rsid w:val="008842EC"/>
    <w:rsid w:val="008843AC"/>
    <w:rsid w:val="008847BE"/>
    <w:rsid w:val="0088496F"/>
    <w:rsid w:val="00884B19"/>
    <w:rsid w:val="00884F05"/>
    <w:rsid w:val="00885511"/>
    <w:rsid w:val="0088571A"/>
    <w:rsid w:val="0088572E"/>
    <w:rsid w:val="008859DD"/>
    <w:rsid w:val="00885C99"/>
    <w:rsid w:val="00885DAA"/>
    <w:rsid w:val="00885E17"/>
    <w:rsid w:val="0088610E"/>
    <w:rsid w:val="008864F4"/>
    <w:rsid w:val="008865C7"/>
    <w:rsid w:val="0088668E"/>
    <w:rsid w:val="008866FA"/>
    <w:rsid w:val="00886905"/>
    <w:rsid w:val="00886909"/>
    <w:rsid w:val="00886DF7"/>
    <w:rsid w:val="00886E5E"/>
    <w:rsid w:val="00886FF7"/>
    <w:rsid w:val="00887197"/>
    <w:rsid w:val="008871E2"/>
    <w:rsid w:val="008871FD"/>
    <w:rsid w:val="00887221"/>
    <w:rsid w:val="00887231"/>
    <w:rsid w:val="00887288"/>
    <w:rsid w:val="008874AE"/>
    <w:rsid w:val="00887C16"/>
    <w:rsid w:val="00890567"/>
    <w:rsid w:val="008905D8"/>
    <w:rsid w:val="00890862"/>
    <w:rsid w:val="00890D82"/>
    <w:rsid w:val="00890F57"/>
    <w:rsid w:val="00890FC3"/>
    <w:rsid w:val="008910DE"/>
    <w:rsid w:val="008913AD"/>
    <w:rsid w:val="00891454"/>
    <w:rsid w:val="00891475"/>
    <w:rsid w:val="0089159B"/>
    <w:rsid w:val="008917CB"/>
    <w:rsid w:val="00891883"/>
    <w:rsid w:val="00891B8A"/>
    <w:rsid w:val="008920E2"/>
    <w:rsid w:val="008922C2"/>
    <w:rsid w:val="00892830"/>
    <w:rsid w:val="008929EA"/>
    <w:rsid w:val="00892F78"/>
    <w:rsid w:val="00893025"/>
    <w:rsid w:val="00893090"/>
    <w:rsid w:val="0089332E"/>
    <w:rsid w:val="00893536"/>
    <w:rsid w:val="0089365A"/>
    <w:rsid w:val="00893751"/>
    <w:rsid w:val="008937BF"/>
    <w:rsid w:val="0089395E"/>
    <w:rsid w:val="00893BDC"/>
    <w:rsid w:val="00893C8A"/>
    <w:rsid w:val="00893E06"/>
    <w:rsid w:val="0089450B"/>
    <w:rsid w:val="008948D3"/>
    <w:rsid w:val="00894AA7"/>
    <w:rsid w:val="00894B8F"/>
    <w:rsid w:val="00894BD1"/>
    <w:rsid w:val="00894FCF"/>
    <w:rsid w:val="008951EF"/>
    <w:rsid w:val="008953EE"/>
    <w:rsid w:val="00895490"/>
    <w:rsid w:val="00895492"/>
    <w:rsid w:val="00895C75"/>
    <w:rsid w:val="00895DE8"/>
    <w:rsid w:val="00895EA8"/>
    <w:rsid w:val="00895F2F"/>
    <w:rsid w:val="008960C2"/>
    <w:rsid w:val="00896414"/>
    <w:rsid w:val="00896457"/>
    <w:rsid w:val="0089645A"/>
    <w:rsid w:val="0089663F"/>
    <w:rsid w:val="00896779"/>
    <w:rsid w:val="00896AC8"/>
    <w:rsid w:val="00897042"/>
    <w:rsid w:val="008973B5"/>
    <w:rsid w:val="00897B4A"/>
    <w:rsid w:val="00897D41"/>
    <w:rsid w:val="008A03DD"/>
    <w:rsid w:val="008A06B1"/>
    <w:rsid w:val="008A07B7"/>
    <w:rsid w:val="008A0B94"/>
    <w:rsid w:val="008A0DE8"/>
    <w:rsid w:val="008A0E58"/>
    <w:rsid w:val="008A0F55"/>
    <w:rsid w:val="008A1059"/>
    <w:rsid w:val="008A10AA"/>
    <w:rsid w:val="008A10E8"/>
    <w:rsid w:val="008A1187"/>
    <w:rsid w:val="008A1873"/>
    <w:rsid w:val="008A1BAB"/>
    <w:rsid w:val="008A1D5E"/>
    <w:rsid w:val="008A1DD2"/>
    <w:rsid w:val="008A1E68"/>
    <w:rsid w:val="008A232C"/>
    <w:rsid w:val="008A2343"/>
    <w:rsid w:val="008A234D"/>
    <w:rsid w:val="008A2926"/>
    <w:rsid w:val="008A295C"/>
    <w:rsid w:val="008A3076"/>
    <w:rsid w:val="008A3693"/>
    <w:rsid w:val="008A3BAA"/>
    <w:rsid w:val="008A3D25"/>
    <w:rsid w:val="008A3F92"/>
    <w:rsid w:val="008A3FB6"/>
    <w:rsid w:val="008A45E8"/>
    <w:rsid w:val="008A4CAF"/>
    <w:rsid w:val="008A524A"/>
    <w:rsid w:val="008A52A5"/>
    <w:rsid w:val="008A54E8"/>
    <w:rsid w:val="008A5537"/>
    <w:rsid w:val="008A55A3"/>
    <w:rsid w:val="008A56FA"/>
    <w:rsid w:val="008A5E45"/>
    <w:rsid w:val="008A5F78"/>
    <w:rsid w:val="008A6610"/>
    <w:rsid w:val="008A6BBD"/>
    <w:rsid w:val="008A6DD7"/>
    <w:rsid w:val="008A6F6E"/>
    <w:rsid w:val="008A7435"/>
    <w:rsid w:val="008A753D"/>
    <w:rsid w:val="008A7888"/>
    <w:rsid w:val="008A799D"/>
    <w:rsid w:val="008A7F3E"/>
    <w:rsid w:val="008A7FE0"/>
    <w:rsid w:val="008B043F"/>
    <w:rsid w:val="008B051A"/>
    <w:rsid w:val="008B060E"/>
    <w:rsid w:val="008B0D00"/>
    <w:rsid w:val="008B0D64"/>
    <w:rsid w:val="008B1097"/>
    <w:rsid w:val="008B1CD2"/>
    <w:rsid w:val="008B235E"/>
    <w:rsid w:val="008B2512"/>
    <w:rsid w:val="008B2531"/>
    <w:rsid w:val="008B25EC"/>
    <w:rsid w:val="008B2B42"/>
    <w:rsid w:val="008B2C37"/>
    <w:rsid w:val="008B34B6"/>
    <w:rsid w:val="008B372E"/>
    <w:rsid w:val="008B3730"/>
    <w:rsid w:val="008B3F46"/>
    <w:rsid w:val="008B42B0"/>
    <w:rsid w:val="008B441D"/>
    <w:rsid w:val="008B444A"/>
    <w:rsid w:val="008B4483"/>
    <w:rsid w:val="008B45EE"/>
    <w:rsid w:val="008B4607"/>
    <w:rsid w:val="008B4729"/>
    <w:rsid w:val="008B47D5"/>
    <w:rsid w:val="008B4956"/>
    <w:rsid w:val="008B4D82"/>
    <w:rsid w:val="008B4E4F"/>
    <w:rsid w:val="008B539F"/>
    <w:rsid w:val="008B53F4"/>
    <w:rsid w:val="008B566D"/>
    <w:rsid w:val="008B56D9"/>
    <w:rsid w:val="008B5966"/>
    <w:rsid w:val="008B5ED3"/>
    <w:rsid w:val="008B6094"/>
    <w:rsid w:val="008B66BD"/>
    <w:rsid w:val="008B6725"/>
    <w:rsid w:val="008B679A"/>
    <w:rsid w:val="008B6EE9"/>
    <w:rsid w:val="008B7068"/>
    <w:rsid w:val="008B745F"/>
    <w:rsid w:val="008B750A"/>
    <w:rsid w:val="008B75E7"/>
    <w:rsid w:val="008B76B6"/>
    <w:rsid w:val="008B78BE"/>
    <w:rsid w:val="008B7935"/>
    <w:rsid w:val="008B79A6"/>
    <w:rsid w:val="008B7C88"/>
    <w:rsid w:val="008B7F5E"/>
    <w:rsid w:val="008B7F65"/>
    <w:rsid w:val="008B7FF2"/>
    <w:rsid w:val="008C02E2"/>
    <w:rsid w:val="008C038D"/>
    <w:rsid w:val="008C0B4C"/>
    <w:rsid w:val="008C1079"/>
    <w:rsid w:val="008C11A7"/>
    <w:rsid w:val="008C170E"/>
    <w:rsid w:val="008C1B1D"/>
    <w:rsid w:val="008C1DCF"/>
    <w:rsid w:val="008C1FCC"/>
    <w:rsid w:val="008C2405"/>
    <w:rsid w:val="008C2585"/>
    <w:rsid w:val="008C2744"/>
    <w:rsid w:val="008C2CE7"/>
    <w:rsid w:val="008C2E11"/>
    <w:rsid w:val="008C2F58"/>
    <w:rsid w:val="008C32E4"/>
    <w:rsid w:val="008C344A"/>
    <w:rsid w:val="008C34E1"/>
    <w:rsid w:val="008C3587"/>
    <w:rsid w:val="008C3963"/>
    <w:rsid w:val="008C3BF2"/>
    <w:rsid w:val="008C3C01"/>
    <w:rsid w:val="008C3C45"/>
    <w:rsid w:val="008C3D23"/>
    <w:rsid w:val="008C3D8B"/>
    <w:rsid w:val="008C3E58"/>
    <w:rsid w:val="008C41D2"/>
    <w:rsid w:val="008C41DA"/>
    <w:rsid w:val="008C4590"/>
    <w:rsid w:val="008C48E8"/>
    <w:rsid w:val="008C49DA"/>
    <w:rsid w:val="008C5909"/>
    <w:rsid w:val="008C5935"/>
    <w:rsid w:val="008C5D2F"/>
    <w:rsid w:val="008C5E09"/>
    <w:rsid w:val="008C5F55"/>
    <w:rsid w:val="008C6136"/>
    <w:rsid w:val="008C618E"/>
    <w:rsid w:val="008C636E"/>
    <w:rsid w:val="008C6541"/>
    <w:rsid w:val="008C6650"/>
    <w:rsid w:val="008C6782"/>
    <w:rsid w:val="008C678A"/>
    <w:rsid w:val="008C6BDB"/>
    <w:rsid w:val="008C6D2C"/>
    <w:rsid w:val="008C71DD"/>
    <w:rsid w:val="008C72CB"/>
    <w:rsid w:val="008C7338"/>
    <w:rsid w:val="008C75C5"/>
    <w:rsid w:val="008C7A29"/>
    <w:rsid w:val="008C7AB0"/>
    <w:rsid w:val="008C7D31"/>
    <w:rsid w:val="008C7F47"/>
    <w:rsid w:val="008C7FFD"/>
    <w:rsid w:val="008D045C"/>
    <w:rsid w:val="008D06A0"/>
    <w:rsid w:val="008D0764"/>
    <w:rsid w:val="008D08D0"/>
    <w:rsid w:val="008D0A42"/>
    <w:rsid w:val="008D0CCC"/>
    <w:rsid w:val="008D0D0D"/>
    <w:rsid w:val="008D0D45"/>
    <w:rsid w:val="008D10F4"/>
    <w:rsid w:val="008D112D"/>
    <w:rsid w:val="008D1506"/>
    <w:rsid w:val="008D1875"/>
    <w:rsid w:val="008D1987"/>
    <w:rsid w:val="008D1A29"/>
    <w:rsid w:val="008D1E1C"/>
    <w:rsid w:val="008D240B"/>
    <w:rsid w:val="008D25D5"/>
    <w:rsid w:val="008D267B"/>
    <w:rsid w:val="008D2931"/>
    <w:rsid w:val="008D3050"/>
    <w:rsid w:val="008D3158"/>
    <w:rsid w:val="008D32C7"/>
    <w:rsid w:val="008D3362"/>
    <w:rsid w:val="008D3382"/>
    <w:rsid w:val="008D34AE"/>
    <w:rsid w:val="008D360E"/>
    <w:rsid w:val="008D3BA3"/>
    <w:rsid w:val="008D3D03"/>
    <w:rsid w:val="008D40BB"/>
    <w:rsid w:val="008D4447"/>
    <w:rsid w:val="008D44AD"/>
    <w:rsid w:val="008D45ED"/>
    <w:rsid w:val="008D4727"/>
    <w:rsid w:val="008D49B1"/>
    <w:rsid w:val="008D4F2E"/>
    <w:rsid w:val="008D5209"/>
    <w:rsid w:val="008D537A"/>
    <w:rsid w:val="008D5592"/>
    <w:rsid w:val="008D55C8"/>
    <w:rsid w:val="008D57E5"/>
    <w:rsid w:val="008D58B8"/>
    <w:rsid w:val="008D5992"/>
    <w:rsid w:val="008D5A17"/>
    <w:rsid w:val="008D5C01"/>
    <w:rsid w:val="008D5D11"/>
    <w:rsid w:val="008D5F91"/>
    <w:rsid w:val="008D5F95"/>
    <w:rsid w:val="008D5FCA"/>
    <w:rsid w:val="008D6250"/>
    <w:rsid w:val="008D63D9"/>
    <w:rsid w:val="008D6B37"/>
    <w:rsid w:val="008D6BFD"/>
    <w:rsid w:val="008D6CC7"/>
    <w:rsid w:val="008D6F21"/>
    <w:rsid w:val="008D6F49"/>
    <w:rsid w:val="008D706A"/>
    <w:rsid w:val="008D70B7"/>
    <w:rsid w:val="008D70E1"/>
    <w:rsid w:val="008D71DE"/>
    <w:rsid w:val="008D72DB"/>
    <w:rsid w:val="008D7334"/>
    <w:rsid w:val="008D73F7"/>
    <w:rsid w:val="008D75FE"/>
    <w:rsid w:val="008D762B"/>
    <w:rsid w:val="008D7882"/>
    <w:rsid w:val="008D7A1A"/>
    <w:rsid w:val="008D7B01"/>
    <w:rsid w:val="008D7D04"/>
    <w:rsid w:val="008D7F27"/>
    <w:rsid w:val="008E0056"/>
    <w:rsid w:val="008E0062"/>
    <w:rsid w:val="008E01FE"/>
    <w:rsid w:val="008E068A"/>
    <w:rsid w:val="008E0832"/>
    <w:rsid w:val="008E09CC"/>
    <w:rsid w:val="008E0D50"/>
    <w:rsid w:val="008E10DA"/>
    <w:rsid w:val="008E1314"/>
    <w:rsid w:val="008E132E"/>
    <w:rsid w:val="008E144A"/>
    <w:rsid w:val="008E156D"/>
    <w:rsid w:val="008E18F6"/>
    <w:rsid w:val="008E1C0D"/>
    <w:rsid w:val="008E1C5E"/>
    <w:rsid w:val="008E1D80"/>
    <w:rsid w:val="008E1D88"/>
    <w:rsid w:val="008E281E"/>
    <w:rsid w:val="008E28F0"/>
    <w:rsid w:val="008E2A75"/>
    <w:rsid w:val="008E2B57"/>
    <w:rsid w:val="008E311A"/>
    <w:rsid w:val="008E330A"/>
    <w:rsid w:val="008E3E15"/>
    <w:rsid w:val="008E40BE"/>
    <w:rsid w:val="008E4227"/>
    <w:rsid w:val="008E439C"/>
    <w:rsid w:val="008E4A1B"/>
    <w:rsid w:val="008E4A1C"/>
    <w:rsid w:val="008E4D9A"/>
    <w:rsid w:val="008E4FEA"/>
    <w:rsid w:val="008E543F"/>
    <w:rsid w:val="008E5621"/>
    <w:rsid w:val="008E5843"/>
    <w:rsid w:val="008E5944"/>
    <w:rsid w:val="008E59D2"/>
    <w:rsid w:val="008E5B2D"/>
    <w:rsid w:val="008E5E0E"/>
    <w:rsid w:val="008E5F52"/>
    <w:rsid w:val="008E5F6F"/>
    <w:rsid w:val="008E6012"/>
    <w:rsid w:val="008E636B"/>
    <w:rsid w:val="008E6575"/>
    <w:rsid w:val="008E660F"/>
    <w:rsid w:val="008E688A"/>
    <w:rsid w:val="008E688D"/>
    <w:rsid w:val="008E6B7C"/>
    <w:rsid w:val="008E6FC6"/>
    <w:rsid w:val="008E6FF4"/>
    <w:rsid w:val="008E71A0"/>
    <w:rsid w:val="008E71DF"/>
    <w:rsid w:val="008E72DA"/>
    <w:rsid w:val="008E73B2"/>
    <w:rsid w:val="008E79C8"/>
    <w:rsid w:val="008F0360"/>
    <w:rsid w:val="008F045C"/>
    <w:rsid w:val="008F04E1"/>
    <w:rsid w:val="008F0622"/>
    <w:rsid w:val="008F0A12"/>
    <w:rsid w:val="008F0B7C"/>
    <w:rsid w:val="008F0D30"/>
    <w:rsid w:val="008F0FA9"/>
    <w:rsid w:val="008F1081"/>
    <w:rsid w:val="008F1483"/>
    <w:rsid w:val="008F15E6"/>
    <w:rsid w:val="008F16DA"/>
    <w:rsid w:val="008F1707"/>
    <w:rsid w:val="008F1AEE"/>
    <w:rsid w:val="008F1DB4"/>
    <w:rsid w:val="008F1EBE"/>
    <w:rsid w:val="008F1F51"/>
    <w:rsid w:val="008F2027"/>
    <w:rsid w:val="008F20CE"/>
    <w:rsid w:val="008F2106"/>
    <w:rsid w:val="008F229D"/>
    <w:rsid w:val="008F2672"/>
    <w:rsid w:val="008F27F0"/>
    <w:rsid w:val="008F28E5"/>
    <w:rsid w:val="008F291A"/>
    <w:rsid w:val="008F2A00"/>
    <w:rsid w:val="008F2C9F"/>
    <w:rsid w:val="008F3172"/>
    <w:rsid w:val="008F32A1"/>
    <w:rsid w:val="008F32B3"/>
    <w:rsid w:val="008F3DF3"/>
    <w:rsid w:val="008F3E03"/>
    <w:rsid w:val="008F47BD"/>
    <w:rsid w:val="008F495F"/>
    <w:rsid w:val="008F4CFC"/>
    <w:rsid w:val="008F516E"/>
    <w:rsid w:val="008F520C"/>
    <w:rsid w:val="008F5229"/>
    <w:rsid w:val="008F54B1"/>
    <w:rsid w:val="008F58DF"/>
    <w:rsid w:val="008F5ADD"/>
    <w:rsid w:val="008F5DC2"/>
    <w:rsid w:val="008F5DC9"/>
    <w:rsid w:val="008F5E17"/>
    <w:rsid w:val="008F5E39"/>
    <w:rsid w:val="008F5EB7"/>
    <w:rsid w:val="008F5FC5"/>
    <w:rsid w:val="008F62B6"/>
    <w:rsid w:val="008F62CE"/>
    <w:rsid w:val="008F660B"/>
    <w:rsid w:val="008F6657"/>
    <w:rsid w:val="008F66C3"/>
    <w:rsid w:val="008F6777"/>
    <w:rsid w:val="008F69D6"/>
    <w:rsid w:val="008F6C39"/>
    <w:rsid w:val="008F71B5"/>
    <w:rsid w:val="008F78B1"/>
    <w:rsid w:val="008F7CD3"/>
    <w:rsid w:val="00900421"/>
    <w:rsid w:val="00900B4A"/>
    <w:rsid w:val="00900CF8"/>
    <w:rsid w:val="00900E7D"/>
    <w:rsid w:val="00901157"/>
    <w:rsid w:val="00901299"/>
    <w:rsid w:val="0090148F"/>
    <w:rsid w:val="00901E41"/>
    <w:rsid w:val="009021E7"/>
    <w:rsid w:val="009023A7"/>
    <w:rsid w:val="0090256B"/>
    <w:rsid w:val="00902912"/>
    <w:rsid w:val="00903043"/>
    <w:rsid w:val="00903139"/>
    <w:rsid w:val="00903158"/>
    <w:rsid w:val="0090328D"/>
    <w:rsid w:val="0090348B"/>
    <w:rsid w:val="009034BF"/>
    <w:rsid w:val="00903537"/>
    <w:rsid w:val="00903538"/>
    <w:rsid w:val="009035EF"/>
    <w:rsid w:val="0090391A"/>
    <w:rsid w:val="00903BD4"/>
    <w:rsid w:val="00904040"/>
    <w:rsid w:val="00904053"/>
    <w:rsid w:val="00904168"/>
    <w:rsid w:val="0090417F"/>
    <w:rsid w:val="009041DF"/>
    <w:rsid w:val="00904992"/>
    <w:rsid w:val="009049CA"/>
    <w:rsid w:val="00904B80"/>
    <w:rsid w:val="009053E0"/>
    <w:rsid w:val="00905625"/>
    <w:rsid w:val="00905C68"/>
    <w:rsid w:val="00905CF6"/>
    <w:rsid w:val="00905E8F"/>
    <w:rsid w:val="0090606F"/>
    <w:rsid w:val="009060D7"/>
    <w:rsid w:val="009060F0"/>
    <w:rsid w:val="00906253"/>
    <w:rsid w:val="00906305"/>
    <w:rsid w:val="0090633F"/>
    <w:rsid w:val="009064D4"/>
    <w:rsid w:val="00906601"/>
    <w:rsid w:val="0090667F"/>
    <w:rsid w:val="0090688D"/>
    <w:rsid w:val="00906A58"/>
    <w:rsid w:val="00906A67"/>
    <w:rsid w:val="00906D83"/>
    <w:rsid w:val="00906DC2"/>
    <w:rsid w:val="00907281"/>
    <w:rsid w:val="009077D1"/>
    <w:rsid w:val="009078E9"/>
    <w:rsid w:val="00907BC0"/>
    <w:rsid w:val="00907F1C"/>
    <w:rsid w:val="00910140"/>
    <w:rsid w:val="0091047B"/>
    <w:rsid w:val="0091049C"/>
    <w:rsid w:val="00910567"/>
    <w:rsid w:val="009105A0"/>
    <w:rsid w:val="00910652"/>
    <w:rsid w:val="009107E8"/>
    <w:rsid w:val="009109DD"/>
    <w:rsid w:val="00910C04"/>
    <w:rsid w:val="00910C26"/>
    <w:rsid w:val="00910FA4"/>
    <w:rsid w:val="0091100F"/>
    <w:rsid w:val="00911014"/>
    <w:rsid w:val="00911090"/>
    <w:rsid w:val="00911405"/>
    <w:rsid w:val="00911506"/>
    <w:rsid w:val="009118D7"/>
    <w:rsid w:val="00911C1F"/>
    <w:rsid w:val="00912433"/>
    <w:rsid w:val="00912663"/>
    <w:rsid w:val="00912894"/>
    <w:rsid w:val="00912D88"/>
    <w:rsid w:val="00912D8F"/>
    <w:rsid w:val="00912DF3"/>
    <w:rsid w:val="00912E73"/>
    <w:rsid w:val="00912FCF"/>
    <w:rsid w:val="00913170"/>
    <w:rsid w:val="0091333D"/>
    <w:rsid w:val="0091353E"/>
    <w:rsid w:val="009135B6"/>
    <w:rsid w:val="00913662"/>
    <w:rsid w:val="009136B0"/>
    <w:rsid w:val="0091375E"/>
    <w:rsid w:val="00913945"/>
    <w:rsid w:val="00913C46"/>
    <w:rsid w:val="009140D0"/>
    <w:rsid w:val="00914C0E"/>
    <w:rsid w:val="00914DC9"/>
    <w:rsid w:val="00914ED2"/>
    <w:rsid w:val="00915297"/>
    <w:rsid w:val="009153E0"/>
    <w:rsid w:val="0091567E"/>
    <w:rsid w:val="0091588B"/>
    <w:rsid w:val="009158C4"/>
    <w:rsid w:val="009158CE"/>
    <w:rsid w:val="00915A9F"/>
    <w:rsid w:val="00915C36"/>
    <w:rsid w:val="00915CE7"/>
    <w:rsid w:val="00915D28"/>
    <w:rsid w:val="00916251"/>
    <w:rsid w:val="009166EC"/>
    <w:rsid w:val="00916720"/>
    <w:rsid w:val="00916C88"/>
    <w:rsid w:val="00916E0F"/>
    <w:rsid w:val="00917696"/>
    <w:rsid w:val="0091779C"/>
    <w:rsid w:val="009177B5"/>
    <w:rsid w:val="00917C51"/>
    <w:rsid w:val="00917FAB"/>
    <w:rsid w:val="0092002A"/>
    <w:rsid w:val="0092008B"/>
    <w:rsid w:val="009201A2"/>
    <w:rsid w:val="009205FD"/>
    <w:rsid w:val="00920C0D"/>
    <w:rsid w:val="0092137F"/>
    <w:rsid w:val="00921681"/>
    <w:rsid w:val="009216B2"/>
    <w:rsid w:val="009216DA"/>
    <w:rsid w:val="00921782"/>
    <w:rsid w:val="0092182D"/>
    <w:rsid w:val="009218CC"/>
    <w:rsid w:val="0092199F"/>
    <w:rsid w:val="009219AC"/>
    <w:rsid w:val="00921E5F"/>
    <w:rsid w:val="00921F04"/>
    <w:rsid w:val="00921F52"/>
    <w:rsid w:val="009221EE"/>
    <w:rsid w:val="00922377"/>
    <w:rsid w:val="00922390"/>
    <w:rsid w:val="009225A5"/>
    <w:rsid w:val="0092283B"/>
    <w:rsid w:val="00922854"/>
    <w:rsid w:val="009228A4"/>
    <w:rsid w:val="0092293C"/>
    <w:rsid w:val="00922E7F"/>
    <w:rsid w:val="00923025"/>
    <w:rsid w:val="0092327C"/>
    <w:rsid w:val="009236A3"/>
    <w:rsid w:val="00923700"/>
    <w:rsid w:val="009237D9"/>
    <w:rsid w:val="00923D0D"/>
    <w:rsid w:val="00923DEE"/>
    <w:rsid w:val="009241CC"/>
    <w:rsid w:val="00924587"/>
    <w:rsid w:val="009247C6"/>
    <w:rsid w:val="009249E3"/>
    <w:rsid w:val="00924AD7"/>
    <w:rsid w:val="00924CAB"/>
    <w:rsid w:val="00924D0E"/>
    <w:rsid w:val="00924DBC"/>
    <w:rsid w:val="00925233"/>
    <w:rsid w:val="00925826"/>
    <w:rsid w:val="00926079"/>
    <w:rsid w:val="00926374"/>
    <w:rsid w:val="00926404"/>
    <w:rsid w:val="0092686E"/>
    <w:rsid w:val="00926969"/>
    <w:rsid w:val="00926A41"/>
    <w:rsid w:val="00926BA8"/>
    <w:rsid w:val="00926F0D"/>
    <w:rsid w:val="009270CA"/>
    <w:rsid w:val="009271B8"/>
    <w:rsid w:val="00927532"/>
    <w:rsid w:val="009277AD"/>
    <w:rsid w:val="00927D67"/>
    <w:rsid w:val="00927E34"/>
    <w:rsid w:val="0093016A"/>
    <w:rsid w:val="009302C2"/>
    <w:rsid w:val="00930873"/>
    <w:rsid w:val="0093089D"/>
    <w:rsid w:val="00930A60"/>
    <w:rsid w:val="00930A69"/>
    <w:rsid w:val="00930B0F"/>
    <w:rsid w:val="00930E8D"/>
    <w:rsid w:val="009311B1"/>
    <w:rsid w:val="00931566"/>
    <w:rsid w:val="009315AE"/>
    <w:rsid w:val="00931934"/>
    <w:rsid w:val="00931BA1"/>
    <w:rsid w:val="00931C5F"/>
    <w:rsid w:val="00931CF2"/>
    <w:rsid w:val="00931FCD"/>
    <w:rsid w:val="009321CE"/>
    <w:rsid w:val="00932273"/>
    <w:rsid w:val="00932293"/>
    <w:rsid w:val="009322BD"/>
    <w:rsid w:val="0093239C"/>
    <w:rsid w:val="009323CA"/>
    <w:rsid w:val="009326DA"/>
    <w:rsid w:val="009327F8"/>
    <w:rsid w:val="00932926"/>
    <w:rsid w:val="0093293D"/>
    <w:rsid w:val="0093298A"/>
    <w:rsid w:val="00932AC9"/>
    <w:rsid w:val="00932D6B"/>
    <w:rsid w:val="00932F81"/>
    <w:rsid w:val="00932F89"/>
    <w:rsid w:val="00932FCC"/>
    <w:rsid w:val="009330B7"/>
    <w:rsid w:val="0093323C"/>
    <w:rsid w:val="0093323F"/>
    <w:rsid w:val="00933269"/>
    <w:rsid w:val="00933318"/>
    <w:rsid w:val="00933362"/>
    <w:rsid w:val="0093359B"/>
    <w:rsid w:val="00933CE0"/>
    <w:rsid w:val="00933DE9"/>
    <w:rsid w:val="00933F3A"/>
    <w:rsid w:val="00933F60"/>
    <w:rsid w:val="00934300"/>
    <w:rsid w:val="00934404"/>
    <w:rsid w:val="009345E6"/>
    <w:rsid w:val="0093477B"/>
    <w:rsid w:val="00934893"/>
    <w:rsid w:val="0093495F"/>
    <w:rsid w:val="00934B2F"/>
    <w:rsid w:val="00934CCD"/>
    <w:rsid w:val="00934D5E"/>
    <w:rsid w:val="00935322"/>
    <w:rsid w:val="00935513"/>
    <w:rsid w:val="00935523"/>
    <w:rsid w:val="00935593"/>
    <w:rsid w:val="009355A4"/>
    <w:rsid w:val="009355A7"/>
    <w:rsid w:val="009355CE"/>
    <w:rsid w:val="009355D3"/>
    <w:rsid w:val="009355EB"/>
    <w:rsid w:val="00935643"/>
    <w:rsid w:val="0093578E"/>
    <w:rsid w:val="00935792"/>
    <w:rsid w:val="00935E9F"/>
    <w:rsid w:val="00935F69"/>
    <w:rsid w:val="0093638D"/>
    <w:rsid w:val="00936733"/>
    <w:rsid w:val="00936ACF"/>
    <w:rsid w:val="00936D09"/>
    <w:rsid w:val="00936E11"/>
    <w:rsid w:val="00937470"/>
    <w:rsid w:val="00937606"/>
    <w:rsid w:val="0093770A"/>
    <w:rsid w:val="0093776C"/>
    <w:rsid w:val="009401E1"/>
    <w:rsid w:val="009405AD"/>
    <w:rsid w:val="00940634"/>
    <w:rsid w:val="0094064D"/>
    <w:rsid w:val="009408A0"/>
    <w:rsid w:val="00941175"/>
    <w:rsid w:val="0094119E"/>
    <w:rsid w:val="009411D1"/>
    <w:rsid w:val="009412B8"/>
    <w:rsid w:val="00941319"/>
    <w:rsid w:val="009416E0"/>
    <w:rsid w:val="00941B4C"/>
    <w:rsid w:val="00941D0F"/>
    <w:rsid w:val="00941E14"/>
    <w:rsid w:val="00941E61"/>
    <w:rsid w:val="00941FC2"/>
    <w:rsid w:val="00942038"/>
    <w:rsid w:val="009420AA"/>
    <w:rsid w:val="0094218B"/>
    <w:rsid w:val="00942481"/>
    <w:rsid w:val="0094249C"/>
    <w:rsid w:val="009426F7"/>
    <w:rsid w:val="00942789"/>
    <w:rsid w:val="00942820"/>
    <w:rsid w:val="00942A28"/>
    <w:rsid w:val="0094335D"/>
    <w:rsid w:val="0094347E"/>
    <w:rsid w:val="00943535"/>
    <w:rsid w:val="009437A2"/>
    <w:rsid w:val="00943947"/>
    <w:rsid w:val="00943A6B"/>
    <w:rsid w:val="00943AF2"/>
    <w:rsid w:val="00944274"/>
    <w:rsid w:val="009442A9"/>
    <w:rsid w:val="00944639"/>
    <w:rsid w:val="00944BCA"/>
    <w:rsid w:val="00944C44"/>
    <w:rsid w:val="00944D55"/>
    <w:rsid w:val="00944F7B"/>
    <w:rsid w:val="009457B5"/>
    <w:rsid w:val="00945E36"/>
    <w:rsid w:val="009461BE"/>
    <w:rsid w:val="00946D09"/>
    <w:rsid w:val="00946E28"/>
    <w:rsid w:val="00946EA0"/>
    <w:rsid w:val="00946EA8"/>
    <w:rsid w:val="00946EAD"/>
    <w:rsid w:val="00946EE4"/>
    <w:rsid w:val="009473EC"/>
    <w:rsid w:val="0094793C"/>
    <w:rsid w:val="00947A84"/>
    <w:rsid w:val="009501AA"/>
    <w:rsid w:val="00950243"/>
    <w:rsid w:val="009502C2"/>
    <w:rsid w:val="009502E6"/>
    <w:rsid w:val="00950309"/>
    <w:rsid w:val="0095036A"/>
    <w:rsid w:val="009504E6"/>
    <w:rsid w:val="0095061E"/>
    <w:rsid w:val="00950626"/>
    <w:rsid w:val="0095066F"/>
    <w:rsid w:val="009506AC"/>
    <w:rsid w:val="0095073B"/>
    <w:rsid w:val="00950BA2"/>
    <w:rsid w:val="00950C23"/>
    <w:rsid w:val="00950DE6"/>
    <w:rsid w:val="00950EBF"/>
    <w:rsid w:val="00950FCC"/>
    <w:rsid w:val="00951011"/>
    <w:rsid w:val="00951374"/>
    <w:rsid w:val="009514C5"/>
    <w:rsid w:val="009517BA"/>
    <w:rsid w:val="009519CE"/>
    <w:rsid w:val="00951C26"/>
    <w:rsid w:val="00951C58"/>
    <w:rsid w:val="009520D6"/>
    <w:rsid w:val="009523EF"/>
    <w:rsid w:val="0095281C"/>
    <w:rsid w:val="00952C8B"/>
    <w:rsid w:val="00952DDA"/>
    <w:rsid w:val="00953527"/>
    <w:rsid w:val="009537D5"/>
    <w:rsid w:val="00953902"/>
    <w:rsid w:val="00953915"/>
    <w:rsid w:val="0095398D"/>
    <w:rsid w:val="009539A5"/>
    <w:rsid w:val="00953E46"/>
    <w:rsid w:val="0095417A"/>
    <w:rsid w:val="009542C4"/>
    <w:rsid w:val="00954595"/>
    <w:rsid w:val="009545B4"/>
    <w:rsid w:val="009548FC"/>
    <w:rsid w:val="00954B05"/>
    <w:rsid w:val="00954DB2"/>
    <w:rsid w:val="00954E5B"/>
    <w:rsid w:val="0095503D"/>
    <w:rsid w:val="00955443"/>
    <w:rsid w:val="009554A6"/>
    <w:rsid w:val="00955660"/>
    <w:rsid w:val="009559BC"/>
    <w:rsid w:val="00955BF8"/>
    <w:rsid w:val="00955E1A"/>
    <w:rsid w:val="00956694"/>
    <w:rsid w:val="009566A3"/>
    <w:rsid w:val="009566E3"/>
    <w:rsid w:val="0095685F"/>
    <w:rsid w:val="00956884"/>
    <w:rsid w:val="009568A4"/>
    <w:rsid w:val="00956B12"/>
    <w:rsid w:val="00956CC9"/>
    <w:rsid w:val="00956FDB"/>
    <w:rsid w:val="00957062"/>
    <w:rsid w:val="009570D9"/>
    <w:rsid w:val="009571E4"/>
    <w:rsid w:val="0095725C"/>
    <w:rsid w:val="00957478"/>
    <w:rsid w:val="00957496"/>
    <w:rsid w:val="00957726"/>
    <w:rsid w:val="009577D3"/>
    <w:rsid w:val="00957905"/>
    <w:rsid w:val="0095790A"/>
    <w:rsid w:val="009579A9"/>
    <w:rsid w:val="009579B0"/>
    <w:rsid w:val="00957ABE"/>
    <w:rsid w:val="00957CC9"/>
    <w:rsid w:val="00957FD0"/>
    <w:rsid w:val="00960196"/>
    <w:rsid w:val="00960305"/>
    <w:rsid w:val="00960399"/>
    <w:rsid w:val="00960C89"/>
    <w:rsid w:val="0096137E"/>
    <w:rsid w:val="0096143A"/>
    <w:rsid w:val="0096169D"/>
    <w:rsid w:val="00961B42"/>
    <w:rsid w:val="00961F64"/>
    <w:rsid w:val="009620ED"/>
    <w:rsid w:val="009621AB"/>
    <w:rsid w:val="0096285E"/>
    <w:rsid w:val="00962AAB"/>
    <w:rsid w:val="00962CE8"/>
    <w:rsid w:val="009633C4"/>
    <w:rsid w:val="00963401"/>
    <w:rsid w:val="00963500"/>
    <w:rsid w:val="0096357B"/>
    <w:rsid w:val="00963586"/>
    <w:rsid w:val="009637B7"/>
    <w:rsid w:val="00964011"/>
    <w:rsid w:val="009641F0"/>
    <w:rsid w:val="0096428E"/>
    <w:rsid w:val="00964312"/>
    <w:rsid w:val="009648FD"/>
    <w:rsid w:val="00964912"/>
    <w:rsid w:val="00964D1F"/>
    <w:rsid w:val="009652BA"/>
    <w:rsid w:val="009655DD"/>
    <w:rsid w:val="00965761"/>
    <w:rsid w:val="00965AB4"/>
    <w:rsid w:val="00965C3A"/>
    <w:rsid w:val="00965D90"/>
    <w:rsid w:val="00966417"/>
    <w:rsid w:val="0096697D"/>
    <w:rsid w:val="009669A8"/>
    <w:rsid w:val="00966A08"/>
    <w:rsid w:val="00966AB7"/>
    <w:rsid w:val="00966AE1"/>
    <w:rsid w:val="00966B58"/>
    <w:rsid w:val="00966E00"/>
    <w:rsid w:val="00967209"/>
    <w:rsid w:val="00967263"/>
    <w:rsid w:val="00967339"/>
    <w:rsid w:val="009674CC"/>
    <w:rsid w:val="0096753B"/>
    <w:rsid w:val="009676FD"/>
    <w:rsid w:val="00967784"/>
    <w:rsid w:val="00967C19"/>
    <w:rsid w:val="00970113"/>
    <w:rsid w:val="00970298"/>
    <w:rsid w:val="009702CB"/>
    <w:rsid w:val="00970AB0"/>
    <w:rsid w:val="00970BEB"/>
    <w:rsid w:val="00971424"/>
    <w:rsid w:val="009715C2"/>
    <w:rsid w:val="009716E1"/>
    <w:rsid w:val="0097193D"/>
    <w:rsid w:val="00971BA4"/>
    <w:rsid w:val="00971EB7"/>
    <w:rsid w:val="0097243C"/>
    <w:rsid w:val="00972483"/>
    <w:rsid w:val="00972916"/>
    <w:rsid w:val="00972AA6"/>
    <w:rsid w:val="00972C6B"/>
    <w:rsid w:val="00972C96"/>
    <w:rsid w:val="00973119"/>
    <w:rsid w:val="0097327C"/>
    <w:rsid w:val="009733F7"/>
    <w:rsid w:val="009735E0"/>
    <w:rsid w:val="00973716"/>
    <w:rsid w:val="009738C1"/>
    <w:rsid w:val="00973B4A"/>
    <w:rsid w:val="00973BBA"/>
    <w:rsid w:val="00973CEA"/>
    <w:rsid w:val="0097409A"/>
    <w:rsid w:val="009741A4"/>
    <w:rsid w:val="0097438F"/>
    <w:rsid w:val="00974471"/>
    <w:rsid w:val="00974769"/>
    <w:rsid w:val="00975010"/>
    <w:rsid w:val="009750D2"/>
    <w:rsid w:val="009750E8"/>
    <w:rsid w:val="00975A33"/>
    <w:rsid w:val="00975BA0"/>
    <w:rsid w:val="00975DB5"/>
    <w:rsid w:val="00975E73"/>
    <w:rsid w:val="00975F0B"/>
    <w:rsid w:val="00975F1E"/>
    <w:rsid w:val="00975F28"/>
    <w:rsid w:val="00975F35"/>
    <w:rsid w:val="00975F92"/>
    <w:rsid w:val="009763EC"/>
    <w:rsid w:val="00976514"/>
    <w:rsid w:val="0097665E"/>
    <w:rsid w:val="00976F3C"/>
    <w:rsid w:val="00976F7A"/>
    <w:rsid w:val="00977278"/>
    <w:rsid w:val="009772B8"/>
    <w:rsid w:val="009773B2"/>
    <w:rsid w:val="009774CA"/>
    <w:rsid w:val="00977603"/>
    <w:rsid w:val="00977641"/>
    <w:rsid w:val="00977985"/>
    <w:rsid w:val="00977BCB"/>
    <w:rsid w:val="00977BFF"/>
    <w:rsid w:val="0098022F"/>
    <w:rsid w:val="00980397"/>
    <w:rsid w:val="00980594"/>
    <w:rsid w:val="00980A4E"/>
    <w:rsid w:val="00980B38"/>
    <w:rsid w:val="00980F36"/>
    <w:rsid w:val="00981028"/>
    <w:rsid w:val="009810E7"/>
    <w:rsid w:val="009811A6"/>
    <w:rsid w:val="009813EC"/>
    <w:rsid w:val="00981470"/>
    <w:rsid w:val="009814EE"/>
    <w:rsid w:val="009817F5"/>
    <w:rsid w:val="00981C6E"/>
    <w:rsid w:val="00981E09"/>
    <w:rsid w:val="00981EE8"/>
    <w:rsid w:val="00982008"/>
    <w:rsid w:val="0098218A"/>
    <w:rsid w:val="009821EA"/>
    <w:rsid w:val="00982434"/>
    <w:rsid w:val="0098289A"/>
    <w:rsid w:val="00982956"/>
    <w:rsid w:val="00982BC2"/>
    <w:rsid w:val="00982D33"/>
    <w:rsid w:val="00983056"/>
    <w:rsid w:val="00983092"/>
    <w:rsid w:val="0098311D"/>
    <w:rsid w:val="00983137"/>
    <w:rsid w:val="0098316F"/>
    <w:rsid w:val="00983491"/>
    <w:rsid w:val="00983541"/>
    <w:rsid w:val="00983985"/>
    <w:rsid w:val="00983A30"/>
    <w:rsid w:val="00983A7F"/>
    <w:rsid w:val="00983D0A"/>
    <w:rsid w:val="00983D2C"/>
    <w:rsid w:val="00983E44"/>
    <w:rsid w:val="00983F66"/>
    <w:rsid w:val="0098420A"/>
    <w:rsid w:val="00984516"/>
    <w:rsid w:val="00984822"/>
    <w:rsid w:val="00984B18"/>
    <w:rsid w:val="00984DE8"/>
    <w:rsid w:val="00984EDE"/>
    <w:rsid w:val="00985048"/>
    <w:rsid w:val="00985065"/>
    <w:rsid w:val="009851C1"/>
    <w:rsid w:val="009852BE"/>
    <w:rsid w:val="009855DB"/>
    <w:rsid w:val="009855F7"/>
    <w:rsid w:val="00985C82"/>
    <w:rsid w:val="00985D59"/>
    <w:rsid w:val="009865B0"/>
    <w:rsid w:val="009865E3"/>
    <w:rsid w:val="0098662B"/>
    <w:rsid w:val="009866F2"/>
    <w:rsid w:val="009867F4"/>
    <w:rsid w:val="00986B2D"/>
    <w:rsid w:val="00987087"/>
    <w:rsid w:val="0098746A"/>
    <w:rsid w:val="00987759"/>
    <w:rsid w:val="0098779C"/>
    <w:rsid w:val="00987A50"/>
    <w:rsid w:val="00987B95"/>
    <w:rsid w:val="00987BD0"/>
    <w:rsid w:val="00987CCE"/>
    <w:rsid w:val="00987D4E"/>
    <w:rsid w:val="009901BA"/>
    <w:rsid w:val="00990249"/>
    <w:rsid w:val="009904F3"/>
    <w:rsid w:val="009906B0"/>
    <w:rsid w:val="00990A8C"/>
    <w:rsid w:val="00990D29"/>
    <w:rsid w:val="009910A7"/>
    <w:rsid w:val="00991371"/>
    <w:rsid w:val="009919B6"/>
    <w:rsid w:val="00991FDD"/>
    <w:rsid w:val="00992047"/>
    <w:rsid w:val="009921B8"/>
    <w:rsid w:val="009923A7"/>
    <w:rsid w:val="0099241D"/>
    <w:rsid w:val="0099243B"/>
    <w:rsid w:val="00992460"/>
    <w:rsid w:val="00992899"/>
    <w:rsid w:val="00992B51"/>
    <w:rsid w:val="00992BE0"/>
    <w:rsid w:val="00992C34"/>
    <w:rsid w:val="00992DA2"/>
    <w:rsid w:val="00993169"/>
    <w:rsid w:val="00993790"/>
    <w:rsid w:val="009939C7"/>
    <w:rsid w:val="00993A59"/>
    <w:rsid w:val="00993BA5"/>
    <w:rsid w:val="00993DB1"/>
    <w:rsid w:val="0099407B"/>
    <w:rsid w:val="0099415C"/>
    <w:rsid w:val="0099498D"/>
    <w:rsid w:val="009949A7"/>
    <w:rsid w:val="00994AA2"/>
    <w:rsid w:val="00994D66"/>
    <w:rsid w:val="00994F64"/>
    <w:rsid w:val="0099556C"/>
    <w:rsid w:val="0099570E"/>
    <w:rsid w:val="009957D5"/>
    <w:rsid w:val="009959A8"/>
    <w:rsid w:val="00995F44"/>
    <w:rsid w:val="009960A5"/>
    <w:rsid w:val="009968DC"/>
    <w:rsid w:val="00996918"/>
    <w:rsid w:val="00996C5C"/>
    <w:rsid w:val="00996C62"/>
    <w:rsid w:val="00996D97"/>
    <w:rsid w:val="00996E02"/>
    <w:rsid w:val="00996F79"/>
    <w:rsid w:val="0099701F"/>
    <w:rsid w:val="00997106"/>
    <w:rsid w:val="0099714A"/>
    <w:rsid w:val="00997162"/>
    <w:rsid w:val="00997439"/>
    <w:rsid w:val="00997592"/>
    <w:rsid w:val="0099782B"/>
    <w:rsid w:val="009978B6"/>
    <w:rsid w:val="00997B43"/>
    <w:rsid w:val="00997C46"/>
    <w:rsid w:val="00997CC8"/>
    <w:rsid w:val="009A0043"/>
    <w:rsid w:val="009A0114"/>
    <w:rsid w:val="009A018D"/>
    <w:rsid w:val="009A0524"/>
    <w:rsid w:val="009A072E"/>
    <w:rsid w:val="009A07A2"/>
    <w:rsid w:val="009A08AD"/>
    <w:rsid w:val="009A0B27"/>
    <w:rsid w:val="009A0E8D"/>
    <w:rsid w:val="009A0F3B"/>
    <w:rsid w:val="009A1296"/>
    <w:rsid w:val="009A16A9"/>
    <w:rsid w:val="009A1B6E"/>
    <w:rsid w:val="009A1E8F"/>
    <w:rsid w:val="009A2254"/>
    <w:rsid w:val="009A2433"/>
    <w:rsid w:val="009A2552"/>
    <w:rsid w:val="009A269D"/>
    <w:rsid w:val="009A26AA"/>
    <w:rsid w:val="009A27F3"/>
    <w:rsid w:val="009A29B6"/>
    <w:rsid w:val="009A2B53"/>
    <w:rsid w:val="009A2D3F"/>
    <w:rsid w:val="009A2D91"/>
    <w:rsid w:val="009A2DA7"/>
    <w:rsid w:val="009A3552"/>
    <w:rsid w:val="009A38BD"/>
    <w:rsid w:val="009A3A73"/>
    <w:rsid w:val="009A3DED"/>
    <w:rsid w:val="009A3E00"/>
    <w:rsid w:val="009A3EE0"/>
    <w:rsid w:val="009A3F0A"/>
    <w:rsid w:val="009A40B6"/>
    <w:rsid w:val="009A4531"/>
    <w:rsid w:val="009A470A"/>
    <w:rsid w:val="009A53AE"/>
    <w:rsid w:val="009A5509"/>
    <w:rsid w:val="009A583E"/>
    <w:rsid w:val="009A5989"/>
    <w:rsid w:val="009A5B67"/>
    <w:rsid w:val="009A5CC2"/>
    <w:rsid w:val="009A5E87"/>
    <w:rsid w:val="009A63EC"/>
    <w:rsid w:val="009A64C4"/>
    <w:rsid w:val="009A6581"/>
    <w:rsid w:val="009A6837"/>
    <w:rsid w:val="009A687B"/>
    <w:rsid w:val="009A6A8D"/>
    <w:rsid w:val="009A6FE2"/>
    <w:rsid w:val="009A712F"/>
    <w:rsid w:val="009A7254"/>
    <w:rsid w:val="009A7526"/>
    <w:rsid w:val="009A7745"/>
    <w:rsid w:val="009A782D"/>
    <w:rsid w:val="009A7A42"/>
    <w:rsid w:val="009A7B47"/>
    <w:rsid w:val="009B0024"/>
    <w:rsid w:val="009B0139"/>
    <w:rsid w:val="009B03C8"/>
    <w:rsid w:val="009B0604"/>
    <w:rsid w:val="009B06ED"/>
    <w:rsid w:val="009B08A6"/>
    <w:rsid w:val="009B08C4"/>
    <w:rsid w:val="009B09C2"/>
    <w:rsid w:val="009B0D89"/>
    <w:rsid w:val="009B0DE8"/>
    <w:rsid w:val="009B0ED7"/>
    <w:rsid w:val="009B110F"/>
    <w:rsid w:val="009B12CF"/>
    <w:rsid w:val="009B1499"/>
    <w:rsid w:val="009B18D4"/>
    <w:rsid w:val="009B1A60"/>
    <w:rsid w:val="009B1A7F"/>
    <w:rsid w:val="009B1E35"/>
    <w:rsid w:val="009B2063"/>
    <w:rsid w:val="009B2626"/>
    <w:rsid w:val="009B286F"/>
    <w:rsid w:val="009B29CE"/>
    <w:rsid w:val="009B2B93"/>
    <w:rsid w:val="009B2F6C"/>
    <w:rsid w:val="009B3000"/>
    <w:rsid w:val="009B3017"/>
    <w:rsid w:val="009B3140"/>
    <w:rsid w:val="009B32A1"/>
    <w:rsid w:val="009B3431"/>
    <w:rsid w:val="009B36A0"/>
    <w:rsid w:val="009B3700"/>
    <w:rsid w:val="009B3BB2"/>
    <w:rsid w:val="009B3D75"/>
    <w:rsid w:val="009B3DCA"/>
    <w:rsid w:val="009B46FA"/>
    <w:rsid w:val="009B48F0"/>
    <w:rsid w:val="009B4C73"/>
    <w:rsid w:val="009B4D62"/>
    <w:rsid w:val="009B4DA0"/>
    <w:rsid w:val="009B4DCE"/>
    <w:rsid w:val="009B4FD8"/>
    <w:rsid w:val="009B50A4"/>
    <w:rsid w:val="009B5353"/>
    <w:rsid w:val="009B547D"/>
    <w:rsid w:val="009B56DD"/>
    <w:rsid w:val="009B584C"/>
    <w:rsid w:val="009B590C"/>
    <w:rsid w:val="009B5E0F"/>
    <w:rsid w:val="009B5EA2"/>
    <w:rsid w:val="009B60D1"/>
    <w:rsid w:val="009B6B41"/>
    <w:rsid w:val="009B6C57"/>
    <w:rsid w:val="009B6C5D"/>
    <w:rsid w:val="009B6FD2"/>
    <w:rsid w:val="009B7347"/>
    <w:rsid w:val="009B7556"/>
    <w:rsid w:val="009B7646"/>
    <w:rsid w:val="009B7865"/>
    <w:rsid w:val="009B7B9E"/>
    <w:rsid w:val="009B7C17"/>
    <w:rsid w:val="009B7CEB"/>
    <w:rsid w:val="009B7D50"/>
    <w:rsid w:val="009B7E06"/>
    <w:rsid w:val="009B7E2D"/>
    <w:rsid w:val="009B7EFA"/>
    <w:rsid w:val="009B7FE9"/>
    <w:rsid w:val="009C0020"/>
    <w:rsid w:val="009C047E"/>
    <w:rsid w:val="009C08D7"/>
    <w:rsid w:val="009C0A93"/>
    <w:rsid w:val="009C0C03"/>
    <w:rsid w:val="009C0D22"/>
    <w:rsid w:val="009C0D38"/>
    <w:rsid w:val="009C0DB9"/>
    <w:rsid w:val="009C13A8"/>
    <w:rsid w:val="009C14CB"/>
    <w:rsid w:val="009C1568"/>
    <w:rsid w:val="009C15DF"/>
    <w:rsid w:val="009C1602"/>
    <w:rsid w:val="009C1766"/>
    <w:rsid w:val="009C1ADE"/>
    <w:rsid w:val="009C1E34"/>
    <w:rsid w:val="009C209B"/>
    <w:rsid w:val="009C2316"/>
    <w:rsid w:val="009C25B7"/>
    <w:rsid w:val="009C25DC"/>
    <w:rsid w:val="009C2636"/>
    <w:rsid w:val="009C28BC"/>
    <w:rsid w:val="009C294E"/>
    <w:rsid w:val="009C29BD"/>
    <w:rsid w:val="009C2AA6"/>
    <w:rsid w:val="009C2E5E"/>
    <w:rsid w:val="009C307D"/>
    <w:rsid w:val="009C317B"/>
    <w:rsid w:val="009C353D"/>
    <w:rsid w:val="009C38CE"/>
    <w:rsid w:val="009C3974"/>
    <w:rsid w:val="009C3C79"/>
    <w:rsid w:val="009C3CD3"/>
    <w:rsid w:val="009C3EE2"/>
    <w:rsid w:val="009C455F"/>
    <w:rsid w:val="009C48D1"/>
    <w:rsid w:val="009C4917"/>
    <w:rsid w:val="009C4D23"/>
    <w:rsid w:val="009C4F76"/>
    <w:rsid w:val="009C50A1"/>
    <w:rsid w:val="009C50CD"/>
    <w:rsid w:val="009C5185"/>
    <w:rsid w:val="009C5197"/>
    <w:rsid w:val="009C5835"/>
    <w:rsid w:val="009C592F"/>
    <w:rsid w:val="009C6528"/>
    <w:rsid w:val="009C6547"/>
    <w:rsid w:val="009C6758"/>
    <w:rsid w:val="009C6907"/>
    <w:rsid w:val="009C6A71"/>
    <w:rsid w:val="009C7009"/>
    <w:rsid w:val="009C78D7"/>
    <w:rsid w:val="009C7A0A"/>
    <w:rsid w:val="009C7B3B"/>
    <w:rsid w:val="009C7E98"/>
    <w:rsid w:val="009C7F36"/>
    <w:rsid w:val="009D011A"/>
    <w:rsid w:val="009D0418"/>
    <w:rsid w:val="009D047A"/>
    <w:rsid w:val="009D0A9C"/>
    <w:rsid w:val="009D0DB0"/>
    <w:rsid w:val="009D1075"/>
    <w:rsid w:val="009D17CB"/>
    <w:rsid w:val="009D19C4"/>
    <w:rsid w:val="009D1C5E"/>
    <w:rsid w:val="009D22AB"/>
    <w:rsid w:val="009D2350"/>
    <w:rsid w:val="009D23D2"/>
    <w:rsid w:val="009D25FD"/>
    <w:rsid w:val="009D280E"/>
    <w:rsid w:val="009D2963"/>
    <w:rsid w:val="009D2F3B"/>
    <w:rsid w:val="009D31D8"/>
    <w:rsid w:val="009D355E"/>
    <w:rsid w:val="009D3755"/>
    <w:rsid w:val="009D3C98"/>
    <w:rsid w:val="009D3FC8"/>
    <w:rsid w:val="009D4130"/>
    <w:rsid w:val="009D446B"/>
    <w:rsid w:val="009D47F9"/>
    <w:rsid w:val="009D48A2"/>
    <w:rsid w:val="009D4923"/>
    <w:rsid w:val="009D4B70"/>
    <w:rsid w:val="009D4D52"/>
    <w:rsid w:val="009D4E45"/>
    <w:rsid w:val="009D53CD"/>
    <w:rsid w:val="009D59DC"/>
    <w:rsid w:val="009D5A51"/>
    <w:rsid w:val="009D5EF6"/>
    <w:rsid w:val="009D600B"/>
    <w:rsid w:val="009D602E"/>
    <w:rsid w:val="009D6051"/>
    <w:rsid w:val="009D6115"/>
    <w:rsid w:val="009D64EE"/>
    <w:rsid w:val="009D66E4"/>
    <w:rsid w:val="009D6708"/>
    <w:rsid w:val="009D6A45"/>
    <w:rsid w:val="009D6B66"/>
    <w:rsid w:val="009D6B76"/>
    <w:rsid w:val="009D6ED9"/>
    <w:rsid w:val="009D718F"/>
    <w:rsid w:val="009D75E8"/>
    <w:rsid w:val="009E060E"/>
    <w:rsid w:val="009E0862"/>
    <w:rsid w:val="009E0954"/>
    <w:rsid w:val="009E0A47"/>
    <w:rsid w:val="009E0AD2"/>
    <w:rsid w:val="009E0E6A"/>
    <w:rsid w:val="009E11EC"/>
    <w:rsid w:val="009E1290"/>
    <w:rsid w:val="009E1539"/>
    <w:rsid w:val="009E1640"/>
    <w:rsid w:val="009E1B47"/>
    <w:rsid w:val="009E1DAD"/>
    <w:rsid w:val="009E21E5"/>
    <w:rsid w:val="009E225F"/>
    <w:rsid w:val="009E2647"/>
    <w:rsid w:val="009E27C1"/>
    <w:rsid w:val="009E2AE6"/>
    <w:rsid w:val="009E2E1C"/>
    <w:rsid w:val="009E30A9"/>
    <w:rsid w:val="009E3296"/>
    <w:rsid w:val="009E345F"/>
    <w:rsid w:val="009E3D72"/>
    <w:rsid w:val="009E3E0B"/>
    <w:rsid w:val="009E409D"/>
    <w:rsid w:val="009E40FA"/>
    <w:rsid w:val="009E42D1"/>
    <w:rsid w:val="009E4528"/>
    <w:rsid w:val="009E480E"/>
    <w:rsid w:val="009E4C8E"/>
    <w:rsid w:val="009E582E"/>
    <w:rsid w:val="009E5E85"/>
    <w:rsid w:val="009E5F23"/>
    <w:rsid w:val="009E602D"/>
    <w:rsid w:val="009E625A"/>
    <w:rsid w:val="009E6862"/>
    <w:rsid w:val="009E68EA"/>
    <w:rsid w:val="009E69EE"/>
    <w:rsid w:val="009E6BFB"/>
    <w:rsid w:val="009E6EDE"/>
    <w:rsid w:val="009E7171"/>
    <w:rsid w:val="009E7553"/>
    <w:rsid w:val="009E76F2"/>
    <w:rsid w:val="009E7836"/>
    <w:rsid w:val="009E7B3A"/>
    <w:rsid w:val="009E7D86"/>
    <w:rsid w:val="009F0146"/>
    <w:rsid w:val="009F098E"/>
    <w:rsid w:val="009F0A52"/>
    <w:rsid w:val="009F107A"/>
    <w:rsid w:val="009F129C"/>
    <w:rsid w:val="009F14D0"/>
    <w:rsid w:val="009F181D"/>
    <w:rsid w:val="009F19BC"/>
    <w:rsid w:val="009F1B06"/>
    <w:rsid w:val="009F1B24"/>
    <w:rsid w:val="009F1D3C"/>
    <w:rsid w:val="009F1FE1"/>
    <w:rsid w:val="009F2125"/>
    <w:rsid w:val="009F214A"/>
    <w:rsid w:val="009F254F"/>
    <w:rsid w:val="009F2944"/>
    <w:rsid w:val="009F2B17"/>
    <w:rsid w:val="009F2D66"/>
    <w:rsid w:val="009F3136"/>
    <w:rsid w:val="009F3202"/>
    <w:rsid w:val="009F34A4"/>
    <w:rsid w:val="009F3531"/>
    <w:rsid w:val="009F3685"/>
    <w:rsid w:val="009F37EF"/>
    <w:rsid w:val="009F3BE6"/>
    <w:rsid w:val="009F3E1B"/>
    <w:rsid w:val="009F3E83"/>
    <w:rsid w:val="009F406F"/>
    <w:rsid w:val="009F407F"/>
    <w:rsid w:val="009F41F8"/>
    <w:rsid w:val="009F4878"/>
    <w:rsid w:val="009F4C76"/>
    <w:rsid w:val="009F50D5"/>
    <w:rsid w:val="009F586A"/>
    <w:rsid w:val="009F5C39"/>
    <w:rsid w:val="009F5C5E"/>
    <w:rsid w:val="009F637C"/>
    <w:rsid w:val="009F6499"/>
    <w:rsid w:val="009F6907"/>
    <w:rsid w:val="009F696C"/>
    <w:rsid w:val="009F6978"/>
    <w:rsid w:val="009F6AAA"/>
    <w:rsid w:val="009F6BD0"/>
    <w:rsid w:val="009F6C3C"/>
    <w:rsid w:val="009F6C91"/>
    <w:rsid w:val="009F6F64"/>
    <w:rsid w:val="009F7039"/>
    <w:rsid w:val="009F7062"/>
    <w:rsid w:val="009F7222"/>
    <w:rsid w:val="009F7236"/>
    <w:rsid w:val="009F7522"/>
    <w:rsid w:val="009F7565"/>
    <w:rsid w:val="009F7757"/>
    <w:rsid w:val="009F7914"/>
    <w:rsid w:val="009F7A0C"/>
    <w:rsid w:val="009F7B4A"/>
    <w:rsid w:val="009F7FFA"/>
    <w:rsid w:val="00A0020A"/>
    <w:rsid w:val="00A0043C"/>
    <w:rsid w:val="00A00637"/>
    <w:rsid w:val="00A0067C"/>
    <w:rsid w:val="00A00824"/>
    <w:rsid w:val="00A008F6"/>
    <w:rsid w:val="00A00902"/>
    <w:rsid w:val="00A009E8"/>
    <w:rsid w:val="00A00C43"/>
    <w:rsid w:val="00A00EF9"/>
    <w:rsid w:val="00A01190"/>
    <w:rsid w:val="00A01580"/>
    <w:rsid w:val="00A016A2"/>
    <w:rsid w:val="00A01897"/>
    <w:rsid w:val="00A018BB"/>
    <w:rsid w:val="00A0199C"/>
    <w:rsid w:val="00A01AB4"/>
    <w:rsid w:val="00A01F29"/>
    <w:rsid w:val="00A02892"/>
    <w:rsid w:val="00A02998"/>
    <w:rsid w:val="00A0324A"/>
    <w:rsid w:val="00A03525"/>
    <w:rsid w:val="00A03581"/>
    <w:rsid w:val="00A0358A"/>
    <w:rsid w:val="00A035AD"/>
    <w:rsid w:val="00A035CC"/>
    <w:rsid w:val="00A04042"/>
    <w:rsid w:val="00A040BC"/>
    <w:rsid w:val="00A04146"/>
    <w:rsid w:val="00A04167"/>
    <w:rsid w:val="00A04461"/>
    <w:rsid w:val="00A0460B"/>
    <w:rsid w:val="00A04A60"/>
    <w:rsid w:val="00A04B12"/>
    <w:rsid w:val="00A04EA5"/>
    <w:rsid w:val="00A04F5C"/>
    <w:rsid w:val="00A05045"/>
    <w:rsid w:val="00A05432"/>
    <w:rsid w:val="00A054BE"/>
    <w:rsid w:val="00A0556A"/>
    <w:rsid w:val="00A05592"/>
    <w:rsid w:val="00A05652"/>
    <w:rsid w:val="00A05BCD"/>
    <w:rsid w:val="00A05D5B"/>
    <w:rsid w:val="00A05F92"/>
    <w:rsid w:val="00A05FF8"/>
    <w:rsid w:val="00A06009"/>
    <w:rsid w:val="00A0606F"/>
    <w:rsid w:val="00A065E7"/>
    <w:rsid w:val="00A066A3"/>
    <w:rsid w:val="00A06878"/>
    <w:rsid w:val="00A06EF1"/>
    <w:rsid w:val="00A0703D"/>
    <w:rsid w:val="00A07271"/>
    <w:rsid w:val="00A076A7"/>
    <w:rsid w:val="00A0771D"/>
    <w:rsid w:val="00A07B92"/>
    <w:rsid w:val="00A07CF7"/>
    <w:rsid w:val="00A07DFA"/>
    <w:rsid w:val="00A07FEE"/>
    <w:rsid w:val="00A10024"/>
    <w:rsid w:val="00A10199"/>
    <w:rsid w:val="00A10374"/>
    <w:rsid w:val="00A10375"/>
    <w:rsid w:val="00A1053D"/>
    <w:rsid w:val="00A10605"/>
    <w:rsid w:val="00A106DA"/>
    <w:rsid w:val="00A10ECD"/>
    <w:rsid w:val="00A117DB"/>
    <w:rsid w:val="00A11A9A"/>
    <w:rsid w:val="00A11AAA"/>
    <w:rsid w:val="00A11E4B"/>
    <w:rsid w:val="00A123CC"/>
    <w:rsid w:val="00A12410"/>
    <w:rsid w:val="00A12439"/>
    <w:rsid w:val="00A12555"/>
    <w:rsid w:val="00A126FF"/>
    <w:rsid w:val="00A12940"/>
    <w:rsid w:val="00A12B68"/>
    <w:rsid w:val="00A12BE8"/>
    <w:rsid w:val="00A12D84"/>
    <w:rsid w:val="00A12FEE"/>
    <w:rsid w:val="00A1307A"/>
    <w:rsid w:val="00A13192"/>
    <w:rsid w:val="00A131E5"/>
    <w:rsid w:val="00A13466"/>
    <w:rsid w:val="00A13860"/>
    <w:rsid w:val="00A1394F"/>
    <w:rsid w:val="00A13A3F"/>
    <w:rsid w:val="00A13A64"/>
    <w:rsid w:val="00A13F80"/>
    <w:rsid w:val="00A143FE"/>
    <w:rsid w:val="00A148AB"/>
    <w:rsid w:val="00A14B43"/>
    <w:rsid w:val="00A14DEB"/>
    <w:rsid w:val="00A14FC5"/>
    <w:rsid w:val="00A15084"/>
    <w:rsid w:val="00A15244"/>
    <w:rsid w:val="00A15269"/>
    <w:rsid w:val="00A15EF1"/>
    <w:rsid w:val="00A1604B"/>
    <w:rsid w:val="00A164EF"/>
    <w:rsid w:val="00A169AA"/>
    <w:rsid w:val="00A16AC6"/>
    <w:rsid w:val="00A16B41"/>
    <w:rsid w:val="00A1741F"/>
    <w:rsid w:val="00A175C9"/>
    <w:rsid w:val="00A17C04"/>
    <w:rsid w:val="00A17D31"/>
    <w:rsid w:val="00A17DC4"/>
    <w:rsid w:val="00A17DCC"/>
    <w:rsid w:val="00A17EE0"/>
    <w:rsid w:val="00A17F6C"/>
    <w:rsid w:val="00A2067E"/>
    <w:rsid w:val="00A207B3"/>
    <w:rsid w:val="00A20B07"/>
    <w:rsid w:val="00A20BED"/>
    <w:rsid w:val="00A20F1F"/>
    <w:rsid w:val="00A2147A"/>
    <w:rsid w:val="00A214F9"/>
    <w:rsid w:val="00A219A6"/>
    <w:rsid w:val="00A219F5"/>
    <w:rsid w:val="00A21BE7"/>
    <w:rsid w:val="00A21C6D"/>
    <w:rsid w:val="00A21CB5"/>
    <w:rsid w:val="00A21FDF"/>
    <w:rsid w:val="00A2292C"/>
    <w:rsid w:val="00A2294A"/>
    <w:rsid w:val="00A22A1A"/>
    <w:rsid w:val="00A22D26"/>
    <w:rsid w:val="00A23267"/>
    <w:rsid w:val="00A23324"/>
    <w:rsid w:val="00A237DD"/>
    <w:rsid w:val="00A239DB"/>
    <w:rsid w:val="00A2457C"/>
    <w:rsid w:val="00A248DC"/>
    <w:rsid w:val="00A24981"/>
    <w:rsid w:val="00A24A18"/>
    <w:rsid w:val="00A24A59"/>
    <w:rsid w:val="00A24BD9"/>
    <w:rsid w:val="00A24C79"/>
    <w:rsid w:val="00A24DE0"/>
    <w:rsid w:val="00A250A8"/>
    <w:rsid w:val="00A253E2"/>
    <w:rsid w:val="00A2541F"/>
    <w:rsid w:val="00A254B4"/>
    <w:rsid w:val="00A255B0"/>
    <w:rsid w:val="00A256F9"/>
    <w:rsid w:val="00A2591A"/>
    <w:rsid w:val="00A25A50"/>
    <w:rsid w:val="00A25E4A"/>
    <w:rsid w:val="00A26208"/>
    <w:rsid w:val="00A263CF"/>
    <w:rsid w:val="00A264F8"/>
    <w:rsid w:val="00A26928"/>
    <w:rsid w:val="00A269D3"/>
    <w:rsid w:val="00A269E7"/>
    <w:rsid w:val="00A26BCD"/>
    <w:rsid w:val="00A275A5"/>
    <w:rsid w:val="00A2783F"/>
    <w:rsid w:val="00A279DD"/>
    <w:rsid w:val="00A27AD1"/>
    <w:rsid w:val="00A300BD"/>
    <w:rsid w:val="00A300E5"/>
    <w:rsid w:val="00A3032D"/>
    <w:rsid w:val="00A309E6"/>
    <w:rsid w:val="00A30A4F"/>
    <w:rsid w:val="00A30AB3"/>
    <w:rsid w:val="00A30BFE"/>
    <w:rsid w:val="00A30D47"/>
    <w:rsid w:val="00A31077"/>
    <w:rsid w:val="00A31368"/>
    <w:rsid w:val="00A31373"/>
    <w:rsid w:val="00A31964"/>
    <w:rsid w:val="00A31FE5"/>
    <w:rsid w:val="00A32312"/>
    <w:rsid w:val="00A32349"/>
    <w:rsid w:val="00A3237D"/>
    <w:rsid w:val="00A3256D"/>
    <w:rsid w:val="00A32A29"/>
    <w:rsid w:val="00A32D4C"/>
    <w:rsid w:val="00A32DFD"/>
    <w:rsid w:val="00A33417"/>
    <w:rsid w:val="00A33429"/>
    <w:rsid w:val="00A33560"/>
    <w:rsid w:val="00A3362B"/>
    <w:rsid w:val="00A337E6"/>
    <w:rsid w:val="00A338F4"/>
    <w:rsid w:val="00A33FC0"/>
    <w:rsid w:val="00A340E5"/>
    <w:rsid w:val="00A341C7"/>
    <w:rsid w:val="00A3420F"/>
    <w:rsid w:val="00A34219"/>
    <w:rsid w:val="00A34236"/>
    <w:rsid w:val="00A3424E"/>
    <w:rsid w:val="00A3456B"/>
    <w:rsid w:val="00A3461E"/>
    <w:rsid w:val="00A349F2"/>
    <w:rsid w:val="00A34A83"/>
    <w:rsid w:val="00A34FB6"/>
    <w:rsid w:val="00A354F4"/>
    <w:rsid w:val="00A354FA"/>
    <w:rsid w:val="00A355DF"/>
    <w:rsid w:val="00A355F9"/>
    <w:rsid w:val="00A35837"/>
    <w:rsid w:val="00A35965"/>
    <w:rsid w:val="00A35980"/>
    <w:rsid w:val="00A35F2C"/>
    <w:rsid w:val="00A35F66"/>
    <w:rsid w:val="00A3609A"/>
    <w:rsid w:val="00A362B4"/>
    <w:rsid w:val="00A362B8"/>
    <w:rsid w:val="00A362D9"/>
    <w:rsid w:val="00A36377"/>
    <w:rsid w:val="00A36641"/>
    <w:rsid w:val="00A367B8"/>
    <w:rsid w:val="00A36B16"/>
    <w:rsid w:val="00A37131"/>
    <w:rsid w:val="00A3724C"/>
    <w:rsid w:val="00A379D4"/>
    <w:rsid w:val="00A37C42"/>
    <w:rsid w:val="00A37E3B"/>
    <w:rsid w:val="00A40159"/>
    <w:rsid w:val="00A401FD"/>
    <w:rsid w:val="00A40223"/>
    <w:rsid w:val="00A403F9"/>
    <w:rsid w:val="00A40640"/>
    <w:rsid w:val="00A4064D"/>
    <w:rsid w:val="00A40C68"/>
    <w:rsid w:val="00A40C6A"/>
    <w:rsid w:val="00A40EBE"/>
    <w:rsid w:val="00A4122B"/>
    <w:rsid w:val="00A4132C"/>
    <w:rsid w:val="00A41404"/>
    <w:rsid w:val="00A4175F"/>
    <w:rsid w:val="00A417BB"/>
    <w:rsid w:val="00A41903"/>
    <w:rsid w:val="00A4190B"/>
    <w:rsid w:val="00A4192C"/>
    <w:rsid w:val="00A41936"/>
    <w:rsid w:val="00A41AF0"/>
    <w:rsid w:val="00A41AF7"/>
    <w:rsid w:val="00A41B3A"/>
    <w:rsid w:val="00A41E86"/>
    <w:rsid w:val="00A41FEA"/>
    <w:rsid w:val="00A421BE"/>
    <w:rsid w:val="00A423C7"/>
    <w:rsid w:val="00A427BB"/>
    <w:rsid w:val="00A43072"/>
    <w:rsid w:val="00A43158"/>
    <w:rsid w:val="00A43197"/>
    <w:rsid w:val="00A4320F"/>
    <w:rsid w:val="00A433CD"/>
    <w:rsid w:val="00A43AE2"/>
    <w:rsid w:val="00A43E25"/>
    <w:rsid w:val="00A441DB"/>
    <w:rsid w:val="00A443B5"/>
    <w:rsid w:val="00A44640"/>
    <w:rsid w:val="00A4472B"/>
    <w:rsid w:val="00A448A2"/>
    <w:rsid w:val="00A44E61"/>
    <w:rsid w:val="00A45031"/>
    <w:rsid w:val="00A45075"/>
    <w:rsid w:val="00A4525A"/>
    <w:rsid w:val="00A453C9"/>
    <w:rsid w:val="00A45538"/>
    <w:rsid w:val="00A45902"/>
    <w:rsid w:val="00A45913"/>
    <w:rsid w:val="00A45FF6"/>
    <w:rsid w:val="00A4627A"/>
    <w:rsid w:val="00A464A9"/>
    <w:rsid w:val="00A46A83"/>
    <w:rsid w:val="00A46C41"/>
    <w:rsid w:val="00A46F1D"/>
    <w:rsid w:val="00A47739"/>
    <w:rsid w:val="00A47A6E"/>
    <w:rsid w:val="00A47B27"/>
    <w:rsid w:val="00A5060F"/>
    <w:rsid w:val="00A50CC9"/>
    <w:rsid w:val="00A51227"/>
    <w:rsid w:val="00A51351"/>
    <w:rsid w:val="00A515E9"/>
    <w:rsid w:val="00A516C7"/>
    <w:rsid w:val="00A517B5"/>
    <w:rsid w:val="00A51956"/>
    <w:rsid w:val="00A51BDE"/>
    <w:rsid w:val="00A51CEA"/>
    <w:rsid w:val="00A52111"/>
    <w:rsid w:val="00A522F3"/>
    <w:rsid w:val="00A524BB"/>
    <w:rsid w:val="00A52515"/>
    <w:rsid w:val="00A5255C"/>
    <w:rsid w:val="00A526FA"/>
    <w:rsid w:val="00A52B12"/>
    <w:rsid w:val="00A52C18"/>
    <w:rsid w:val="00A52C33"/>
    <w:rsid w:val="00A52C50"/>
    <w:rsid w:val="00A52DD5"/>
    <w:rsid w:val="00A52DE4"/>
    <w:rsid w:val="00A532AA"/>
    <w:rsid w:val="00A5336F"/>
    <w:rsid w:val="00A534D5"/>
    <w:rsid w:val="00A53660"/>
    <w:rsid w:val="00A53A14"/>
    <w:rsid w:val="00A53BC9"/>
    <w:rsid w:val="00A53D6B"/>
    <w:rsid w:val="00A53E3A"/>
    <w:rsid w:val="00A5400A"/>
    <w:rsid w:val="00A540D3"/>
    <w:rsid w:val="00A5410F"/>
    <w:rsid w:val="00A5432C"/>
    <w:rsid w:val="00A54750"/>
    <w:rsid w:val="00A54A84"/>
    <w:rsid w:val="00A54B2F"/>
    <w:rsid w:val="00A54FAF"/>
    <w:rsid w:val="00A55740"/>
    <w:rsid w:val="00A55994"/>
    <w:rsid w:val="00A55C8A"/>
    <w:rsid w:val="00A55FA1"/>
    <w:rsid w:val="00A5614C"/>
    <w:rsid w:val="00A56185"/>
    <w:rsid w:val="00A56313"/>
    <w:rsid w:val="00A563C1"/>
    <w:rsid w:val="00A56562"/>
    <w:rsid w:val="00A566D8"/>
    <w:rsid w:val="00A5687D"/>
    <w:rsid w:val="00A56C25"/>
    <w:rsid w:val="00A57359"/>
    <w:rsid w:val="00A5759A"/>
    <w:rsid w:val="00A57625"/>
    <w:rsid w:val="00A57ADC"/>
    <w:rsid w:val="00A57B24"/>
    <w:rsid w:val="00A57B4D"/>
    <w:rsid w:val="00A57B85"/>
    <w:rsid w:val="00A57EAF"/>
    <w:rsid w:val="00A57F02"/>
    <w:rsid w:val="00A6007C"/>
    <w:rsid w:val="00A60083"/>
    <w:rsid w:val="00A60202"/>
    <w:rsid w:val="00A605CC"/>
    <w:rsid w:val="00A60773"/>
    <w:rsid w:val="00A60832"/>
    <w:rsid w:val="00A6092E"/>
    <w:rsid w:val="00A60BCC"/>
    <w:rsid w:val="00A60C38"/>
    <w:rsid w:val="00A60D37"/>
    <w:rsid w:val="00A60E1A"/>
    <w:rsid w:val="00A60EBC"/>
    <w:rsid w:val="00A612D9"/>
    <w:rsid w:val="00A6156F"/>
    <w:rsid w:val="00A616AF"/>
    <w:rsid w:val="00A6186B"/>
    <w:rsid w:val="00A61A88"/>
    <w:rsid w:val="00A61D15"/>
    <w:rsid w:val="00A61D61"/>
    <w:rsid w:val="00A61EEE"/>
    <w:rsid w:val="00A6200B"/>
    <w:rsid w:val="00A620DD"/>
    <w:rsid w:val="00A62349"/>
    <w:rsid w:val="00A6236B"/>
    <w:rsid w:val="00A62462"/>
    <w:rsid w:val="00A62601"/>
    <w:rsid w:val="00A62BC8"/>
    <w:rsid w:val="00A62C8A"/>
    <w:rsid w:val="00A62C91"/>
    <w:rsid w:val="00A62D4A"/>
    <w:rsid w:val="00A62DAB"/>
    <w:rsid w:val="00A62F06"/>
    <w:rsid w:val="00A62FFF"/>
    <w:rsid w:val="00A63180"/>
    <w:rsid w:val="00A6335E"/>
    <w:rsid w:val="00A63998"/>
    <w:rsid w:val="00A6414E"/>
    <w:rsid w:val="00A64236"/>
    <w:rsid w:val="00A643CC"/>
    <w:rsid w:val="00A64803"/>
    <w:rsid w:val="00A64B6C"/>
    <w:rsid w:val="00A6518A"/>
    <w:rsid w:val="00A65282"/>
    <w:rsid w:val="00A654DA"/>
    <w:rsid w:val="00A657C3"/>
    <w:rsid w:val="00A6594B"/>
    <w:rsid w:val="00A65B99"/>
    <w:rsid w:val="00A65F12"/>
    <w:rsid w:val="00A65F30"/>
    <w:rsid w:val="00A663DB"/>
    <w:rsid w:val="00A66563"/>
    <w:rsid w:val="00A66860"/>
    <w:rsid w:val="00A66B3C"/>
    <w:rsid w:val="00A66B59"/>
    <w:rsid w:val="00A66BC2"/>
    <w:rsid w:val="00A66D32"/>
    <w:rsid w:val="00A66F02"/>
    <w:rsid w:val="00A66F9F"/>
    <w:rsid w:val="00A670F0"/>
    <w:rsid w:val="00A6720A"/>
    <w:rsid w:val="00A67426"/>
    <w:rsid w:val="00A67435"/>
    <w:rsid w:val="00A67840"/>
    <w:rsid w:val="00A6793E"/>
    <w:rsid w:val="00A70EEF"/>
    <w:rsid w:val="00A70F74"/>
    <w:rsid w:val="00A71093"/>
    <w:rsid w:val="00A71214"/>
    <w:rsid w:val="00A713D0"/>
    <w:rsid w:val="00A71481"/>
    <w:rsid w:val="00A71679"/>
    <w:rsid w:val="00A717DD"/>
    <w:rsid w:val="00A719AD"/>
    <w:rsid w:val="00A71D89"/>
    <w:rsid w:val="00A71F6A"/>
    <w:rsid w:val="00A724D1"/>
    <w:rsid w:val="00A72A10"/>
    <w:rsid w:val="00A72E49"/>
    <w:rsid w:val="00A730CC"/>
    <w:rsid w:val="00A7314C"/>
    <w:rsid w:val="00A73787"/>
    <w:rsid w:val="00A73CC8"/>
    <w:rsid w:val="00A73D9D"/>
    <w:rsid w:val="00A73DC8"/>
    <w:rsid w:val="00A73DCD"/>
    <w:rsid w:val="00A73E1E"/>
    <w:rsid w:val="00A742FE"/>
    <w:rsid w:val="00A7453F"/>
    <w:rsid w:val="00A7481A"/>
    <w:rsid w:val="00A74858"/>
    <w:rsid w:val="00A74A03"/>
    <w:rsid w:val="00A74FA0"/>
    <w:rsid w:val="00A75292"/>
    <w:rsid w:val="00A754B0"/>
    <w:rsid w:val="00A757B0"/>
    <w:rsid w:val="00A75B2E"/>
    <w:rsid w:val="00A75BB4"/>
    <w:rsid w:val="00A762F0"/>
    <w:rsid w:val="00A76432"/>
    <w:rsid w:val="00A76496"/>
    <w:rsid w:val="00A765B2"/>
    <w:rsid w:val="00A76BD5"/>
    <w:rsid w:val="00A76D9D"/>
    <w:rsid w:val="00A7735E"/>
    <w:rsid w:val="00A777F6"/>
    <w:rsid w:val="00A7790C"/>
    <w:rsid w:val="00A77911"/>
    <w:rsid w:val="00A77C2C"/>
    <w:rsid w:val="00A80199"/>
    <w:rsid w:val="00A8075D"/>
    <w:rsid w:val="00A80770"/>
    <w:rsid w:val="00A808AA"/>
    <w:rsid w:val="00A80C51"/>
    <w:rsid w:val="00A80C75"/>
    <w:rsid w:val="00A80D25"/>
    <w:rsid w:val="00A80D87"/>
    <w:rsid w:val="00A80E5A"/>
    <w:rsid w:val="00A811B9"/>
    <w:rsid w:val="00A8120D"/>
    <w:rsid w:val="00A81295"/>
    <w:rsid w:val="00A813EB"/>
    <w:rsid w:val="00A81754"/>
    <w:rsid w:val="00A817B4"/>
    <w:rsid w:val="00A817C9"/>
    <w:rsid w:val="00A81991"/>
    <w:rsid w:val="00A81B90"/>
    <w:rsid w:val="00A81F04"/>
    <w:rsid w:val="00A823C8"/>
    <w:rsid w:val="00A82537"/>
    <w:rsid w:val="00A8264F"/>
    <w:rsid w:val="00A82916"/>
    <w:rsid w:val="00A82B79"/>
    <w:rsid w:val="00A82E0F"/>
    <w:rsid w:val="00A82E3C"/>
    <w:rsid w:val="00A82E9A"/>
    <w:rsid w:val="00A83387"/>
    <w:rsid w:val="00A8346F"/>
    <w:rsid w:val="00A83532"/>
    <w:rsid w:val="00A8393E"/>
    <w:rsid w:val="00A83C2D"/>
    <w:rsid w:val="00A83CE9"/>
    <w:rsid w:val="00A83E59"/>
    <w:rsid w:val="00A83F52"/>
    <w:rsid w:val="00A84046"/>
    <w:rsid w:val="00A8413C"/>
    <w:rsid w:val="00A84485"/>
    <w:rsid w:val="00A84562"/>
    <w:rsid w:val="00A8479B"/>
    <w:rsid w:val="00A84E4C"/>
    <w:rsid w:val="00A85549"/>
    <w:rsid w:val="00A85DD9"/>
    <w:rsid w:val="00A85EDD"/>
    <w:rsid w:val="00A863B8"/>
    <w:rsid w:val="00A8655E"/>
    <w:rsid w:val="00A868A9"/>
    <w:rsid w:val="00A869BC"/>
    <w:rsid w:val="00A86DDE"/>
    <w:rsid w:val="00A86FE8"/>
    <w:rsid w:val="00A87453"/>
    <w:rsid w:val="00A8761D"/>
    <w:rsid w:val="00A87B2F"/>
    <w:rsid w:val="00A87BB0"/>
    <w:rsid w:val="00A87C5D"/>
    <w:rsid w:val="00A90040"/>
    <w:rsid w:val="00A904C2"/>
    <w:rsid w:val="00A904D3"/>
    <w:rsid w:val="00A90517"/>
    <w:rsid w:val="00A90BE8"/>
    <w:rsid w:val="00A90D23"/>
    <w:rsid w:val="00A91174"/>
    <w:rsid w:val="00A91A18"/>
    <w:rsid w:val="00A920D5"/>
    <w:rsid w:val="00A926AB"/>
    <w:rsid w:val="00A927D1"/>
    <w:rsid w:val="00A931B5"/>
    <w:rsid w:val="00A933C6"/>
    <w:rsid w:val="00A935F0"/>
    <w:rsid w:val="00A93A47"/>
    <w:rsid w:val="00A93CAC"/>
    <w:rsid w:val="00A93D90"/>
    <w:rsid w:val="00A940E2"/>
    <w:rsid w:val="00A94B2A"/>
    <w:rsid w:val="00A94BCD"/>
    <w:rsid w:val="00A94DA5"/>
    <w:rsid w:val="00A9533D"/>
    <w:rsid w:val="00A953AB"/>
    <w:rsid w:val="00A95681"/>
    <w:rsid w:val="00A9577F"/>
    <w:rsid w:val="00A958A5"/>
    <w:rsid w:val="00A95A42"/>
    <w:rsid w:val="00A95E30"/>
    <w:rsid w:val="00A96114"/>
    <w:rsid w:val="00A96251"/>
    <w:rsid w:val="00A963C9"/>
    <w:rsid w:val="00A965BF"/>
    <w:rsid w:val="00A96CDC"/>
    <w:rsid w:val="00A97143"/>
    <w:rsid w:val="00A9727F"/>
    <w:rsid w:val="00A973CF"/>
    <w:rsid w:val="00A977DC"/>
    <w:rsid w:val="00A9795A"/>
    <w:rsid w:val="00A97B24"/>
    <w:rsid w:val="00A97B66"/>
    <w:rsid w:val="00A97FBF"/>
    <w:rsid w:val="00AA073A"/>
    <w:rsid w:val="00AA08A5"/>
    <w:rsid w:val="00AA0B9B"/>
    <w:rsid w:val="00AA0C08"/>
    <w:rsid w:val="00AA0F8F"/>
    <w:rsid w:val="00AA1125"/>
    <w:rsid w:val="00AA1315"/>
    <w:rsid w:val="00AA14C5"/>
    <w:rsid w:val="00AA16EA"/>
    <w:rsid w:val="00AA1889"/>
    <w:rsid w:val="00AA1C2C"/>
    <w:rsid w:val="00AA1C56"/>
    <w:rsid w:val="00AA1DB6"/>
    <w:rsid w:val="00AA1EC1"/>
    <w:rsid w:val="00AA1F12"/>
    <w:rsid w:val="00AA1F43"/>
    <w:rsid w:val="00AA22BD"/>
    <w:rsid w:val="00AA2407"/>
    <w:rsid w:val="00AA2547"/>
    <w:rsid w:val="00AA2592"/>
    <w:rsid w:val="00AA2BBD"/>
    <w:rsid w:val="00AA2C57"/>
    <w:rsid w:val="00AA2C73"/>
    <w:rsid w:val="00AA2EC1"/>
    <w:rsid w:val="00AA3058"/>
    <w:rsid w:val="00AA30C6"/>
    <w:rsid w:val="00AA318F"/>
    <w:rsid w:val="00AA31A4"/>
    <w:rsid w:val="00AA327F"/>
    <w:rsid w:val="00AA32B6"/>
    <w:rsid w:val="00AA378E"/>
    <w:rsid w:val="00AA3A0E"/>
    <w:rsid w:val="00AA3BBB"/>
    <w:rsid w:val="00AA3F35"/>
    <w:rsid w:val="00AA40F0"/>
    <w:rsid w:val="00AA425E"/>
    <w:rsid w:val="00AA43A2"/>
    <w:rsid w:val="00AA4EB1"/>
    <w:rsid w:val="00AA5192"/>
    <w:rsid w:val="00AA51F1"/>
    <w:rsid w:val="00AA5217"/>
    <w:rsid w:val="00AA5237"/>
    <w:rsid w:val="00AA5517"/>
    <w:rsid w:val="00AA565B"/>
    <w:rsid w:val="00AA5829"/>
    <w:rsid w:val="00AA58D4"/>
    <w:rsid w:val="00AA59C5"/>
    <w:rsid w:val="00AA5CDF"/>
    <w:rsid w:val="00AA5FAE"/>
    <w:rsid w:val="00AA60C6"/>
    <w:rsid w:val="00AA6185"/>
    <w:rsid w:val="00AA6307"/>
    <w:rsid w:val="00AA6556"/>
    <w:rsid w:val="00AA6B9D"/>
    <w:rsid w:val="00AA6C27"/>
    <w:rsid w:val="00AA6C77"/>
    <w:rsid w:val="00AA6F9D"/>
    <w:rsid w:val="00AA70E0"/>
    <w:rsid w:val="00AA7A20"/>
    <w:rsid w:val="00AA7AFF"/>
    <w:rsid w:val="00AA7BA6"/>
    <w:rsid w:val="00AA7DDA"/>
    <w:rsid w:val="00AA7E6F"/>
    <w:rsid w:val="00AA7F26"/>
    <w:rsid w:val="00AB05C3"/>
    <w:rsid w:val="00AB05F1"/>
    <w:rsid w:val="00AB0AAA"/>
    <w:rsid w:val="00AB0ADC"/>
    <w:rsid w:val="00AB1041"/>
    <w:rsid w:val="00AB1119"/>
    <w:rsid w:val="00AB12DA"/>
    <w:rsid w:val="00AB1833"/>
    <w:rsid w:val="00AB18AE"/>
    <w:rsid w:val="00AB1901"/>
    <w:rsid w:val="00AB1BCA"/>
    <w:rsid w:val="00AB2454"/>
    <w:rsid w:val="00AB2B1B"/>
    <w:rsid w:val="00AB2BDC"/>
    <w:rsid w:val="00AB2C65"/>
    <w:rsid w:val="00AB2D63"/>
    <w:rsid w:val="00AB2FAC"/>
    <w:rsid w:val="00AB3327"/>
    <w:rsid w:val="00AB3408"/>
    <w:rsid w:val="00AB361B"/>
    <w:rsid w:val="00AB3795"/>
    <w:rsid w:val="00AB3B88"/>
    <w:rsid w:val="00AB3BAF"/>
    <w:rsid w:val="00AB3C47"/>
    <w:rsid w:val="00AB3D5E"/>
    <w:rsid w:val="00AB3FEC"/>
    <w:rsid w:val="00AB4183"/>
    <w:rsid w:val="00AB42D4"/>
    <w:rsid w:val="00AB4303"/>
    <w:rsid w:val="00AB44D0"/>
    <w:rsid w:val="00AB4A8B"/>
    <w:rsid w:val="00AB4A9B"/>
    <w:rsid w:val="00AB4C50"/>
    <w:rsid w:val="00AB4E30"/>
    <w:rsid w:val="00AB4ED3"/>
    <w:rsid w:val="00AB5101"/>
    <w:rsid w:val="00AB52DB"/>
    <w:rsid w:val="00AB5705"/>
    <w:rsid w:val="00AB57EC"/>
    <w:rsid w:val="00AB5B40"/>
    <w:rsid w:val="00AB5B71"/>
    <w:rsid w:val="00AB6225"/>
    <w:rsid w:val="00AB62CF"/>
    <w:rsid w:val="00AB6622"/>
    <w:rsid w:val="00AB6864"/>
    <w:rsid w:val="00AB68ED"/>
    <w:rsid w:val="00AB6B7B"/>
    <w:rsid w:val="00AB7185"/>
    <w:rsid w:val="00AB71EA"/>
    <w:rsid w:val="00AB766E"/>
    <w:rsid w:val="00AB780A"/>
    <w:rsid w:val="00AB7B55"/>
    <w:rsid w:val="00AB7DFB"/>
    <w:rsid w:val="00AB7F58"/>
    <w:rsid w:val="00AB7F84"/>
    <w:rsid w:val="00AC038A"/>
    <w:rsid w:val="00AC0539"/>
    <w:rsid w:val="00AC074B"/>
    <w:rsid w:val="00AC08B5"/>
    <w:rsid w:val="00AC0B3F"/>
    <w:rsid w:val="00AC0BF4"/>
    <w:rsid w:val="00AC0D23"/>
    <w:rsid w:val="00AC0EA5"/>
    <w:rsid w:val="00AC13E1"/>
    <w:rsid w:val="00AC17C1"/>
    <w:rsid w:val="00AC17ED"/>
    <w:rsid w:val="00AC183F"/>
    <w:rsid w:val="00AC18C6"/>
    <w:rsid w:val="00AC18E0"/>
    <w:rsid w:val="00AC1C65"/>
    <w:rsid w:val="00AC1D67"/>
    <w:rsid w:val="00AC1F1B"/>
    <w:rsid w:val="00AC20F2"/>
    <w:rsid w:val="00AC2179"/>
    <w:rsid w:val="00AC23E1"/>
    <w:rsid w:val="00AC2731"/>
    <w:rsid w:val="00AC30DE"/>
    <w:rsid w:val="00AC3112"/>
    <w:rsid w:val="00AC34C7"/>
    <w:rsid w:val="00AC373E"/>
    <w:rsid w:val="00AC38FF"/>
    <w:rsid w:val="00AC3931"/>
    <w:rsid w:val="00AC39AD"/>
    <w:rsid w:val="00AC3CA9"/>
    <w:rsid w:val="00AC3F9A"/>
    <w:rsid w:val="00AC42FA"/>
    <w:rsid w:val="00AC4B1E"/>
    <w:rsid w:val="00AC4F40"/>
    <w:rsid w:val="00AC4F42"/>
    <w:rsid w:val="00AC543B"/>
    <w:rsid w:val="00AC5580"/>
    <w:rsid w:val="00AC56FF"/>
    <w:rsid w:val="00AC5809"/>
    <w:rsid w:val="00AC5968"/>
    <w:rsid w:val="00AC5981"/>
    <w:rsid w:val="00AC59E3"/>
    <w:rsid w:val="00AC5BA9"/>
    <w:rsid w:val="00AC5C07"/>
    <w:rsid w:val="00AC5F80"/>
    <w:rsid w:val="00AC60FC"/>
    <w:rsid w:val="00AC6138"/>
    <w:rsid w:val="00AC619B"/>
    <w:rsid w:val="00AC63F7"/>
    <w:rsid w:val="00AC6983"/>
    <w:rsid w:val="00AC6CA4"/>
    <w:rsid w:val="00AC6F94"/>
    <w:rsid w:val="00AC705D"/>
    <w:rsid w:val="00AC741D"/>
    <w:rsid w:val="00AC7675"/>
    <w:rsid w:val="00AC767C"/>
    <w:rsid w:val="00AC7F76"/>
    <w:rsid w:val="00AC7FFD"/>
    <w:rsid w:val="00AD023D"/>
    <w:rsid w:val="00AD02C0"/>
    <w:rsid w:val="00AD039A"/>
    <w:rsid w:val="00AD04A3"/>
    <w:rsid w:val="00AD0687"/>
    <w:rsid w:val="00AD08E2"/>
    <w:rsid w:val="00AD0988"/>
    <w:rsid w:val="00AD0AAA"/>
    <w:rsid w:val="00AD0CCE"/>
    <w:rsid w:val="00AD0D60"/>
    <w:rsid w:val="00AD100D"/>
    <w:rsid w:val="00AD10F7"/>
    <w:rsid w:val="00AD1782"/>
    <w:rsid w:val="00AD1A31"/>
    <w:rsid w:val="00AD1A99"/>
    <w:rsid w:val="00AD1B28"/>
    <w:rsid w:val="00AD1FD3"/>
    <w:rsid w:val="00AD2094"/>
    <w:rsid w:val="00AD21EC"/>
    <w:rsid w:val="00AD244D"/>
    <w:rsid w:val="00AD25F0"/>
    <w:rsid w:val="00AD2740"/>
    <w:rsid w:val="00AD2A82"/>
    <w:rsid w:val="00AD2C14"/>
    <w:rsid w:val="00AD2C2B"/>
    <w:rsid w:val="00AD38D4"/>
    <w:rsid w:val="00AD3C8A"/>
    <w:rsid w:val="00AD3E1E"/>
    <w:rsid w:val="00AD3EFC"/>
    <w:rsid w:val="00AD40E9"/>
    <w:rsid w:val="00AD4216"/>
    <w:rsid w:val="00AD42F4"/>
    <w:rsid w:val="00AD4346"/>
    <w:rsid w:val="00AD4455"/>
    <w:rsid w:val="00AD46A2"/>
    <w:rsid w:val="00AD46B1"/>
    <w:rsid w:val="00AD474A"/>
    <w:rsid w:val="00AD4855"/>
    <w:rsid w:val="00AD4876"/>
    <w:rsid w:val="00AD48BF"/>
    <w:rsid w:val="00AD4C09"/>
    <w:rsid w:val="00AD4DA5"/>
    <w:rsid w:val="00AD4EA6"/>
    <w:rsid w:val="00AD56FF"/>
    <w:rsid w:val="00AD5990"/>
    <w:rsid w:val="00AD5FDF"/>
    <w:rsid w:val="00AD62DF"/>
    <w:rsid w:val="00AD653E"/>
    <w:rsid w:val="00AD66A4"/>
    <w:rsid w:val="00AD66CE"/>
    <w:rsid w:val="00AD6BB9"/>
    <w:rsid w:val="00AD6CB5"/>
    <w:rsid w:val="00AD723D"/>
    <w:rsid w:val="00AD743A"/>
    <w:rsid w:val="00AD7780"/>
    <w:rsid w:val="00AD7AD3"/>
    <w:rsid w:val="00AD7AE9"/>
    <w:rsid w:val="00AD7D94"/>
    <w:rsid w:val="00AE02BC"/>
    <w:rsid w:val="00AE0724"/>
    <w:rsid w:val="00AE074B"/>
    <w:rsid w:val="00AE0783"/>
    <w:rsid w:val="00AE0A05"/>
    <w:rsid w:val="00AE0A1A"/>
    <w:rsid w:val="00AE0B1C"/>
    <w:rsid w:val="00AE0CBC"/>
    <w:rsid w:val="00AE0D7C"/>
    <w:rsid w:val="00AE1068"/>
    <w:rsid w:val="00AE11DE"/>
    <w:rsid w:val="00AE1267"/>
    <w:rsid w:val="00AE1295"/>
    <w:rsid w:val="00AE1472"/>
    <w:rsid w:val="00AE1B84"/>
    <w:rsid w:val="00AE2129"/>
    <w:rsid w:val="00AE225A"/>
    <w:rsid w:val="00AE244A"/>
    <w:rsid w:val="00AE270D"/>
    <w:rsid w:val="00AE2787"/>
    <w:rsid w:val="00AE29C2"/>
    <w:rsid w:val="00AE2BB1"/>
    <w:rsid w:val="00AE2F07"/>
    <w:rsid w:val="00AE2F9B"/>
    <w:rsid w:val="00AE30FD"/>
    <w:rsid w:val="00AE32BC"/>
    <w:rsid w:val="00AE34C8"/>
    <w:rsid w:val="00AE3773"/>
    <w:rsid w:val="00AE39DB"/>
    <w:rsid w:val="00AE3B5F"/>
    <w:rsid w:val="00AE3C5B"/>
    <w:rsid w:val="00AE3F58"/>
    <w:rsid w:val="00AE4193"/>
    <w:rsid w:val="00AE4227"/>
    <w:rsid w:val="00AE476D"/>
    <w:rsid w:val="00AE49ED"/>
    <w:rsid w:val="00AE4BEE"/>
    <w:rsid w:val="00AE504A"/>
    <w:rsid w:val="00AE52FD"/>
    <w:rsid w:val="00AE557F"/>
    <w:rsid w:val="00AE558B"/>
    <w:rsid w:val="00AE57A6"/>
    <w:rsid w:val="00AE5884"/>
    <w:rsid w:val="00AE58E2"/>
    <w:rsid w:val="00AE59BE"/>
    <w:rsid w:val="00AE5CEE"/>
    <w:rsid w:val="00AE6193"/>
    <w:rsid w:val="00AE62EB"/>
    <w:rsid w:val="00AE6542"/>
    <w:rsid w:val="00AE6849"/>
    <w:rsid w:val="00AE6A92"/>
    <w:rsid w:val="00AE6B06"/>
    <w:rsid w:val="00AE6CE3"/>
    <w:rsid w:val="00AE70D2"/>
    <w:rsid w:val="00AE7265"/>
    <w:rsid w:val="00AE74C8"/>
    <w:rsid w:val="00AE74D6"/>
    <w:rsid w:val="00AE7568"/>
    <w:rsid w:val="00AE7925"/>
    <w:rsid w:val="00AE7A01"/>
    <w:rsid w:val="00AE7CC6"/>
    <w:rsid w:val="00AE7CD3"/>
    <w:rsid w:val="00AF0695"/>
    <w:rsid w:val="00AF06DA"/>
    <w:rsid w:val="00AF0774"/>
    <w:rsid w:val="00AF0AAF"/>
    <w:rsid w:val="00AF0B76"/>
    <w:rsid w:val="00AF0B98"/>
    <w:rsid w:val="00AF0F8E"/>
    <w:rsid w:val="00AF1310"/>
    <w:rsid w:val="00AF145F"/>
    <w:rsid w:val="00AF15C3"/>
    <w:rsid w:val="00AF1911"/>
    <w:rsid w:val="00AF1972"/>
    <w:rsid w:val="00AF1B77"/>
    <w:rsid w:val="00AF1BD1"/>
    <w:rsid w:val="00AF1D5E"/>
    <w:rsid w:val="00AF1FDE"/>
    <w:rsid w:val="00AF24E1"/>
    <w:rsid w:val="00AF2569"/>
    <w:rsid w:val="00AF262B"/>
    <w:rsid w:val="00AF2751"/>
    <w:rsid w:val="00AF2A75"/>
    <w:rsid w:val="00AF2EE0"/>
    <w:rsid w:val="00AF3081"/>
    <w:rsid w:val="00AF30E9"/>
    <w:rsid w:val="00AF33B0"/>
    <w:rsid w:val="00AF3737"/>
    <w:rsid w:val="00AF377D"/>
    <w:rsid w:val="00AF39BB"/>
    <w:rsid w:val="00AF3A82"/>
    <w:rsid w:val="00AF3C81"/>
    <w:rsid w:val="00AF3C9D"/>
    <w:rsid w:val="00AF3E3B"/>
    <w:rsid w:val="00AF4623"/>
    <w:rsid w:val="00AF47B3"/>
    <w:rsid w:val="00AF48A8"/>
    <w:rsid w:val="00AF4CD4"/>
    <w:rsid w:val="00AF4D56"/>
    <w:rsid w:val="00AF4DC9"/>
    <w:rsid w:val="00AF4F5F"/>
    <w:rsid w:val="00AF52F7"/>
    <w:rsid w:val="00AF5907"/>
    <w:rsid w:val="00AF5A00"/>
    <w:rsid w:val="00AF5C92"/>
    <w:rsid w:val="00AF5E72"/>
    <w:rsid w:val="00AF5F80"/>
    <w:rsid w:val="00AF68CD"/>
    <w:rsid w:val="00AF6A1E"/>
    <w:rsid w:val="00AF6BEE"/>
    <w:rsid w:val="00AF6D96"/>
    <w:rsid w:val="00AF7027"/>
    <w:rsid w:val="00AF72CC"/>
    <w:rsid w:val="00AF731B"/>
    <w:rsid w:val="00AF73C7"/>
    <w:rsid w:val="00AF756A"/>
    <w:rsid w:val="00AF76E0"/>
    <w:rsid w:val="00AF7D4B"/>
    <w:rsid w:val="00B00082"/>
    <w:rsid w:val="00B00260"/>
    <w:rsid w:val="00B004AE"/>
    <w:rsid w:val="00B00838"/>
    <w:rsid w:val="00B00981"/>
    <w:rsid w:val="00B00995"/>
    <w:rsid w:val="00B00A9B"/>
    <w:rsid w:val="00B00E86"/>
    <w:rsid w:val="00B00F53"/>
    <w:rsid w:val="00B012F3"/>
    <w:rsid w:val="00B017F6"/>
    <w:rsid w:val="00B0190E"/>
    <w:rsid w:val="00B01A93"/>
    <w:rsid w:val="00B01A9A"/>
    <w:rsid w:val="00B0225F"/>
    <w:rsid w:val="00B02291"/>
    <w:rsid w:val="00B0259F"/>
    <w:rsid w:val="00B026F2"/>
    <w:rsid w:val="00B02D41"/>
    <w:rsid w:val="00B02F03"/>
    <w:rsid w:val="00B03402"/>
    <w:rsid w:val="00B034E8"/>
    <w:rsid w:val="00B03CBC"/>
    <w:rsid w:val="00B03D05"/>
    <w:rsid w:val="00B03DF7"/>
    <w:rsid w:val="00B03E00"/>
    <w:rsid w:val="00B03F32"/>
    <w:rsid w:val="00B04287"/>
    <w:rsid w:val="00B042D4"/>
    <w:rsid w:val="00B04473"/>
    <w:rsid w:val="00B044B0"/>
    <w:rsid w:val="00B04771"/>
    <w:rsid w:val="00B04983"/>
    <w:rsid w:val="00B04986"/>
    <w:rsid w:val="00B04A4E"/>
    <w:rsid w:val="00B04A95"/>
    <w:rsid w:val="00B04ADB"/>
    <w:rsid w:val="00B04ECD"/>
    <w:rsid w:val="00B04F79"/>
    <w:rsid w:val="00B04FBE"/>
    <w:rsid w:val="00B053F0"/>
    <w:rsid w:val="00B0551D"/>
    <w:rsid w:val="00B05DDC"/>
    <w:rsid w:val="00B06103"/>
    <w:rsid w:val="00B0610B"/>
    <w:rsid w:val="00B061AA"/>
    <w:rsid w:val="00B061FA"/>
    <w:rsid w:val="00B064D3"/>
    <w:rsid w:val="00B064FA"/>
    <w:rsid w:val="00B06626"/>
    <w:rsid w:val="00B066B8"/>
    <w:rsid w:val="00B06E47"/>
    <w:rsid w:val="00B070CC"/>
    <w:rsid w:val="00B07286"/>
    <w:rsid w:val="00B073D6"/>
    <w:rsid w:val="00B076B2"/>
    <w:rsid w:val="00B07889"/>
    <w:rsid w:val="00B07DC5"/>
    <w:rsid w:val="00B07E29"/>
    <w:rsid w:val="00B07F04"/>
    <w:rsid w:val="00B07F19"/>
    <w:rsid w:val="00B07FEB"/>
    <w:rsid w:val="00B10277"/>
    <w:rsid w:val="00B1031D"/>
    <w:rsid w:val="00B106C2"/>
    <w:rsid w:val="00B107FD"/>
    <w:rsid w:val="00B1085A"/>
    <w:rsid w:val="00B109FA"/>
    <w:rsid w:val="00B10C87"/>
    <w:rsid w:val="00B10E63"/>
    <w:rsid w:val="00B10E6D"/>
    <w:rsid w:val="00B11061"/>
    <w:rsid w:val="00B1149F"/>
    <w:rsid w:val="00B11689"/>
    <w:rsid w:val="00B11701"/>
    <w:rsid w:val="00B11862"/>
    <w:rsid w:val="00B11E85"/>
    <w:rsid w:val="00B12175"/>
    <w:rsid w:val="00B121FB"/>
    <w:rsid w:val="00B124DE"/>
    <w:rsid w:val="00B1293B"/>
    <w:rsid w:val="00B12A34"/>
    <w:rsid w:val="00B12B2E"/>
    <w:rsid w:val="00B12BEB"/>
    <w:rsid w:val="00B12FED"/>
    <w:rsid w:val="00B13C71"/>
    <w:rsid w:val="00B140C7"/>
    <w:rsid w:val="00B1439C"/>
    <w:rsid w:val="00B1478A"/>
    <w:rsid w:val="00B1487C"/>
    <w:rsid w:val="00B148A6"/>
    <w:rsid w:val="00B14BC2"/>
    <w:rsid w:val="00B14C2F"/>
    <w:rsid w:val="00B14EDD"/>
    <w:rsid w:val="00B14F92"/>
    <w:rsid w:val="00B151AF"/>
    <w:rsid w:val="00B151F8"/>
    <w:rsid w:val="00B153AA"/>
    <w:rsid w:val="00B15443"/>
    <w:rsid w:val="00B15465"/>
    <w:rsid w:val="00B154E8"/>
    <w:rsid w:val="00B15720"/>
    <w:rsid w:val="00B16121"/>
    <w:rsid w:val="00B1627E"/>
    <w:rsid w:val="00B1632D"/>
    <w:rsid w:val="00B16387"/>
    <w:rsid w:val="00B1639C"/>
    <w:rsid w:val="00B16628"/>
    <w:rsid w:val="00B1671A"/>
    <w:rsid w:val="00B16B32"/>
    <w:rsid w:val="00B16E12"/>
    <w:rsid w:val="00B17020"/>
    <w:rsid w:val="00B17452"/>
    <w:rsid w:val="00B177E0"/>
    <w:rsid w:val="00B17AAB"/>
    <w:rsid w:val="00B17C05"/>
    <w:rsid w:val="00B17D18"/>
    <w:rsid w:val="00B17D99"/>
    <w:rsid w:val="00B17EA1"/>
    <w:rsid w:val="00B201BF"/>
    <w:rsid w:val="00B202BD"/>
    <w:rsid w:val="00B20350"/>
    <w:rsid w:val="00B20A69"/>
    <w:rsid w:val="00B20A9D"/>
    <w:rsid w:val="00B20B88"/>
    <w:rsid w:val="00B20E72"/>
    <w:rsid w:val="00B20FF7"/>
    <w:rsid w:val="00B2127E"/>
    <w:rsid w:val="00B212E8"/>
    <w:rsid w:val="00B213F9"/>
    <w:rsid w:val="00B214B3"/>
    <w:rsid w:val="00B21530"/>
    <w:rsid w:val="00B21E45"/>
    <w:rsid w:val="00B22242"/>
    <w:rsid w:val="00B224B6"/>
    <w:rsid w:val="00B2259C"/>
    <w:rsid w:val="00B2286B"/>
    <w:rsid w:val="00B22876"/>
    <w:rsid w:val="00B22AA9"/>
    <w:rsid w:val="00B22DF5"/>
    <w:rsid w:val="00B231F8"/>
    <w:rsid w:val="00B23771"/>
    <w:rsid w:val="00B239BD"/>
    <w:rsid w:val="00B23BCB"/>
    <w:rsid w:val="00B23E9C"/>
    <w:rsid w:val="00B23F44"/>
    <w:rsid w:val="00B24540"/>
    <w:rsid w:val="00B24598"/>
    <w:rsid w:val="00B2459E"/>
    <w:rsid w:val="00B246E5"/>
    <w:rsid w:val="00B247DA"/>
    <w:rsid w:val="00B24995"/>
    <w:rsid w:val="00B24B45"/>
    <w:rsid w:val="00B24C1C"/>
    <w:rsid w:val="00B24F12"/>
    <w:rsid w:val="00B252C7"/>
    <w:rsid w:val="00B253EF"/>
    <w:rsid w:val="00B25409"/>
    <w:rsid w:val="00B25577"/>
    <w:rsid w:val="00B25880"/>
    <w:rsid w:val="00B25A4B"/>
    <w:rsid w:val="00B25B80"/>
    <w:rsid w:val="00B25B83"/>
    <w:rsid w:val="00B25BA0"/>
    <w:rsid w:val="00B25F6E"/>
    <w:rsid w:val="00B25FC8"/>
    <w:rsid w:val="00B26013"/>
    <w:rsid w:val="00B262C4"/>
    <w:rsid w:val="00B264E9"/>
    <w:rsid w:val="00B26599"/>
    <w:rsid w:val="00B268D5"/>
    <w:rsid w:val="00B26CDF"/>
    <w:rsid w:val="00B27559"/>
    <w:rsid w:val="00B2783D"/>
    <w:rsid w:val="00B27D27"/>
    <w:rsid w:val="00B27E1C"/>
    <w:rsid w:val="00B30085"/>
    <w:rsid w:val="00B301E8"/>
    <w:rsid w:val="00B30327"/>
    <w:rsid w:val="00B304BB"/>
    <w:rsid w:val="00B3057C"/>
    <w:rsid w:val="00B30C1C"/>
    <w:rsid w:val="00B30DFE"/>
    <w:rsid w:val="00B311F5"/>
    <w:rsid w:val="00B313B1"/>
    <w:rsid w:val="00B314B2"/>
    <w:rsid w:val="00B319B4"/>
    <w:rsid w:val="00B31F07"/>
    <w:rsid w:val="00B3209B"/>
    <w:rsid w:val="00B321BE"/>
    <w:rsid w:val="00B32422"/>
    <w:rsid w:val="00B325D7"/>
    <w:rsid w:val="00B327AE"/>
    <w:rsid w:val="00B32DA3"/>
    <w:rsid w:val="00B333D5"/>
    <w:rsid w:val="00B33737"/>
    <w:rsid w:val="00B33800"/>
    <w:rsid w:val="00B338A4"/>
    <w:rsid w:val="00B339B2"/>
    <w:rsid w:val="00B33E6E"/>
    <w:rsid w:val="00B3402E"/>
    <w:rsid w:val="00B340C7"/>
    <w:rsid w:val="00B3418C"/>
    <w:rsid w:val="00B3433A"/>
    <w:rsid w:val="00B343F4"/>
    <w:rsid w:val="00B3491D"/>
    <w:rsid w:val="00B34A4A"/>
    <w:rsid w:val="00B34B2E"/>
    <w:rsid w:val="00B34EFB"/>
    <w:rsid w:val="00B350F4"/>
    <w:rsid w:val="00B3547D"/>
    <w:rsid w:val="00B3548A"/>
    <w:rsid w:val="00B357B9"/>
    <w:rsid w:val="00B35A43"/>
    <w:rsid w:val="00B35C54"/>
    <w:rsid w:val="00B35F5E"/>
    <w:rsid w:val="00B35FA2"/>
    <w:rsid w:val="00B363B0"/>
    <w:rsid w:val="00B3664D"/>
    <w:rsid w:val="00B368A1"/>
    <w:rsid w:val="00B36A9D"/>
    <w:rsid w:val="00B36C7F"/>
    <w:rsid w:val="00B36D71"/>
    <w:rsid w:val="00B36E53"/>
    <w:rsid w:val="00B36ED7"/>
    <w:rsid w:val="00B3716F"/>
    <w:rsid w:val="00B37348"/>
    <w:rsid w:val="00B374D2"/>
    <w:rsid w:val="00B377EF"/>
    <w:rsid w:val="00B37924"/>
    <w:rsid w:val="00B37A30"/>
    <w:rsid w:val="00B37EAF"/>
    <w:rsid w:val="00B400F8"/>
    <w:rsid w:val="00B4020F"/>
    <w:rsid w:val="00B406F8"/>
    <w:rsid w:val="00B40713"/>
    <w:rsid w:val="00B4078B"/>
    <w:rsid w:val="00B40946"/>
    <w:rsid w:val="00B40A36"/>
    <w:rsid w:val="00B40BD1"/>
    <w:rsid w:val="00B4101D"/>
    <w:rsid w:val="00B41975"/>
    <w:rsid w:val="00B41B3E"/>
    <w:rsid w:val="00B41BDE"/>
    <w:rsid w:val="00B420AE"/>
    <w:rsid w:val="00B4215F"/>
    <w:rsid w:val="00B421C5"/>
    <w:rsid w:val="00B424AD"/>
    <w:rsid w:val="00B42F11"/>
    <w:rsid w:val="00B42FEC"/>
    <w:rsid w:val="00B43452"/>
    <w:rsid w:val="00B43556"/>
    <w:rsid w:val="00B4374C"/>
    <w:rsid w:val="00B4376D"/>
    <w:rsid w:val="00B43783"/>
    <w:rsid w:val="00B43ACC"/>
    <w:rsid w:val="00B43B21"/>
    <w:rsid w:val="00B43B91"/>
    <w:rsid w:val="00B43C20"/>
    <w:rsid w:val="00B440D6"/>
    <w:rsid w:val="00B441B7"/>
    <w:rsid w:val="00B4449C"/>
    <w:rsid w:val="00B446D2"/>
    <w:rsid w:val="00B44776"/>
    <w:rsid w:val="00B449FF"/>
    <w:rsid w:val="00B44D76"/>
    <w:rsid w:val="00B44EB1"/>
    <w:rsid w:val="00B453FD"/>
    <w:rsid w:val="00B45601"/>
    <w:rsid w:val="00B45609"/>
    <w:rsid w:val="00B45920"/>
    <w:rsid w:val="00B45B88"/>
    <w:rsid w:val="00B45CDD"/>
    <w:rsid w:val="00B45E94"/>
    <w:rsid w:val="00B46001"/>
    <w:rsid w:val="00B460E1"/>
    <w:rsid w:val="00B464B3"/>
    <w:rsid w:val="00B4659C"/>
    <w:rsid w:val="00B4674F"/>
    <w:rsid w:val="00B46766"/>
    <w:rsid w:val="00B467A7"/>
    <w:rsid w:val="00B467B4"/>
    <w:rsid w:val="00B469D9"/>
    <w:rsid w:val="00B46AE8"/>
    <w:rsid w:val="00B46C8D"/>
    <w:rsid w:val="00B46DCC"/>
    <w:rsid w:val="00B46EB6"/>
    <w:rsid w:val="00B46F89"/>
    <w:rsid w:val="00B47116"/>
    <w:rsid w:val="00B47507"/>
    <w:rsid w:val="00B50174"/>
    <w:rsid w:val="00B5022F"/>
    <w:rsid w:val="00B503A8"/>
    <w:rsid w:val="00B50447"/>
    <w:rsid w:val="00B506A7"/>
    <w:rsid w:val="00B50D10"/>
    <w:rsid w:val="00B510C3"/>
    <w:rsid w:val="00B51431"/>
    <w:rsid w:val="00B51880"/>
    <w:rsid w:val="00B5196E"/>
    <w:rsid w:val="00B51A22"/>
    <w:rsid w:val="00B51C91"/>
    <w:rsid w:val="00B51E4E"/>
    <w:rsid w:val="00B51EC2"/>
    <w:rsid w:val="00B51F28"/>
    <w:rsid w:val="00B51FCA"/>
    <w:rsid w:val="00B52399"/>
    <w:rsid w:val="00B52447"/>
    <w:rsid w:val="00B52459"/>
    <w:rsid w:val="00B524B5"/>
    <w:rsid w:val="00B52AB7"/>
    <w:rsid w:val="00B52B75"/>
    <w:rsid w:val="00B52F9B"/>
    <w:rsid w:val="00B530BA"/>
    <w:rsid w:val="00B531C2"/>
    <w:rsid w:val="00B532BE"/>
    <w:rsid w:val="00B5334A"/>
    <w:rsid w:val="00B533CC"/>
    <w:rsid w:val="00B538F6"/>
    <w:rsid w:val="00B539F3"/>
    <w:rsid w:val="00B53BB4"/>
    <w:rsid w:val="00B53C50"/>
    <w:rsid w:val="00B53E7D"/>
    <w:rsid w:val="00B53FC2"/>
    <w:rsid w:val="00B53FC3"/>
    <w:rsid w:val="00B540B6"/>
    <w:rsid w:val="00B54173"/>
    <w:rsid w:val="00B541BB"/>
    <w:rsid w:val="00B54731"/>
    <w:rsid w:val="00B5493E"/>
    <w:rsid w:val="00B54A19"/>
    <w:rsid w:val="00B54A6F"/>
    <w:rsid w:val="00B54BAA"/>
    <w:rsid w:val="00B54BB5"/>
    <w:rsid w:val="00B54BFC"/>
    <w:rsid w:val="00B54EBA"/>
    <w:rsid w:val="00B5506F"/>
    <w:rsid w:val="00B5507C"/>
    <w:rsid w:val="00B55200"/>
    <w:rsid w:val="00B555CD"/>
    <w:rsid w:val="00B559CA"/>
    <w:rsid w:val="00B55FF2"/>
    <w:rsid w:val="00B56105"/>
    <w:rsid w:val="00B563BB"/>
    <w:rsid w:val="00B5692A"/>
    <w:rsid w:val="00B56F47"/>
    <w:rsid w:val="00B56F7E"/>
    <w:rsid w:val="00B56FAF"/>
    <w:rsid w:val="00B5703D"/>
    <w:rsid w:val="00B57083"/>
    <w:rsid w:val="00B57475"/>
    <w:rsid w:val="00B5766B"/>
    <w:rsid w:val="00B576BF"/>
    <w:rsid w:val="00B57755"/>
    <w:rsid w:val="00B57A28"/>
    <w:rsid w:val="00B57DA1"/>
    <w:rsid w:val="00B60380"/>
    <w:rsid w:val="00B603B5"/>
    <w:rsid w:val="00B60B9E"/>
    <w:rsid w:val="00B60F84"/>
    <w:rsid w:val="00B6121B"/>
    <w:rsid w:val="00B61544"/>
    <w:rsid w:val="00B6157A"/>
    <w:rsid w:val="00B61725"/>
    <w:rsid w:val="00B62077"/>
    <w:rsid w:val="00B621E0"/>
    <w:rsid w:val="00B621F5"/>
    <w:rsid w:val="00B625DC"/>
    <w:rsid w:val="00B62693"/>
    <w:rsid w:val="00B62CB2"/>
    <w:rsid w:val="00B62E69"/>
    <w:rsid w:val="00B6304D"/>
    <w:rsid w:val="00B63114"/>
    <w:rsid w:val="00B63123"/>
    <w:rsid w:val="00B631B3"/>
    <w:rsid w:val="00B6359E"/>
    <w:rsid w:val="00B6398D"/>
    <w:rsid w:val="00B63C02"/>
    <w:rsid w:val="00B63E40"/>
    <w:rsid w:val="00B63F0A"/>
    <w:rsid w:val="00B63FF4"/>
    <w:rsid w:val="00B640A0"/>
    <w:rsid w:val="00B6461E"/>
    <w:rsid w:val="00B6461F"/>
    <w:rsid w:val="00B648EF"/>
    <w:rsid w:val="00B649D2"/>
    <w:rsid w:val="00B64C7F"/>
    <w:rsid w:val="00B65267"/>
    <w:rsid w:val="00B6550B"/>
    <w:rsid w:val="00B6568D"/>
    <w:rsid w:val="00B65EC9"/>
    <w:rsid w:val="00B667BC"/>
    <w:rsid w:val="00B669F8"/>
    <w:rsid w:val="00B66C5B"/>
    <w:rsid w:val="00B67195"/>
    <w:rsid w:val="00B6743B"/>
    <w:rsid w:val="00B67596"/>
    <w:rsid w:val="00B67ADC"/>
    <w:rsid w:val="00B67D3D"/>
    <w:rsid w:val="00B67DAE"/>
    <w:rsid w:val="00B67E13"/>
    <w:rsid w:val="00B7009D"/>
    <w:rsid w:val="00B7038E"/>
    <w:rsid w:val="00B70729"/>
    <w:rsid w:val="00B70871"/>
    <w:rsid w:val="00B70996"/>
    <w:rsid w:val="00B70B00"/>
    <w:rsid w:val="00B71076"/>
    <w:rsid w:val="00B712DD"/>
    <w:rsid w:val="00B71501"/>
    <w:rsid w:val="00B71737"/>
    <w:rsid w:val="00B7192C"/>
    <w:rsid w:val="00B71B0C"/>
    <w:rsid w:val="00B71C85"/>
    <w:rsid w:val="00B71CA8"/>
    <w:rsid w:val="00B71E3F"/>
    <w:rsid w:val="00B7213E"/>
    <w:rsid w:val="00B72156"/>
    <w:rsid w:val="00B72300"/>
    <w:rsid w:val="00B72371"/>
    <w:rsid w:val="00B7267F"/>
    <w:rsid w:val="00B72C56"/>
    <w:rsid w:val="00B72EED"/>
    <w:rsid w:val="00B72F60"/>
    <w:rsid w:val="00B73032"/>
    <w:rsid w:val="00B734B0"/>
    <w:rsid w:val="00B73510"/>
    <w:rsid w:val="00B73695"/>
    <w:rsid w:val="00B736EB"/>
    <w:rsid w:val="00B7375A"/>
    <w:rsid w:val="00B7381B"/>
    <w:rsid w:val="00B73931"/>
    <w:rsid w:val="00B73954"/>
    <w:rsid w:val="00B73B12"/>
    <w:rsid w:val="00B73B1A"/>
    <w:rsid w:val="00B73BFB"/>
    <w:rsid w:val="00B73D2A"/>
    <w:rsid w:val="00B73DC8"/>
    <w:rsid w:val="00B73F30"/>
    <w:rsid w:val="00B73F73"/>
    <w:rsid w:val="00B74687"/>
    <w:rsid w:val="00B746C5"/>
    <w:rsid w:val="00B7491E"/>
    <w:rsid w:val="00B74C89"/>
    <w:rsid w:val="00B74CC7"/>
    <w:rsid w:val="00B74DA6"/>
    <w:rsid w:val="00B74DB1"/>
    <w:rsid w:val="00B751AC"/>
    <w:rsid w:val="00B7534F"/>
    <w:rsid w:val="00B753EE"/>
    <w:rsid w:val="00B75495"/>
    <w:rsid w:val="00B75634"/>
    <w:rsid w:val="00B75664"/>
    <w:rsid w:val="00B75B4D"/>
    <w:rsid w:val="00B75FBD"/>
    <w:rsid w:val="00B764BA"/>
    <w:rsid w:val="00B76503"/>
    <w:rsid w:val="00B767E6"/>
    <w:rsid w:val="00B76AC7"/>
    <w:rsid w:val="00B76DA9"/>
    <w:rsid w:val="00B76E1D"/>
    <w:rsid w:val="00B76F74"/>
    <w:rsid w:val="00B76FEB"/>
    <w:rsid w:val="00B77511"/>
    <w:rsid w:val="00B77843"/>
    <w:rsid w:val="00B77C50"/>
    <w:rsid w:val="00B8046F"/>
    <w:rsid w:val="00B80653"/>
    <w:rsid w:val="00B806ED"/>
    <w:rsid w:val="00B807DD"/>
    <w:rsid w:val="00B809D7"/>
    <w:rsid w:val="00B80A8D"/>
    <w:rsid w:val="00B80A9E"/>
    <w:rsid w:val="00B80DE7"/>
    <w:rsid w:val="00B8117B"/>
    <w:rsid w:val="00B811A5"/>
    <w:rsid w:val="00B817DD"/>
    <w:rsid w:val="00B819E0"/>
    <w:rsid w:val="00B81A21"/>
    <w:rsid w:val="00B81CA8"/>
    <w:rsid w:val="00B81F44"/>
    <w:rsid w:val="00B8229F"/>
    <w:rsid w:val="00B823A8"/>
    <w:rsid w:val="00B823FA"/>
    <w:rsid w:val="00B825C8"/>
    <w:rsid w:val="00B82655"/>
    <w:rsid w:val="00B82656"/>
    <w:rsid w:val="00B82874"/>
    <w:rsid w:val="00B8314C"/>
    <w:rsid w:val="00B8369A"/>
    <w:rsid w:val="00B836F7"/>
    <w:rsid w:val="00B837D8"/>
    <w:rsid w:val="00B838B5"/>
    <w:rsid w:val="00B83A05"/>
    <w:rsid w:val="00B83C04"/>
    <w:rsid w:val="00B83F5E"/>
    <w:rsid w:val="00B83FA0"/>
    <w:rsid w:val="00B84107"/>
    <w:rsid w:val="00B8430F"/>
    <w:rsid w:val="00B849AA"/>
    <w:rsid w:val="00B849EA"/>
    <w:rsid w:val="00B84ACC"/>
    <w:rsid w:val="00B84C8B"/>
    <w:rsid w:val="00B8503D"/>
    <w:rsid w:val="00B85176"/>
    <w:rsid w:val="00B8527B"/>
    <w:rsid w:val="00B8553C"/>
    <w:rsid w:val="00B85600"/>
    <w:rsid w:val="00B85725"/>
    <w:rsid w:val="00B85D5B"/>
    <w:rsid w:val="00B8605B"/>
    <w:rsid w:val="00B8617E"/>
    <w:rsid w:val="00B86692"/>
    <w:rsid w:val="00B86DE4"/>
    <w:rsid w:val="00B8749C"/>
    <w:rsid w:val="00B87505"/>
    <w:rsid w:val="00B8751A"/>
    <w:rsid w:val="00B87557"/>
    <w:rsid w:val="00B87A43"/>
    <w:rsid w:val="00B87B5E"/>
    <w:rsid w:val="00B87B8E"/>
    <w:rsid w:val="00B87D57"/>
    <w:rsid w:val="00B87D84"/>
    <w:rsid w:val="00B87DBB"/>
    <w:rsid w:val="00B87F93"/>
    <w:rsid w:val="00B90308"/>
    <w:rsid w:val="00B9033F"/>
    <w:rsid w:val="00B90439"/>
    <w:rsid w:val="00B904F2"/>
    <w:rsid w:val="00B90695"/>
    <w:rsid w:val="00B90A71"/>
    <w:rsid w:val="00B90CFD"/>
    <w:rsid w:val="00B90DE9"/>
    <w:rsid w:val="00B90FFA"/>
    <w:rsid w:val="00B91052"/>
    <w:rsid w:val="00B91062"/>
    <w:rsid w:val="00B91325"/>
    <w:rsid w:val="00B91479"/>
    <w:rsid w:val="00B91D72"/>
    <w:rsid w:val="00B91D73"/>
    <w:rsid w:val="00B92037"/>
    <w:rsid w:val="00B9288A"/>
    <w:rsid w:val="00B92A38"/>
    <w:rsid w:val="00B92AAA"/>
    <w:rsid w:val="00B92DD2"/>
    <w:rsid w:val="00B931C8"/>
    <w:rsid w:val="00B935E5"/>
    <w:rsid w:val="00B9363E"/>
    <w:rsid w:val="00B9379F"/>
    <w:rsid w:val="00B937D9"/>
    <w:rsid w:val="00B93906"/>
    <w:rsid w:val="00B93BAE"/>
    <w:rsid w:val="00B93C06"/>
    <w:rsid w:val="00B93F56"/>
    <w:rsid w:val="00B93F61"/>
    <w:rsid w:val="00B93FF1"/>
    <w:rsid w:val="00B940B1"/>
    <w:rsid w:val="00B94127"/>
    <w:rsid w:val="00B94202"/>
    <w:rsid w:val="00B9457F"/>
    <w:rsid w:val="00B945C1"/>
    <w:rsid w:val="00B9460B"/>
    <w:rsid w:val="00B9491A"/>
    <w:rsid w:val="00B94923"/>
    <w:rsid w:val="00B9494C"/>
    <w:rsid w:val="00B949DF"/>
    <w:rsid w:val="00B94C9A"/>
    <w:rsid w:val="00B94DDC"/>
    <w:rsid w:val="00B95281"/>
    <w:rsid w:val="00B952A6"/>
    <w:rsid w:val="00B953E8"/>
    <w:rsid w:val="00B95592"/>
    <w:rsid w:val="00B955A9"/>
    <w:rsid w:val="00B9573A"/>
    <w:rsid w:val="00B95928"/>
    <w:rsid w:val="00B95A9F"/>
    <w:rsid w:val="00B95BCE"/>
    <w:rsid w:val="00B95BED"/>
    <w:rsid w:val="00B95C68"/>
    <w:rsid w:val="00B95D06"/>
    <w:rsid w:val="00B95E9A"/>
    <w:rsid w:val="00B961BB"/>
    <w:rsid w:val="00B9624E"/>
    <w:rsid w:val="00B9679E"/>
    <w:rsid w:val="00B969C0"/>
    <w:rsid w:val="00B96A85"/>
    <w:rsid w:val="00B96EAE"/>
    <w:rsid w:val="00B96ED1"/>
    <w:rsid w:val="00B970C2"/>
    <w:rsid w:val="00B9734B"/>
    <w:rsid w:val="00B97460"/>
    <w:rsid w:val="00B976D1"/>
    <w:rsid w:val="00B97B07"/>
    <w:rsid w:val="00B97B5D"/>
    <w:rsid w:val="00BA01F9"/>
    <w:rsid w:val="00BA0798"/>
    <w:rsid w:val="00BA0B9D"/>
    <w:rsid w:val="00BA0DC5"/>
    <w:rsid w:val="00BA11F9"/>
    <w:rsid w:val="00BA1240"/>
    <w:rsid w:val="00BA13EE"/>
    <w:rsid w:val="00BA1485"/>
    <w:rsid w:val="00BA16FF"/>
    <w:rsid w:val="00BA1982"/>
    <w:rsid w:val="00BA19DE"/>
    <w:rsid w:val="00BA1ABA"/>
    <w:rsid w:val="00BA1BD2"/>
    <w:rsid w:val="00BA1E66"/>
    <w:rsid w:val="00BA1F0B"/>
    <w:rsid w:val="00BA1FFA"/>
    <w:rsid w:val="00BA23AA"/>
    <w:rsid w:val="00BA299B"/>
    <w:rsid w:val="00BA2B57"/>
    <w:rsid w:val="00BA2CBE"/>
    <w:rsid w:val="00BA35AC"/>
    <w:rsid w:val="00BA38A4"/>
    <w:rsid w:val="00BA3910"/>
    <w:rsid w:val="00BA3D80"/>
    <w:rsid w:val="00BA3E0F"/>
    <w:rsid w:val="00BA4100"/>
    <w:rsid w:val="00BA4257"/>
    <w:rsid w:val="00BA454C"/>
    <w:rsid w:val="00BA49F2"/>
    <w:rsid w:val="00BA4DE5"/>
    <w:rsid w:val="00BA4FFF"/>
    <w:rsid w:val="00BA5030"/>
    <w:rsid w:val="00BA5430"/>
    <w:rsid w:val="00BA5435"/>
    <w:rsid w:val="00BA61E6"/>
    <w:rsid w:val="00BA663D"/>
    <w:rsid w:val="00BA6643"/>
    <w:rsid w:val="00BA6698"/>
    <w:rsid w:val="00BA6950"/>
    <w:rsid w:val="00BA6B41"/>
    <w:rsid w:val="00BA6BFD"/>
    <w:rsid w:val="00BA6D66"/>
    <w:rsid w:val="00BA6D71"/>
    <w:rsid w:val="00BA6E45"/>
    <w:rsid w:val="00BA6E9D"/>
    <w:rsid w:val="00BA6EE6"/>
    <w:rsid w:val="00BA72F8"/>
    <w:rsid w:val="00BA7366"/>
    <w:rsid w:val="00BA7492"/>
    <w:rsid w:val="00BA78A7"/>
    <w:rsid w:val="00BA791F"/>
    <w:rsid w:val="00BA7C1F"/>
    <w:rsid w:val="00BA7CCD"/>
    <w:rsid w:val="00BA7DA9"/>
    <w:rsid w:val="00BB007C"/>
    <w:rsid w:val="00BB024A"/>
    <w:rsid w:val="00BB04CD"/>
    <w:rsid w:val="00BB06E4"/>
    <w:rsid w:val="00BB0BB8"/>
    <w:rsid w:val="00BB0D18"/>
    <w:rsid w:val="00BB0E28"/>
    <w:rsid w:val="00BB0E3B"/>
    <w:rsid w:val="00BB0FD7"/>
    <w:rsid w:val="00BB19EB"/>
    <w:rsid w:val="00BB1D78"/>
    <w:rsid w:val="00BB1E0F"/>
    <w:rsid w:val="00BB1FD6"/>
    <w:rsid w:val="00BB24EA"/>
    <w:rsid w:val="00BB2968"/>
    <w:rsid w:val="00BB2A82"/>
    <w:rsid w:val="00BB2EE4"/>
    <w:rsid w:val="00BB325D"/>
    <w:rsid w:val="00BB33B0"/>
    <w:rsid w:val="00BB34E4"/>
    <w:rsid w:val="00BB3512"/>
    <w:rsid w:val="00BB35A6"/>
    <w:rsid w:val="00BB38FF"/>
    <w:rsid w:val="00BB394F"/>
    <w:rsid w:val="00BB3ADD"/>
    <w:rsid w:val="00BB3F9B"/>
    <w:rsid w:val="00BB42A4"/>
    <w:rsid w:val="00BB431E"/>
    <w:rsid w:val="00BB434D"/>
    <w:rsid w:val="00BB4A8D"/>
    <w:rsid w:val="00BB4B5D"/>
    <w:rsid w:val="00BB4BA6"/>
    <w:rsid w:val="00BB4C6A"/>
    <w:rsid w:val="00BB4C9A"/>
    <w:rsid w:val="00BB502E"/>
    <w:rsid w:val="00BB525E"/>
    <w:rsid w:val="00BB57DD"/>
    <w:rsid w:val="00BB5A6F"/>
    <w:rsid w:val="00BB5CA1"/>
    <w:rsid w:val="00BB5EB0"/>
    <w:rsid w:val="00BB5FEE"/>
    <w:rsid w:val="00BB62D7"/>
    <w:rsid w:val="00BB6E2D"/>
    <w:rsid w:val="00BB7159"/>
    <w:rsid w:val="00BB72B6"/>
    <w:rsid w:val="00BB770B"/>
    <w:rsid w:val="00BB7717"/>
    <w:rsid w:val="00BB771A"/>
    <w:rsid w:val="00BB795C"/>
    <w:rsid w:val="00BC0299"/>
    <w:rsid w:val="00BC037F"/>
    <w:rsid w:val="00BC049B"/>
    <w:rsid w:val="00BC0634"/>
    <w:rsid w:val="00BC09C0"/>
    <w:rsid w:val="00BC0A3F"/>
    <w:rsid w:val="00BC0C36"/>
    <w:rsid w:val="00BC0E67"/>
    <w:rsid w:val="00BC0FC8"/>
    <w:rsid w:val="00BC136D"/>
    <w:rsid w:val="00BC1429"/>
    <w:rsid w:val="00BC157A"/>
    <w:rsid w:val="00BC17CC"/>
    <w:rsid w:val="00BC1884"/>
    <w:rsid w:val="00BC1A8C"/>
    <w:rsid w:val="00BC1C7E"/>
    <w:rsid w:val="00BC1CDD"/>
    <w:rsid w:val="00BC1E9F"/>
    <w:rsid w:val="00BC1FD4"/>
    <w:rsid w:val="00BC2036"/>
    <w:rsid w:val="00BC22A4"/>
    <w:rsid w:val="00BC26EF"/>
    <w:rsid w:val="00BC2826"/>
    <w:rsid w:val="00BC283C"/>
    <w:rsid w:val="00BC290B"/>
    <w:rsid w:val="00BC294D"/>
    <w:rsid w:val="00BC2ACF"/>
    <w:rsid w:val="00BC2B0C"/>
    <w:rsid w:val="00BC2BE9"/>
    <w:rsid w:val="00BC2C49"/>
    <w:rsid w:val="00BC3108"/>
    <w:rsid w:val="00BC31D8"/>
    <w:rsid w:val="00BC3493"/>
    <w:rsid w:val="00BC3508"/>
    <w:rsid w:val="00BC361F"/>
    <w:rsid w:val="00BC3656"/>
    <w:rsid w:val="00BC39D0"/>
    <w:rsid w:val="00BC3C3B"/>
    <w:rsid w:val="00BC3D5E"/>
    <w:rsid w:val="00BC3FEC"/>
    <w:rsid w:val="00BC414E"/>
    <w:rsid w:val="00BC48C3"/>
    <w:rsid w:val="00BC48CB"/>
    <w:rsid w:val="00BC4AF8"/>
    <w:rsid w:val="00BC52A2"/>
    <w:rsid w:val="00BC53D4"/>
    <w:rsid w:val="00BC5532"/>
    <w:rsid w:val="00BC56BF"/>
    <w:rsid w:val="00BC58A3"/>
    <w:rsid w:val="00BC5AC8"/>
    <w:rsid w:val="00BC5AE2"/>
    <w:rsid w:val="00BC5D85"/>
    <w:rsid w:val="00BC5E1A"/>
    <w:rsid w:val="00BC5ED5"/>
    <w:rsid w:val="00BC6000"/>
    <w:rsid w:val="00BC677D"/>
    <w:rsid w:val="00BC6941"/>
    <w:rsid w:val="00BC696A"/>
    <w:rsid w:val="00BC6B4A"/>
    <w:rsid w:val="00BC6C91"/>
    <w:rsid w:val="00BC735D"/>
    <w:rsid w:val="00BC75A2"/>
    <w:rsid w:val="00BC762E"/>
    <w:rsid w:val="00BC773E"/>
    <w:rsid w:val="00BC7C39"/>
    <w:rsid w:val="00BC7DAC"/>
    <w:rsid w:val="00BD03AA"/>
    <w:rsid w:val="00BD03CB"/>
    <w:rsid w:val="00BD05D5"/>
    <w:rsid w:val="00BD0603"/>
    <w:rsid w:val="00BD0F15"/>
    <w:rsid w:val="00BD0F2D"/>
    <w:rsid w:val="00BD100F"/>
    <w:rsid w:val="00BD1038"/>
    <w:rsid w:val="00BD153B"/>
    <w:rsid w:val="00BD1B98"/>
    <w:rsid w:val="00BD1DB7"/>
    <w:rsid w:val="00BD1E4A"/>
    <w:rsid w:val="00BD211C"/>
    <w:rsid w:val="00BD2237"/>
    <w:rsid w:val="00BD2296"/>
    <w:rsid w:val="00BD24D6"/>
    <w:rsid w:val="00BD26BF"/>
    <w:rsid w:val="00BD2A0D"/>
    <w:rsid w:val="00BD2A49"/>
    <w:rsid w:val="00BD2AE2"/>
    <w:rsid w:val="00BD2E37"/>
    <w:rsid w:val="00BD31C6"/>
    <w:rsid w:val="00BD33D7"/>
    <w:rsid w:val="00BD3608"/>
    <w:rsid w:val="00BD3716"/>
    <w:rsid w:val="00BD3815"/>
    <w:rsid w:val="00BD3E9C"/>
    <w:rsid w:val="00BD4208"/>
    <w:rsid w:val="00BD46CB"/>
    <w:rsid w:val="00BD4846"/>
    <w:rsid w:val="00BD4CD5"/>
    <w:rsid w:val="00BD4DB4"/>
    <w:rsid w:val="00BD5041"/>
    <w:rsid w:val="00BD524D"/>
    <w:rsid w:val="00BD538A"/>
    <w:rsid w:val="00BD5406"/>
    <w:rsid w:val="00BD5423"/>
    <w:rsid w:val="00BD5519"/>
    <w:rsid w:val="00BD55A6"/>
    <w:rsid w:val="00BD58C5"/>
    <w:rsid w:val="00BD5D19"/>
    <w:rsid w:val="00BD60DB"/>
    <w:rsid w:val="00BD63CE"/>
    <w:rsid w:val="00BD6406"/>
    <w:rsid w:val="00BD6496"/>
    <w:rsid w:val="00BD662E"/>
    <w:rsid w:val="00BD6C73"/>
    <w:rsid w:val="00BD714C"/>
    <w:rsid w:val="00BD7375"/>
    <w:rsid w:val="00BD7D7D"/>
    <w:rsid w:val="00BD7FE2"/>
    <w:rsid w:val="00BE09D2"/>
    <w:rsid w:val="00BE0B2F"/>
    <w:rsid w:val="00BE0D7C"/>
    <w:rsid w:val="00BE0D9D"/>
    <w:rsid w:val="00BE1058"/>
    <w:rsid w:val="00BE111A"/>
    <w:rsid w:val="00BE14AA"/>
    <w:rsid w:val="00BE14BA"/>
    <w:rsid w:val="00BE186C"/>
    <w:rsid w:val="00BE1A63"/>
    <w:rsid w:val="00BE1B5F"/>
    <w:rsid w:val="00BE1BD6"/>
    <w:rsid w:val="00BE1C1B"/>
    <w:rsid w:val="00BE1D46"/>
    <w:rsid w:val="00BE1D5A"/>
    <w:rsid w:val="00BE2428"/>
    <w:rsid w:val="00BE278B"/>
    <w:rsid w:val="00BE299B"/>
    <w:rsid w:val="00BE2A15"/>
    <w:rsid w:val="00BE2A19"/>
    <w:rsid w:val="00BE2C69"/>
    <w:rsid w:val="00BE2C93"/>
    <w:rsid w:val="00BE2CE4"/>
    <w:rsid w:val="00BE2D4A"/>
    <w:rsid w:val="00BE32F6"/>
    <w:rsid w:val="00BE33D1"/>
    <w:rsid w:val="00BE34F5"/>
    <w:rsid w:val="00BE394A"/>
    <w:rsid w:val="00BE39A6"/>
    <w:rsid w:val="00BE407B"/>
    <w:rsid w:val="00BE4137"/>
    <w:rsid w:val="00BE43EC"/>
    <w:rsid w:val="00BE4542"/>
    <w:rsid w:val="00BE46DF"/>
    <w:rsid w:val="00BE46E6"/>
    <w:rsid w:val="00BE4766"/>
    <w:rsid w:val="00BE48E6"/>
    <w:rsid w:val="00BE4907"/>
    <w:rsid w:val="00BE4CC1"/>
    <w:rsid w:val="00BE4E23"/>
    <w:rsid w:val="00BE4E79"/>
    <w:rsid w:val="00BE5015"/>
    <w:rsid w:val="00BE524F"/>
    <w:rsid w:val="00BE5315"/>
    <w:rsid w:val="00BE5618"/>
    <w:rsid w:val="00BE576B"/>
    <w:rsid w:val="00BE5B17"/>
    <w:rsid w:val="00BE5C25"/>
    <w:rsid w:val="00BE5C4E"/>
    <w:rsid w:val="00BE60F9"/>
    <w:rsid w:val="00BE626D"/>
    <w:rsid w:val="00BE638A"/>
    <w:rsid w:val="00BE63F6"/>
    <w:rsid w:val="00BE6A48"/>
    <w:rsid w:val="00BE6C0B"/>
    <w:rsid w:val="00BE6D1E"/>
    <w:rsid w:val="00BE7252"/>
    <w:rsid w:val="00BE72B1"/>
    <w:rsid w:val="00BE73B9"/>
    <w:rsid w:val="00BE73E1"/>
    <w:rsid w:val="00BE7491"/>
    <w:rsid w:val="00BE77D6"/>
    <w:rsid w:val="00BE7A18"/>
    <w:rsid w:val="00BE7D31"/>
    <w:rsid w:val="00BE7ED3"/>
    <w:rsid w:val="00BE7FC5"/>
    <w:rsid w:val="00BF03A2"/>
    <w:rsid w:val="00BF046C"/>
    <w:rsid w:val="00BF050C"/>
    <w:rsid w:val="00BF05A3"/>
    <w:rsid w:val="00BF06BD"/>
    <w:rsid w:val="00BF078D"/>
    <w:rsid w:val="00BF091A"/>
    <w:rsid w:val="00BF0B3C"/>
    <w:rsid w:val="00BF0B78"/>
    <w:rsid w:val="00BF0D51"/>
    <w:rsid w:val="00BF1500"/>
    <w:rsid w:val="00BF153C"/>
    <w:rsid w:val="00BF16C4"/>
    <w:rsid w:val="00BF1761"/>
    <w:rsid w:val="00BF19EA"/>
    <w:rsid w:val="00BF1B5E"/>
    <w:rsid w:val="00BF20C5"/>
    <w:rsid w:val="00BF215A"/>
    <w:rsid w:val="00BF2358"/>
    <w:rsid w:val="00BF23AD"/>
    <w:rsid w:val="00BF28D4"/>
    <w:rsid w:val="00BF2977"/>
    <w:rsid w:val="00BF29A5"/>
    <w:rsid w:val="00BF2B6F"/>
    <w:rsid w:val="00BF2BF6"/>
    <w:rsid w:val="00BF2EE8"/>
    <w:rsid w:val="00BF2F1F"/>
    <w:rsid w:val="00BF3162"/>
    <w:rsid w:val="00BF3657"/>
    <w:rsid w:val="00BF3899"/>
    <w:rsid w:val="00BF3954"/>
    <w:rsid w:val="00BF3C32"/>
    <w:rsid w:val="00BF3D99"/>
    <w:rsid w:val="00BF3E24"/>
    <w:rsid w:val="00BF4022"/>
    <w:rsid w:val="00BF4115"/>
    <w:rsid w:val="00BF412B"/>
    <w:rsid w:val="00BF4158"/>
    <w:rsid w:val="00BF430B"/>
    <w:rsid w:val="00BF4894"/>
    <w:rsid w:val="00BF4A05"/>
    <w:rsid w:val="00BF4A7C"/>
    <w:rsid w:val="00BF4B09"/>
    <w:rsid w:val="00BF4B70"/>
    <w:rsid w:val="00BF4BD1"/>
    <w:rsid w:val="00BF4E7B"/>
    <w:rsid w:val="00BF5056"/>
    <w:rsid w:val="00BF5152"/>
    <w:rsid w:val="00BF52A5"/>
    <w:rsid w:val="00BF5532"/>
    <w:rsid w:val="00BF58A2"/>
    <w:rsid w:val="00BF592B"/>
    <w:rsid w:val="00BF5C24"/>
    <w:rsid w:val="00BF5C3C"/>
    <w:rsid w:val="00BF61FA"/>
    <w:rsid w:val="00BF6296"/>
    <w:rsid w:val="00BF6297"/>
    <w:rsid w:val="00BF62E1"/>
    <w:rsid w:val="00BF6454"/>
    <w:rsid w:val="00BF67E7"/>
    <w:rsid w:val="00BF68F1"/>
    <w:rsid w:val="00BF6E69"/>
    <w:rsid w:val="00BF72C3"/>
    <w:rsid w:val="00BF758D"/>
    <w:rsid w:val="00BF79E1"/>
    <w:rsid w:val="00BF7D4F"/>
    <w:rsid w:val="00BF7E08"/>
    <w:rsid w:val="00BF7E0E"/>
    <w:rsid w:val="00BF7E63"/>
    <w:rsid w:val="00BF7E68"/>
    <w:rsid w:val="00C000B7"/>
    <w:rsid w:val="00C00235"/>
    <w:rsid w:val="00C00384"/>
    <w:rsid w:val="00C00650"/>
    <w:rsid w:val="00C0070D"/>
    <w:rsid w:val="00C0080E"/>
    <w:rsid w:val="00C0082D"/>
    <w:rsid w:val="00C00853"/>
    <w:rsid w:val="00C009C1"/>
    <w:rsid w:val="00C00BA5"/>
    <w:rsid w:val="00C00DBF"/>
    <w:rsid w:val="00C00FC6"/>
    <w:rsid w:val="00C01289"/>
    <w:rsid w:val="00C012A2"/>
    <w:rsid w:val="00C0139C"/>
    <w:rsid w:val="00C013F9"/>
    <w:rsid w:val="00C01401"/>
    <w:rsid w:val="00C016D5"/>
    <w:rsid w:val="00C01804"/>
    <w:rsid w:val="00C01831"/>
    <w:rsid w:val="00C019A0"/>
    <w:rsid w:val="00C01BBC"/>
    <w:rsid w:val="00C01D4A"/>
    <w:rsid w:val="00C01F3F"/>
    <w:rsid w:val="00C02350"/>
    <w:rsid w:val="00C02585"/>
    <w:rsid w:val="00C0274B"/>
    <w:rsid w:val="00C0287F"/>
    <w:rsid w:val="00C028A2"/>
    <w:rsid w:val="00C02A3A"/>
    <w:rsid w:val="00C02BD8"/>
    <w:rsid w:val="00C032DF"/>
    <w:rsid w:val="00C034CD"/>
    <w:rsid w:val="00C03C76"/>
    <w:rsid w:val="00C03CFE"/>
    <w:rsid w:val="00C03E3F"/>
    <w:rsid w:val="00C03F13"/>
    <w:rsid w:val="00C04112"/>
    <w:rsid w:val="00C04330"/>
    <w:rsid w:val="00C045FA"/>
    <w:rsid w:val="00C04796"/>
    <w:rsid w:val="00C047BA"/>
    <w:rsid w:val="00C04B0E"/>
    <w:rsid w:val="00C04D29"/>
    <w:rsid w:val="00C04DB6"/>
    <w:rsid w:val="00C05113"/>
    <w:rsid w:val="00C0582E"/>
    <w:rsid w:val="00C0589A"/>
    <w:rsid w:val="00C05A53"/>
    <w:rsid w:val="00C05C8E"/>
    <w:rsid w:val="00C05D02"/>
    <w:rsid w:val="00C05D18"/>
    <w:rsid w:val="00C05D54"/>
    <w:rsid w:val="00C05F52"/>
    <w:rsid w:val="00C06090"/>
    <w:rsid w:val="00C06220"/>
    <w:rsid w:val="00C06444"/>
    <w:rsid w:val="00C0644A"/>
    <w:rsid w:val="00C06454"/>
    <w:rsid w:val="00C06704"/>
    <w:rsid w:val="00C06A8D"/>
    <w:rsid w:val="00C06BCC"/>
    <w:rsid w:val="00C06C29"/>
    <w:rsid w:val="00C0745A"/>
    <w:rsid w:val="00C075C9"/>
    <w:rsid w:val="00C075E7"/>
    <w:rsid w:val="00C07AF2"/>
    <w:rsid w:val="00C10396"/>
    <w:rsid w:val="00C103D2"/>
    <w:rsid w:val="00C10515"/>
    <w:rsid w:val="00C10555"/>
    <w:rsid w:val="00C1079B"/>
    <w:rsid w:val="00C11169"/>
    <w:rsid w:val="00C114EA"/>
    <w:rsid w:val="00C1179E"/>
    <w:rsid w:val="00C117A8"/>
    <w:rsid w:val="00C1182F"/>
    <w:rsid w:val="00C1187A"/>
    <w:rsid w:val="00C11A2A"/>
    <w:rsid w:val="00C11B2D"/>
    <w:rsid w:val="00C11BD9"/>
    <w:rsid w:val="00C11D21"/>
    <w:rsid w:val="00C11E08"/>
    <w:rsid w:val="00C11E1E"/>
    <w:rsid w:val="00C11F79"/>
    <w:rsid w:val="00C124D3"/>
    <w:rsid w:val="00C1255C"/>
    <w:rsid w:val="00C12798"/>
    <w:rsid w:val="00C129B2"/>
    <w:rsid w:val="00C12C78"/>
    <w:rsid w:val="00C12D3E"/>
    <w:rsid w:val="00C12E20"/>
    <w:rsid w:val="00C1366C"/>
    <w:rsid w:val="00C1397F"/>
    <w:rsid w:val="00C139CC"/>
    <w:rsid w:val="00C139ED"/>
    <w:rsid w:val="00C13D81"/>
    <w:rsid w:val="00C13F8F"/>
    <w:rsid w:val="00C14026"/>
    <w:rsid w:val="00C141EA"/>
    <w:rsid w:val="00C14527"/>
    <w:rsid w:val="00C1478B"/>
    <w:rsid w:val="00C14955"/>
    <w:rsid w:val="00C14A72"/>
    <w:rsid w:val="00C14EE9"/>
    <w:rsid w:val="00C15864"/>
    <w:rsid w:val="00C15C21"/>
    <w:rsid w:val="00C15E20"/>
    <w:rsid w:val="00C1611D"/>
    <w:rsid w:val="00C16348"/>
    <w:rsid w:val="00C16419"/>
    <w:rsid w:val="00C16954"/>
    <w:rsid w:val="00C16F57"/>
    <w:rsid w:val="00C176F8"/>
    <w:rsid w:val="00C17C99"/>
    <w:rsid w:val="00C17FE9"/>
    <w:rsid w:val="00C200D9"/>
    <w:rsid w:val="00C200F1"/>
    <w:rsid w:val="00C2012F"/>
    <w:rsid w:val="00C20475"/>
    <w:rsid w:val="00C204CF"/>
    <w:rsid w:val="00C20541"/>
    <w:rsid w:val="00C20590"/>
    <w:rsid w:val="00C2096B"/>
    <w:rsid w:val="00C20C66"/>
    <w:rsid w:val="00C20C7A"/>
    <w:rsid w:val="00C21014"/>
    <w:rsid w:val="00C2102A"/>
    <w:rsid w:val="00C21397"/>
    <w:rsid w:val="00C215C8"/>
    <w:rsid w:val="00C21751"/>
    <w:rsid w:val="00C21BEE"/>
    <w:rsid w:val="00C21D11"/>
    <w:rsid w:val="00C221E7"/>
    <w:rsid w:val="00C22265"/>
    <w:rsid w:val="00C22420"/>
    <w:rsid w:val="00C22645"/>
    <w:rsid w:val="00C22755"/>
    <w:rsid w:val="00C22AFC"/>
    <w:rsid w:val="00C22D9F"/>
    <w:rsid w:val="00C231ED"/>
    <w:rsid w:val="00C232FB"/>
    <w:rsid w:val="00C233E1"/>
    <w:rsid w:val="00C2351C"/>
    <w:rsid w:val="00C23BE7"/>
    <w:rsid w:val="00C23E72"/>
    <w:rsid w:val="00C24307"/>
    <w:rsid w:val="00C2461F"/>
    <w:rsid w:val="00C24A42"/>
    <w:rsid w:val="00C24B65"/>
    <w:rsid w:val="00C24BFC"/>
    <w:rsid w:val="00C24CA1"/>
    <w:rsid w:val="00C24DD8"/>
    <w:rsid w:val="00C251B2"/>
    <w:rsid w:val="00C252C9"/>
    <w:rsid w:val="00C2547B"/>
    <w:rsid w:val="00C25507"/>
    <w:rsid w:val="00C25559"/>
    <w:rsid w:val="00C2565E"/>
    <w:rsid w:val="00C25755"/>
    <w:rsid w:val="00C25898"/>
    <w:rsid w:val="00C25B3B"/>
    <w:rsid w:val="00C25BA8"/>
    <w:rsid w:val="00C25D8B"/>
    <w:rsid w:val="00C25DD2"/>
    <w:rsid w:val="00C25FF0"/>
    <w:rsid w:val="00C2668F"/>
    <w:rsid w:val="00C26723"/>
    <w:rsid w:val="00C2696F"/>
    <w:rsid w:val="00C26CD7"/>
    <w:rsid w:val="00C26DB5"/>
    <w:rsid w:val="00C26EAA"/>
    <w:rsid w:val="00C26EBE"/>
    <w:rsid w:val="00C26ED4"/>
    <w:rsid w:val="00C27111"/>
    <w:rsid w:val="00C27260"/>
    <w:rsid w:val="00C27401"/>
    <w:rsid w:val="00C27B2A"/>
    <w:rsid w:val="00C27E0E"/>
    <w:rsid w:val="00C300FD"/>
    <w:rsid w:val="00C3015D"/>
    <w:rsid w:val="00C3023A"/>
    <w:rsid w:val="00C30617"/>
    <w:rsid w:val="00C308E0"/>
    <w:rsid w:val="00C30E51"/>
    <w:rsid w:val="00C3100B"/>
    <w:rsid w:val="00C31080"/>
    <w:rsid w:val="00C31223"/>
    <w:rsid w:val="00C3132F"/>
    <w:rsid w:val="00C31466"/>
    <w:rsid w:val="00C314C3"/>
    <w:rsid w:val="00C31666"/>
    <w:rsid w:val="00C318FF"/>
    <w:rsid w:val="00C319A5"/>
    <w:rsid w:val="00C31AA1"/>
    <w:rsid w:val="00C31C4A"/>
    <w:rsid w:val="00C324E6"/>
    <w:rsid w:val="00C32544"/>
    <w:rsid w:val="00C32713"/>
    <w:rsid w:val="00C32946"/>
    <w:rsid w:val="00C32E5A"/>
    <w:rsid w:val="00C32FF6"/>
    <w:rsid w:val="00C33140"/>
    <w:rsid w:val="00C33A30"/>
    <w:rsid w:val="00C33A68"/>
    <w:rsid w:val="00C33BF4"/>
    <w:rsid w:val="00C33E05"/>
    <w:rsid w:val="00C349E0"/>
    <w:rsid w:val="00C34A76"/>
    <w:rsid w:val="00C34F7F"/>
    <w:rsid w:val="00C35032"/>
    <w:rsid w:val="00C35210"/>
    <w:rsid w:val="00C35226"/>
    <w:rsid w:val="00C352BE"/>
    <w:rsid w:val="00C3564B"/>
    <w:rsid w:val="00C357A9"/>
    <w:rsid w:val="00C35EEE"/>
    <w:rsid w:val="00C360CD"/>
    <w:rsid w:val="00C3643B"/>
    <w:rsid w:val="00C3645B"/>
    <w:rsid w:val="00C36460"/>
    <w:rsid w:val="00C365EF"/>
    <w:rsid w:val="00C36890"/>
    <w:rsid w:val="00C36E48"/>
    <w:rsid w:val="00C36F19"/>
    <w:rsid w:val="00C372FA"/>
    <w:rsid w:val="00C37375"/>
    <w:rsid w:val="00C373C9"/>
    <w:rsid w:val="00C374EA"/>
    <w:rsid w:val="00C377A7"/>
    <w:rsid w:val="00C379ED"/>
    <w:rsid w:val="00C37C31"/>
    <w:rsid w:val="00C37C58"/>
    <w:rsid w:val="00C4052C"/>
    <w:rsid w:val="00C40538"/>
    <w:rsid w:val="00C40967"/>
    <w:rsid w:val="00C40DFD"/>
    <w:rsid w:val="00C41299"/>
    <w:rsid w:val="00C413A2"/>
    <w:rsid w:val="00C4144C"/>
    <w:rsid w:val="00C41730"/>
    <w:rsid w:val="00C41CBC"/>
    <w:rsid w:val="00C4214D"/>
    <w:rsid w:val="00C4232C"/>
    <w:rsid w:val="00C423A6"/>
    <w:rsid w:val="00C428FA"/>
    <w:rsid w:val="00C4290F"/>
    <w:rsid w:val="00C42FB9"/>
    <w:rsid w:val="00C434CD"/>
    <w:rsid w:val="00C4379E"/>
    <w:rsid w:val="00C43A5A"/>
    <w:rsid w:val="00C43A8B"/>
    <w:rsid w:val="00C43B55"/>
    <w:rsid w:val="00C43DD9"/>
    <w:rsid w:val="00C43F27"/>
    <w:rsid w:val="00C43F42"/>
    <w:rsid w:val="00C44009"/>
    <w:rsid w:val="00C44457"/>
    <w:rsid w:val="00C449A3"/>
    <w:rsid w:val="00C44A8E"/>
    <w:rsid w:val="00C44B69"/>
    <w:rsid w:val="00C45023"/>
    <w:rsid w:val="00C4506A"/>
    <w:rsid w:val="00C45183"/>
    <w:rsid w:val="00C45266"/>
    <w:rsid w:val="00C45714"/>
    <w:rsid w:val="00C45860"/>
    <w:rsid w:val="00C45F02"/>
    <w:rsid w:val="00C46308"/>
    <w:rsid w:val="00C4635B"/>
    <w:rsid w:val="00C465E5"/>
    <w:rsid w:val="00C4668C"/>
    <w:rsid w:val="00C4682F"/>
    <w:rsid w:val="00C46C84"/>
    <w:rsid w:val="00C46DC1"/>
    <w:rsid w:val="00C46E09"/>
    <w:rsid w:val="00C46F1A"/>
    <w:rsid w:val="00C47824"/>
    <w:rsid w:val="00C47863"/>
    <w:rsid w:val="00C47CCE"/>
    <w:rsid w:val="00C50439"/>
    <w:rsid w:val="00C50727"/>
    <w:rsid w:val="00C50934"/>
    <w:rsid w:val="00C50974"/>
    <w:rsid w:val="00C509E1"/>
    <w:rsid w:val="00C50CAA"/>
    <w:rsid w:val="00C50E9F"/>
    <w:rsid w:val="00C511BC"/>
    <w:rsid w:val="00C511D8"/>
    <w:rsid w:val="00C5144D"/>
    <w:rsid w:val="00C516CD"/>
    <w:rsid w:val="00C51AAA"/>
    <w:rsid w:val="00C51AE0"/>
    <w:rsid w:val="00C51DE6"/>
    <w:rsid w:val="00C51E9C"/>
    <w:rsid w:val="00C5267D"/>
    <w:rsid w:val="00C5297B"/>
    <w:rsid w:val="00C52B39"/>
    <w:rsid w:val="00C52D84"/>
    <w:rsid w:val="00C52E66"/>
    <w:rsid w:val="00C52EAB"/>
    <w:rsid w:val="00C52F3B"/>
    <w:rsid w:val="00C52F40"/>
    <w:rsid w:val="00C530F0"/>
    <w:rsid w:val="00C531A7"/>
    <w:rsid w:val="00C531F9"/>
    <w:rsid w:val="00C53285"/>
    <w:rsid w:val="00C53950"/>
    <w:rsid w:val="00C53C92"/>
    <w:rsid w:val="00C53CD6"/>
    <w:rsid w:val="00C53F6F"/>
    <w:rsid w:val="00C541C4"/>
    <w:rsid w:val="00C54215"/>
    <w:rsid w:val="00C54A0C"/>
    <w:rsid w:val="00C54A43"/>
    <w:rsid w:val="00C54C00"/>
    <w:rsid w:val="00C55009"/>
    <w:rsid w:val="00C55107"/>
    <w:rsid w:val="00C5547A"/>
    <w:rsid w:val="00C55783"/>
    <w:rsid w:val="00C55816"/>
    <w:rsid w:val="00C55873"/>
    <w:rsid w:val="00C55C5F"/>
    <w:rsid w:val="00C55D2D"/>
    <w:rsid w:val="00C55DEE"/>
    <w:rsid w:val="00C55ECB"/>
    <w:rsid w:val="00C55F91"/>
    <w:rsid w:val="00C5600B"/>
    <w:rsid w:val="00C56955"/>
    <w:rsid w:val="00C56ADD"/>
    <w:rsid w:val="00C56DA5"/>
    <w:rsid w:val="00C56FB8"/>
    <w:rsid w:val="00C57010"/>
    <w:rsid w:val="00C5710E"/>
    <w:rsid w:val="00C574DC"/>
    <w:rsid w:val="00C5759B"/>
    <w:rsid w:val="00C577AC"/>
    <w:rsid w:val="00C57D0C"/>
    <w:rsid w:val="00C57D41"/>
    <w:rsid w:val="00C60391"/>
    <w:rsid w:val="00C6039D"/>
    <w:rsid w:val="00C604F8"/>
    <w:rsid w:val="00C60953"/>
    <w:rsid w:val="00C612C0"/>
    <w:rsid w:val="00C614C6"/>
    <w:rsid w:val="00C61981"/>
    <w:rsid w:val="00C61A32"/>
    <w:rsid w:val="00C61C5A"/>
    <w:rsid w:val="00C61F0D"/>
    <w:rsid w:val="00C61FFD"/>
    <w:rsid w:val="00C62021"/>
    <w:rsid w:val="00C621D1"/>
    <w:rsid w:val="00C62211"/>
    <w:rsid w:val="00C6264B"/>
    <w:rsid w:val="00C6279E"/>
    <w:rsid w:val="00C629BE"/>
    <w:rsid w:val="00C62AA9"/>
    <w:rsid w:val="00C62E5F"/>
    <w:rsid w:val="00C63039"/>
    <w:rsid w:val="00C6309F"/>
    <w:rsid w:val="00C632ED"/>
    <w:rsid w:val="00C63370"/>
    <w:rsid w:val="00C637E2"/>
    <w:rsid w:val="00C63C40"/>
    <w:rsid w:val="00C63DC1"/>
    <w:rsid w:val="00C63F1A"/>
    <w:rsid w:val="00C6419C"/>
    <w:rsid w:val="00C642F1"/>
    <w:rsid w:val="00C643DC"/>
    <w:rsid w:val="00C646AA"/>
    <w:rsid w:val="00C64822"/>
    <w:rsid w:val="00C648AE"/>
    <w:rsid w:val="00C64B5F"/>
    <w:rsid w:val="00C6532D"/>
    <w:rsid w:val="00C654AA"/>
    <w:rsid w:val="00C659B9"/>
    <w:rsid w:val="00C65A15"/>
    <w:rsid w:val="00C65BC1"/>
    <w:rsid w:val="00C65D45"/>
    <w:rsid w:val="00C65F76"/>
    <w:rsid w:val="00C661D8"/>
    <w:rsid w:val="00C662B5"/>
    <w:rsid w:val="00C667B5"/>
    <w:rsid w:val="00C6683A"/>
    <w:rsid w:val="00C66ECA"/>
    <w:rsid w:val="00C66EDE"/>
    <w:rsid w:val="00C6708F"/>
    <w:rsid w:val="00C67160"/>
    <w:rsid w:val="00C675D8"/>
    <w:rsid w:val="00C67985"/>
    <w:rsid w:val="00C67BBF"/>
    <w:rsid w:val="00C67DAE"/>
    <w:rsid w:val="00C70193"/>
    <w:rsid w:val="00C7021E"/>
    <w:rsid w:val="00C7032A"/>
    <w:rsid w:val="00C705BD"/>
    <w:rsid w:val="00C707E9"/>
    <w:rsid w:val="00C70870"/>
    <w:rsid w:val="00C708E0"/>
    <w:rsid w:val="00C70A94"/>
    <w:rsid w:val="00C71024"/>
    <w:rsid w:val="00C71134"/>
    <w:rsid w:val="00C716AD"/>
    <w:rsid w:val="00C71918"/>
    <w:rsid w:val="00C71BF0"/>
    <w:rsid w:val="00C71CC9"/>
    <w:rsid w:val="00C72074"/>
    <w:rsid w:val="00C720EA"/>
    <w:rsid w:val="00C72395"/>
    <w:rsid w:val="00C723F6"/>
    <w:rsid w:val="00C72549"/>
    <w:rsid w:val="00C727CD"/>
    <w:rsid w:val="00C72FBF"/>
    <w:rsid w:val="00C73040"/>
    <w:rsid w:val="00C7369E"/>
    <w:rsid w:val="00C737F6"/>
    <w:rsid w:val="00C73856"/>
    <w:rsid w:val="00C73B05"/>
    <w:rsid w:val="00C73D92"/>
    <w:rsid w:val="00C740B2"/>
    <w:rsid w:val="00C740C8"/>
    <w:rsid w:val="00C74105"/>
    <w:rsid w:val="00C74530"/>
    <w:rsid w:val="00C74897"/>
    <w:rsid w:val="00C74E7A"/>
    <w:rsid w:val="00C74F4D"/>
    <w:rsid w:val="00C75050"/>
    <w:rsid w:val="00C750E7"/>
    <w:rsid w:val="00C751CA"/>
    <w:rsid w:val="00C75751"/>
    <w:rsid w:val="00C75847"/>
    <w:rsid w:val="00C75F6A"/>
    <w:rsid w:val="00C76429"/>
    <w:rsid w:val="00C76AD6"/>
    <w:rsid w:val="00C76B5D"/>
    <w:rsid w:val="00C76CB9"/>
    <w:rsid w:val="00C76EF6"/>
    <w:rsid w:val="00C77144"/>
    <w:rsid w:val="00C77411"/>
    <w:rsid w:val="00C77530"/>
    <w:rsid w:val="00C77864"/>
    <w:rsid w:val="00C77A02"/>
    <w:rsid w:val="00C77BE0"/>
    <w:rsid w:val="00C77C5B"/>
    <w:rsid w:val="00C77D77"/>
    <w:rsid w:val="00C77FF3"/>
    <w:rsid w:val="00C804E2"/>
    <w:rsid w:val="00C806BA"/>
    <w:rsid w:val="00C8089F"/>
    <w:rsid w:val="00C808F8"/>
    <w:rsid w:val="00C8090F"/>
    <w:rsid w:val="00C80988"/>
    <w:rsid w:val="00C80B26"/>
    <w:rsid w:val="00C80E03"/>
    <w:rsid w:val="00C81576"/>
    <w:rsid w:val="00C816AC"/>
    <w:rsid w:val="00C81802"/>
    <w:rsid w:val="00C81822"/>
    <w:rsid w:val="00C818B1"/>
    <w:rsid w:val="00C81931"/>
    <w:rsid w:val="00C81A52"/>
    <w:rsid w:val="00C81C84"/>
    <w:rsid w:val="00C81DEA"/>
    <w:rsid w:val="00C823C5"/>
    <w:rsid w:val="00C82531"/>
    <w:rsid w:val="00C82607"/>
    <w:rsid w:val="00C8267E"/>
    <w:rsid w:val="00C826C7"/>
    <w:rsid w:val="00C82C3D"/>
    <w:rsid w:val="00C83292"/>
    <w:rsid w:val="00C832B6"/>
    <w:rsid w:val="00C8333A"/>
    <w:rsid w:val="00C8365C"/>
    <w:rsid w:val="00C836C7"/>
    <w:rsid w:val="00C83876"/>
    <w:rsid w:val="00C839B9"/>
    <w:rsid w:val="00C83C90"/>
    <w:rsid w:val="00C83DE1"/>
    <w:rsid w:val="00C84263"/>
    <w:rsid w:val="00C84330"/>
    <w:rsid w:val="00C8450F"/>
    <w:rsid w:val="00C845C8"/>
    <w:rsid w:val="00C848DD"/>
    <w:rsid w:val="00C849D3"/>
    <w:rsid w:val="00C84B6E"/>
    <w:rsid w:val="00C84D0A"/>
    <w:rsid w:val="00C84E2F"/>
    <w:rsid w:val="00C85035"/>
    <w:rsid w:val="00C854DA"/>
    <w:rsid w:val="00C854FE"/>
    <w:rsid w:val="00C85520"/>
    <w:rsid w:val="00C85662"/>
    <w:rsid w:val="00C85872"/>
    <w:rsid w:val="00C859B7"/>
    <w:rsid w:val="00C85A11"/>
    <w:rsid w:val="00C85AE4"/>
    <w:rsid w:val="00C85C38"/>
    <w:rsid w:val="00C85D19"/>
    <w:rsid w:val="00C85D98"/>
    <w:rsid w:val="00C85F3C"/>
    <w:rsid w:val="00C8638F"/>
    <w:rsid w:val="00C8641A"/>
    <w:rsid w:val="00C86655"/>
    <w:rsid w:val="00C867AF"/>
    <w:rsid w:val="00C86901"/>
    <w:rsid w:val="00C86918"/>
    <w:rsid w:val="00C86A3F"/>
    <w:rsid w:val="00C86AF6"/>
    <w:rsid w:val="00C86BDB"/>
    <w:rsid w:val="00C86E67"/>
    <w:rsid w:val="00C86F2D"/>
    <w:rsid w:val="00C86FA5"/>
    <w:rsid w:val="00C87257"/>
    <w:rsid w:val="00C872FC"/>
    <w:rsid w:val="00C87414"/>
    <w:rsid w:val="00C876E4"/>
    <w:rsid w:val="00C8783A"/>
    <w:rsid w:val="00C8785D"/>
    <w:rsid w:val="00C87ACB"/>
    <w:rsid w:val="00C87BBF"/>
    <w:rsid w:val="00C87C80"/>
    <w:rsid w:val="00C87C9D"/>
    <w:rsid w:val="00C90052"/>
    <w:rsid w:val="00C9009F"/>
    <w:rsid w:val="00C900F1"/>
    <w:rsid w:val="00C90103"/>
    <w:rsid w:val="00C90819"/>
    <w:rsid w:val="00C90900"/>
    <w:rsid w:val="00C90A63"/>
    <w:rsid w:val="00C90F4B"/>
    <w:rsid w:val="00C910EC"/>
    <w:rsid w:val="00C9135C"/>
    <w:rsid w:val="00C9135F"/>
    <w:rsid w:val="00C91415"/>
    <w:rsid w:val="00C914E8"/>
    <w:rsid w:val="00C9175F"/>
    <w:rsid w:val="00C91809"/>
    <w:rsid w:val="00C91950"/>
    <w:rsid w:val="00C919A5"/>
    <w:rsid w:val="00C91BED"/>
    <w:rsid w:val="00C91CBE"/>
    <w:rsid w:val="00C91D4D"/>
    <w:rsid w:val="00C92091"/>
    <w:rsid w:val="00C920EC"/>
    <w:rsid w:val="00C92266"/>
    <w:rsid w:val="00C92493"/>
    <w:rsid w:val="00C929E4"/>
    <w:rsid w:val="00C92AA0"/>
    <w:rsid w:val="00C92B05"/>
    <w:rsid w:val="00C92D19"/>
    <w:rsid w:val="00C9301B"/>
    <w:rsid w:val="00C93145"/>
    <w:rsid w:val="00C931C0"/>
    <w:rsid w:val="00C931CA"/>
    <w:rsid w:val="00C933E2"/>
    <w:rsid w:val="00C93953"/>
    <w:rsid w:val="00C93B64"/>
    <w:rsid w:val="00C93BB3"/>
    <w:rsid w:val="00C93ECE"/>
    <w:rsid w:val="00C944B7"/>
    <w:rsid w:val="00C944CB"/>
    <w:rsid w:val="00C94B20"/>
    <w:rsid w:val="00C94D33"/>
    <w:rsid w:val="00C94D3C"/>
    <w:rsid w:val="00C94E99"/>
    <w:rsid w:val="00C94EAD"/>
    <w:rsid w:val="00C950CB"/>
    <w:rsid w:val="00C9520C"/>
    <w:rsid w:val="00C95591"/>
    <w:rsid w:val="00C95905"/>
    <w:rsid w:val="00C95A32"/>
    <w:rsid w:val="00C95A3C"/>
    <w:rsid w:val="00C96466"/>
    <w:rsid w:val="00C9658B"/>
    <w:rsid w:val="00C96752"/>
    <w:rsid w:val="00C9682D"/>
    <w:rsid w:val="00C96D20"/>
    <w:rsid w:val="00C96D87"/>
    <w:rsid w:val="00C96E3B"/>
    <w:rsid w:val="00C97098"/>
    <w:rsid w:val="00C97151"/>
    <w:rsid w:val="00C971F4"/>
    <w:rsid w:val="00C973E5"/>
    <w:rsid w:val="00C97A90"/>
    <w:rsid w:val="00C97FEF"/>
    <w:rsid w:val="00CA0034"/>
    <w:rsid w:val="00CA0393"/>
    <w:rsid w:val="00CA0730"/>
    <w:rsid w:val="00CA0BA1"/>
    <w:rsid w:val="00CA0D1F"/>
    <w:rsid w:val="00CA111D"/>
    <w:rsid w:val="00CA12AC"/>
    <w:rsid w:val="00CA170F"/>
    <w:rsid w:val="00CA1755"/>
    <w:rsid w:val="00CA19D3"/>
    <w:rsid w:val="00CA1B78"/>
    <w:rsid w:val="00CA1DE6"/>
    <w:rsid w:val="00CA1F1C"/>
    <w:rsid w:val="00CA1F76"/>
    <w:rsid w:val="00CA2046"/>
    <w:rsid w:val="00CA23F0"/>
    <w:rsid w:val="00CA2528"/>
    <w:rsid w:val="00CA258C"/>
    <w:rsid w:val="00CA26D7"/>
    <w:rsid w:val="00CA26FA"/>
    <w:rsid w:val="00CA297E"/>
    <w:rsid w:val="00CA2A67"/>
    <w:rsid w:val="00CA2AE7"/>
    <w:rsid w:val="00CA2CB9"/>
    <w:rsid w:val="00CA2E43"/>
    <w:rsid w:val="00CA3419"/>
    <w:rsid w:val="00CA3C25"/>
    <w:rsid w:val="00CA404B"/>
    <w:rsid w:val="00CA4110"/>
    <w:rsid w:val="00CA48AB"/>
    <w:rsid w:val="00CA49B8"/>
    <w:rsid w:val="00CA49F7"/>
    <w:rsid w:val="00CA4B5F"/>
    <w:rsid w:val="00CA4C0D"/>
    <w:rsid w:val="00CA4C94"/>
    <w:rsid w:val="00CA4CA6"/>
    <w:rsid w:val="00CA4CCE"/>
    <w:rsid w:val="00CA4DA3"/>
    <w:rsid w:val="00CA4FFD"/>
    <w:rsid w:val="00CA5392"/>
    <w:rsid w:val="00CA53FF"/>
    <w:rsid w:val="00CA56E4"/>
    <w:rsid w:val="00CA5B79"/>
    <w:rsid w:val="00CA5BCB"/>
    <w:rsid w:val="00CA6116"/>
    <w:rsid w:val="00CA6854"/>
    <w:rsid w:val="00CA6890"/>
    <w:rsid w:val="00CA69D5"/>
    <w:rsid w:val="00CA6DC1"/>
    <w:rsid w:val="00CA6E59"/>
    <w:rsid w:val="00CA7648"/>
    <w:rsid w:val="00CA78D4"/>
    <w:rsid w:val="00CA78FC"/>
    <w:rsid w:val="00CA79A4"/>
    <w:rsid w:val="00CA7A7B"/>
    <w:rsid w:val="00CA7A80"/>
    <w:rsid w:val="00CA7A92"/>
    <w:rsid w:val="00CA7AC4"/>
    <w:rsid w:val="00CA7E0D"/>
    <w:rsid w:val="00CA7EA0"/>
    <w:rsid w:val="00CB06D0"/>
    <w:rsid w:val="00CB0745"/>
    <w:rsid w:val="00CB15F1"/>
    <w:rsid w:val="00CB1653"/>
    <w:rsid w:val="00CB167A"/>
    <w:rsid w:val="00CB17A9"/>
    <w:rsid w:val="00CB1987"/>
    <w:rsid w:val="00CB19E5"/>
    <w:rsid w:val="00CB1B2C"/>
    <w:rsid w:val="00CB1EB4"/>
    <w:rsid w:val="00CB2027"/>
    <w:rsid w:val="00CB212F"/>
    <w:rsid w:val="00CB220A"/>
    <w:rsid w:val="00CB2315"/>
    <w:rsid w:val="00CB247A"/>
    <w:rsid w:val="00CB25EF"/>
    <w:rsid w:val="00CB2F66"/>
    <w:rsid w:val="00CB2FAB"/>
    <w:rsid w:val="00CB32BD"/>
    <w:rsid w:val="00CB3305"/>
    <w:rsid w:val="00CB331F"/>
    <w:rsid w:val="00CB33FE"/>
    <w:rsid w:val="00CB38D3"/>
    <w:rsid w:val="00CB393C"/>
    <w:rsid w:val="00CB420F"/>
    <w:rsid w:val="00CB4483"/>
    <w:rsid w:val="00CB45E3"/>
    <w:rsid w:val="00CB45F3"/>
    <w:rsid w:val="00CB482A"/>
    <w:rsid w:val="00CB4ADC"/>
    <w:rsid w:val="00CB4B62"/>
    <w:rsid w:val="00CB4B72"/>
    <w:rsid w:val="00CB4C8F"/>
    <w:rsid w:val="00CB4CC9"/>
    <w:rsid w:val="00CB4F41"/>
    <w:rsid w:val="00CB502F"/>
    <w:rsid w:val="00CB5639"/>
    <w:rsid w:val="00CB59CB"/>
    <w:rsid w:val="00CB5AA3"/>
    <w:rsid w:val="00CB5AAB"/>
    <w:rsid w:val="00CB5EA8"/>
    <w:rsid w:val="00CB6184"/>
    <w:rsid w:val="00CB62E9"/>
    <w:rsid w:val="00CB647F"/>
    <w:rsid w:val="00CB6537"/>
    <w:rsid w:val="00CB657E"/>
    <w:rsid w:val="00CB67A5"/>
    <w:rsid w:val="00CB68BB"/>
    <w:rsid w:val="00CB6D70"/>
    <w:rsid w:val="00CB739B"/>
    <w:rsid w:val="00CB7877"/>
    <w:rsid w:val="00CB7CA2"/>
    <w:rsid w:val="00CC001E"/>
    <w:rsid w:val="00CC0181"/>
    <w:rsid w:val="00CC0248"/>
    <w:rsid w:val="00CC05B7"/>
    <w:rsid w:val="00CC07B9"/>
    <w:rsid w:val="00CC0D94"/>
    <w:rsid w:val="00CC0E2A"/>
    <w:rsid w:val="00CC0E74"/>
    <w:rsid w:val="00CC0EDD"/>
    <w:rsid w:val="00CC1117"/>
    <w:rsid w:val="00CC117A"/>
    <w:rsid w:val="00CC11C0"/>
    <w:rsid w:val="00CC1278"/>
    <w:rsid w:val="00CC1628"/>
    <w:rsid w:val="00CC188B"/>
    <w:rsid w:val="00CC1987"/>
    <w:rsid w:val="00CC1C74"/>
    <w:rsid w:val="00CC1D85"/>
    <w:rsid w:val="00CC1DD6"/>
    <w:rsid w:val="00CC2043"/>
    <w:rsid w:val="00CC228D"/>
    <w:rsid w:val="00CC24CF"/>
    <w:rsid w:val="00CC250A"/>
    <w:rsid w:val="00CC2D8F"/>
    <w:rsid w:val="00CC2F87"/>
    <w:rsid w:val="00CC3281"/>
    <w:rsid w:val="00CC328D"/>
    <w:rsid w:val="00CC35A6"/>
    <w:rsid w:val="00CC38A3"/>
    <w:rsid w:val="00CC3A4E"/>
    <w:rsid w:val="00CC3A60"/>
    <w:rsid w:val="00CC3ED1"/>
    <w:rsid w:val="00CC4091"/>
    <w:rsid w:val="00CC422C"/>
    <w:rsid w:val="00CC4A72"/>
    <w:rsid w:val="00CC4C42"/>
    <w:rsid w:val="00CC4CE1"/>
    <w:rsid w:val="00CC4DBF"/>
    <w:rsid w:val="00CC4FBE"/>
    <w:rsid w:val="00CC5043"/>
    <w:rsid w:val="00CC51F2"/>
    <w:rsid w:val="00CC5368"/>
    <w:rsid w:val="00CC576F"/>
    <w:rsid w:val="00CC5790"/>
    <w:rsid w:val="00CC59DB"/>
    <w:rsid w:val="00CC5EC9"/>
    <w:rsid w:val="00CC614F"/>
    <w:rsid w:val="00CC658C"/>
    <w:rsid w:val="00CC6ABF"/>
    <w:rsid w:val="00CC6BAC"/>
    <w:rsid w:val="00CC6CF4"/>
    <w:rsid w:val="00CC7131"/>
    <w:rsid w:val="00CC71E4"/>
    <w:rsid w:val="00CC73DC"/>
    <w:rsid w:val="00CC77A8"/>
    <w:rsid w:val="00CC7DE6"/>
    <w:rsid w:val="00CD00A3"/>
    <w:rsid w:val="00CD01A9"/>
    <w:rsid w:val="00CD0787"/>
    <w:rsid w:val="00CD07A8"/>
    <w:rsid w:val="00CD0960"/>
    <w:rsid w:val="00CD104E"/>
    <w:rsid w:val="00CD16D4"/>
    <w:rsid w:val="00CD1D90"/>
    <w:rsid w:val="00CD202A"/>
    <w:rsid w:val="00CD209D"/>
    <w:rsid w:val="00CD210B"/>
    <w:rsid w:val="00CD2111"/>
    <w:rsid w:val="00CD2151"/>
    <w:rsid w:val="00CD21D1"/>
    <w:rsid w:val="00CD23DF"/>
    <w:rsid w:val="00CD24E1"/>
    <w:rsid w:val="00CD254F"/>
    <w:rsid w:val="00CD27DF"/>
    <w:rsid w:val="00CD28BD"/>
    <w:rsid w:val="00CD293A"/>
    <w:rsid w:val="00CD2999"/>
    <w:rsid w:val="00CD2A8C"/>
    <w:rsid w:val="00CD2BA0"/>
    <w:rsid w:val="00CD2C3A"/>
    <w:rsid w:val="00CD2C63"/>
    <w:rsid w:val="00CD2C80"/>
    <w:rsid w:val="00CD2CF5"/>
    <w:rsid w:val="00CD2F78"/>
    <w:rsid w:val="00CD3077"/>
    <w:rsid w:val="00CD30B0"/>
    <w:rsid w:val="00CD38E2"/>
    <w:rsid w:val="00CD395A"/>
    <w:rsid w:val="00CD3C83"/>
    <w:rsid w:val="00CD4085"/>
    <w:rsid w:val="00CD4676"/>
    <w:rsid w:val="00CD4895"/>
    <w:rsid w:val="00CD4A00"/>
    <w:rsid w:val="00CD4AAC"/>
    <w:rsid w:val="00CD4C93"/>
    <w:rsid w:val="00CD4D34"/>
    <w:rsid w:val="00CD4E81"/>
    <w:rsid w:val="00CD4F84"/>
    <w:rsid w:val="00CD501C"/>
    <w:rsid w:val="00CD5326"/>
    <w:rsid w:val="00CD580F"/>
    <w:rsid w:val="00CD58A4"/>
    <w:rsid w:val="00CD5900"/>
    <w:rsid w:val="00CD5C26"/>
    <w:rsid w:val="00CD5C44"/>
    <w:rsid w:val="00CD61A8"/>
    <w:rsid w:val="00CD6333"/>
    <w:rsid w:val="00CD6575"/>
    <w:rsid w:val="00CD6766"/>
    <w:rsid w:val="00CD6BEF"/>
    <w:rsid w:val="00CD6F4B"/>
    <w:rsid w:val="00CD7012"/>
    <w:rsid w:val="00CD74D2"/>
    <w:rsid w:val="00CD751A"/>
    <w:rsid w:val="00CD7897"/>
    <w:rsid w:val="00CD78CC"/>
    <w:rsid w:val="00CD7A7B"/>
    <w:rsid w:val="00CD7CDD"/>
    <w:rsid w:val="00CE03C0"/>
    <w:rsid w:val="00CE06CB"/>
    <w:rsid w:val="00CE07C6"/>
    <w:rsid w:val="00CE0B86"/>
    <w:rsid w:val="00CE0CEE"/>
    <w:rsid w:val="00CE0D9A"/>
    <w:rsid w:val="00CE136F"/>
    <w:rsid w:val="00CE1E1D"/>
    <w:rsid w:val="00CE1EBE"/>
    <w:rsid w:val="00CE1F61"/>
    <w:rsid w:val="00CE2306"/>
    <w:rsid w:val="00CE2CAA"/>
    <w:rsid w:val="00CE2F0D"/>
    <w:rsid w:val="00CE2FAB"/>
    <w:rsid w:val="00CE3475"/>
    <w:rsid w:val="00CE354C"/>
    <w:rsid w:val="00CE3586"/>
    <w:rsid w:val="00CE358F"/>
    <w:rsid w:val="00CE3AF9"/>
    <w:rsid w:val="00CE3D36"/>
    <w:rsid w:val="00CE3D9E"/>
    <w:rsid w:val="00CE3F85"/>
    <w:rsid w:val="00CE400D"/>
    <w:rsid w:val="00CE41F3"/>
    <w:rsid w:val="00CE48A9"/>
    <w:rsid w:val="00CE49E6"/>
    <w:rsid w:val="00CE4BEE"/>
    <w:rsid w:val="00CE53B1"/>
    <w:rsid w:val="00CE5632"/>
    <w:rsid w:val="00CE56EF"/>
    <w:rsid w:val="00CE574A"/>
    <w:rsid w:val="00CE5A02"/>
    <w:rsid w:val="00CE5AE0"/>
    <w:rsid w:val="00CE5B01"/>
    <w:rsid w:val="00CE5E52"/>
    <w:rsid w:val="00CE69F9"/>
    <w:rsid w:val="00CE7055"/>
    <w:rsid w:val="00CE7374"/>
    <w:rsid w:val="00CE778F"/>
    <w:rsid w:val="00CE79D3"/>
    <w:rsid w:val="00CE7AB5"/>
    <w:rsid w:val="00CE7D8D"/>
    <w:rsid w:val="00CF0014"/>
    <w:rsid w:val="00CF011A"/>
    <w:rsid w:val="00CF02FC"/>
    <w:rsid w:val="00CF03C0"/>
    <w:rsid w:val="00CF06FB"/>
    <w:rsid w:val="00CF0833"/>
    <w:rsid w:val="00CF0863"/>
    <w:rsid w:val="00CF0BAF"/>
    <w:rsid w:val="00CF0DE9"/>
    <w:rsid w:val="00CF0EA5"/>
    <w:rsid w:val="00CF0EC4"/>
    <w:rsid w:val="00CF0FF0"/>
    <w:rsid w:val="00CF1186"/>
    <w:rsid w:val="00CF127E"/>
    <w:rsid w:val="00CF12E5"/>
    <w:rsid w:val="00CF153F"/>
    <w:rsid w:val="00CF1908"/>
    <w:rsid w:val="00CF192C"/>
    <w:rsid w:val="00CF1AD7"/>
    <w:rsid w:val="00CF1AE4"/>
    <w:rsid w:val="00CF1C26"/>
    <w:rsid w:val="00CF1F37"/>
    <w:rsid w:val="00CF20E7"/>
    <w:rsid w:val="00CF21FF"/>
    <w:rsid w:val="00CF23BD"/>
    <w:rsid w:val="00CF26F4"/>
    <w:rsid w:val="00CF2B47"/>
    <w:rsid w:val="00CF2B6C"/>
    <w:rsid w:val="00CF33B3"/>
    <w:rsid w:val="00CF3535"/>
    <w:rsid w:val="00CF37C5"/>
    <w:rsid w:val="00CF3866"/>
    <w:rsid w:val="00CF3A37"/>
    <w:rsid w:val="00CF3A9D"/>
    <w:rsid w:val="00CF3B9F"/>
    <w:rsid w:val="00CF3DEB"/>
    <w:rsid w:val="00CF3FB9"/>
    <w:rsid w:val="00CF3FBE"/>
    <w:rsid w:val="00CF407F"/>
    <w:rsid w:val="00CF4085"/>
    <w:rsid w:val="00CF41AA"/>
    <w:rsid w:val="00CF4296"/>
    <w:rsid w:val="00CF4401"/>
    <w:rsid w:val="00CF45B4"/>
    <w:rsid w:val="00CF45F0"/>
    <w:rsid w:val="00CF4662"/>
    <w:rsid w:val="00CF4972"/>
    <w:rsid w:val="00CF49FF"/>
    <w:rsid w:val="00CF4A5C"/>
    <w:rsid w:val="00CF4DF8"/>
    <w:rsid w:val="00CF5431"/>
    <w:rsid w:val="00CF5841"/>
    <w:rsid w:val="00CF59E0"/>
    <w:rsid w:val="00CF59E5"/>
    <w:rsid w:val="00CF5F46"/>
    <w:rsid w:val="00CF605C"/>
    <w:rsid w:val="00CF63ED"/>
    <w:rsid w:val="00CF6C6D"/>
    <w:rsid w:val="00CF6E38"/>
    <w:rsid w:val="00CF7370"/>
    <w:rsid w:val="00CF762E"/>
    <w:rsid w:val="00CF7688"/>
    <w:rsid w:val="00CF7719"/>
    <w:rsid w:val="00CF778E"/>
    <w:rsid w:val="00CF7807"/>
    <w:rsid w:val="00CF783E"/>
    <w:rsid w:val="00CF7D3A"/>
    <w:rsid w:val="00D002EA"/>
    <w:rsid w:val="00D00429"/>
    <w:rsid w:val="00D00453"/>
    <w:rsid w:val="00D00492"/>
    <w:rsid w:val="00D0074D"/>
    <w:rsid w:val="00D00DD5"/>
    <w:rsid w:val="00D00E94"/>
    <w:rsid w:val="00D011A8"/>
    <w:rsid w:val="00D014F5"/>
    <w:rsid w:val="00D015F5"/>
    <w:rsid w:val="00D0181E"/>
    <w:rsid w:val="00D01C77"/>
    <w:rsid w:val="00D0218E"/>
    <w:rsid w:val="00D026A0"/>
    <w:rsid w:val="00D0275B"/>
    <w:rsid w:val="00D02982"/>
    <w:rsid w:val="00D0298B"/>
    <w:rsid w:val="00D02C9C"/>
    <w:rsid w:val="00D02CD7"/>
    <w:rsid w:val="00D0354F"/>
    <w:rsid w:val="00D03805"/>
    <w:rsid w:val="00D0387B"/>
    <w:rsid w:val="00D038F5"/>
    <w:rsid w:val="00D03BEF"/>
    <w:rsid w:val="00D03E39"/>
    <w:rsid w:val="00D03EF8"/>
    <w:rsid w:val="00D040E1"/>
    <w:rsid w:val="00D04362"/>
    <w:rsid w:val="00D04698"/>
    <w:rsid w:val="00D04CB3"/>
    <w:rsid w:val="00D04D5C"/>
    <w:rsid w:val="00D04ED6"/>
    <w:rsid w:val="00D05019"/>
    <w:rsid w:val="00D051A6"/>
    <w:rsid w:val="00D0574A"/>
    <w:rsid w:val="00D05763"/>
    <w:rsid w:val="00D05965"/>
    <w:rsid w:val="00D05CC2"/>
    <w:rsid w:val="00D06066"/>
    <w:rsid w:val="00D06739"/>
    <w:rsid w:val="00D068B9"/>
    <w:rsid w:val="00D069CD"/>
    <w:rsid w:val="00D06F94"/>
    <w:rsid w:val="00D07145"/>
    <w:rsid w:val="00D074C5"/>
    <w:rsid w:val="00D076CF"/>
    <w:rsid w:val="00D0770E"/>
    <w:rsid w:val="00D078BB"/>
    <w:rsid w:val="00D07EB5"/>
    <w:rsid w:val="00D07F51"/>
    <w:rsid w:val="00D07FA1"/>
    <w:rsid w:val="00D07FD9"/>
    <w:rsid w:val="00D07FFA"/>
    <w:rsid w:val="00D1000C"/>
    <w:rsid w:val="00D101A5"/>
    <w:rsid w:val="00D10211"/>
    <w:rsid w:val="00D105EE"/>
    <w:rsid w:val="00D10603"/>
    <w:rsid w:val="00D10622"/>
    <w:rsid w:val="00D10901"/>
    <w:rsid w:val="00D10F1A"/>
    <w:rsid w:val="00D112A6"/>
    <w:rsid w:val="00D114D7"/>
    <w:rsid w:val="00D11727"/>
    <w:rsid w:val="00D11B41"/>
    <w:rsid w:val="00D11EBD"/>
    <w:rsid w:val="00D1242E"/>
    <w:rsid w:val="00D12C35"/>
    <w:rsid w:val="00D12DC6"/>
    <w:rsid w:val="00D12FD7"/>
    <w:rsid w:val="00D1300A"/>
    <w:rsid w:val="00D131F5"/>
    <w:rsid w:val="00D1348F"/>
    <w:rsid w:val="00D13B9B"/>
    <w:rsid w:val="00D13C70"/>
    <w:rsid w:val="00D13CF9"/>
    <w:rsid w:val="00D13DBD"/>
    <w:rsid w:val="00D13E11"/>
    <w:rsid w:val="00D13EAA"/>
    <w:rsid w:val="00D13F83"/>
    <w:rsid w:val="00D14048"/>
    <w:rsid w:val="00D141A4"/>
    <w:rsid w:val="00D14203"/>
    <w:rsid w:val="00D145D0"/>
    <w:rsid w:val="00D14B98"/>
    <w:rsid w:val="00D14BE9"/>
    <w:rsid w:val="00D14E19"/>
    <w:rsid w:val="00D14EC8"/>
    <w:rsid w:val="00D1502C"/>
    <w:rsid w:val="00D15321"/>
    <w:rsid w:val="00D153CC"/>
    <w:rsid w:val="00D15A65"/>
    <w:rsid w:val="00D15D2F"/>
    <w:rsid w:val="00D15E55"/>
    <w:rsid w:val="00D15E79"/>
    <w:rsid w:val="00D15ED4"/>
    <w:rsid w:val="00D15F0E"/>
    <w:rsid w:val="00D16144"/>
    <w:rsid w:val="00D163CC"/>
    <w:rsid w:val="00D16592"/>
    <w:rsid w:val="00D16693"/>
    <w:rsid w:val="00D1684A"/>
    <w:rsid w:val="00D16B2B"/>
    <w:rsid w:val="00D16DC2"/>
    <w:rsid w:val="00D16E9F"/>
    <w:rsid w:val="00D16FE8"/>
    <w:rsid w:val="00D17047"/>
    <w:rsid w:val="00D170A0"/>
    <w:rsid w:val="00D17203"/>
    <w:rsid w:val="00D1735E"/>
    <w:rsid w:val="00D17919"/>
    <w:rsid w:val="00D17984"/>
    <w:rsid w:val="00D179B4"/>
    <w:rsid w:val="00D17CB1"/>
    <w:rsid w:val="00D17E12"/>
    <w:rsid w:val="00D17E30"/>
    <w:rsid w:val="00D203C5"/>
    <w:rsid w:val="00D206A0"/>
    <w:rsid w:val="00D20888"/>
    <w:rsid w:val="00D20ED1"/>
    <w:rsid w:val="00D20FE9"/>
    <w:rsid w:val="00D210D8"/>
    <w:rsid w:val="00D21132"/>
    <w:rsid w:val="00D2143B"/>
    <w:rsid w:val="00D21683"/>
    <w:rsid w:val="00D2177F"/>
    <w:rsid w:val="00D21865"/>
    <w:rsid w:val="00D21C23"/>
    <w:rsid w:val="00D21CDE"/>
    <w:rsid w:val="00D21FA7"/>
    <w:rsid w:val="00D22146"/>
    <w:rsid w:val="00D22BCA"/>
    <w:rsid w:val="00D22E0C"/>
    <w:rsid w:val="00D2384F"/>
    <w:rsid w:val="00D238B0"/>
    <w:rsid w:val="00D2390C"/>
    <w:rsid w:val="00D23973"/>
    <w:rsid w:val="00D23B4B"/>
    <w:rsid w:val="00D23B61"/>
    <w:rsid w:val="00D23B62"/>
    <w:rsid w:val="00D23CD3"/>
    <w:rsid w:val="00D23FAB"/>
    <w:rsid w:val="00D2414D"/>
    <w:rsid w:val="00D24183"/>
    <w:rsid w:val="00D2456C"/>
    <w:rsid w:val="00D24B1E"/>
    <w:rsid w:val="00D24D6A"/>
    <w:rsid w:val="00D25279"/>
    <w:rsid w:val="00D2531A"/>
    <w:rsid w:val="00D253EF"/>
    <w:rsid w:val="00D254FF"/>
    <w:rsid w:val="00D259C9"/>
    <w:rsid w:val="00D25A5D"/>
    <w:rsid w:val="00D25D56"/>
    <w:rsid w:val="00D25DDC"/>
    <w:rsid w:val="00D260F3"/>
    <w:rsid w:val="00D26243"/>
    <w:rsid w:val="00D2697C"/>
    <w:rsid w:val="00D26986"/>
    <w:rsid w:val="00D26CE6"/>
    <w:rsid w:val="00D275BF"/>
    <w:rsid w:val="00D2761A"/>
    <w:rsid w:val="00D27ACD"/>
    <w:rsid w:val="00D27D15"/>
    <w:rsid w:val="00D27DC1"/>
    <w:rsid w:val="00D27E24"/>
    <w:rsid w:val="00D3021F"/>
    <w:rsid w:val="00D303B3"/>
    <w:rsid w:val="00D304F7"/>
    <w:rsid w:val="00D305A2"/>
    <w:rsid w:val="00D30B6D"/>
    <w:rsid w:val="00D310B4"/>
    <w:rsid w:val="00D310B5"/>
    <w:rsid w:val="00D31270"/>
    <w:rsid w:val="00D312C4"/>
    <w:rsid w:val="00D312E1"/>
    <w:rsid w:val="00D315FD"/>
    <w:rsid w:val="00D31A3E"/>
    <w:rsid w:val="00D31C9C"/>
    <w:rsid w:val="00D31FCD"/>
    <w:rsid w:val="00D326C7"/>
    <w:rsid w:val="00D32904"/>
    <w:rsid w:val="00D32AD5"/>
    <w:rsid w:val="00D32B44"/>
    <w:rsid w:val="00D32BAC"/>
    <w:rsid w:val="00D3317E"/>
    <w:rsid w:val="00D335D1"/>
    <w:rsid w:val="00D33753"/>
    <w:rsid w:val="00D33831"/>
    <w:rsid w:val="00D33BD9"/>
    <w:rsid w:val="00D33D03"/>
    <w:rsid w:val="00D33D24"/>
    <w:rsid w:val="00D33DFE"/>
    <w:rsid w:val="00D3446C"/>
    <w:rsid w:val="00D344F3"/>
    <w:rsid w:val="00D34673"/>
    <w:rsid w:val="00D34858"/>
    <w:rsid w:val="00D3485E"/>
    <w:rsid w:val="00D34DF9"/>
    <w:rsid w:val="00D3514E"/>
    <w:rsid w:val="00D3546B"/>
    <w:rsid w:val="00D35B90"/>
    <w:rsid w:val="00D36299"/>
    <w:rsid w:val="00D363BE"/>
    <w:rsid w:val="00D36404"/>
    <w:rsid w:val="00D366FD"/>
    <w:rsid w:val="00D367B9"/>
    <w:rsid w:val="00D3698E"/>
    <w:rsid w:val="00D36A7C"/>
    <w:rsid w:val="00D36ADA"/>
    <w:rsid w:val="00D36B9B"/>
    <w:rsid w:val="00D36D60"/>
    <w:rsid w:val="00D36E6C"/>
    <w:rsid w:val="00D36F0A"/>
    <w:rsid w:val="00D36F51"/>
    <w:rsid w:val="00D36F5E"/>
    <w:rsid w:val="00D36FED"/>
    <w:rsid w:val="00D37016"/>
    <w:rsid w:val="00D37462"/>
    <w:rsid w:val="00D37609"/>
    <w:rsid w:val="00D37BC4"/>
    <w:rsid w:val="00D4042D"/>
    <w:rsid w:val="00D40541"/>
    <w:rsid w:val="00D407D3"/>
    <w:rsid w:val="00D40816"/>
    <w:rsid w:val="00D4092A"/>
    <w:rsid w:val="00D4097E"/>
    <w:rsid w:val="00D40F5A"/>
    <w:rsid w:val="00D41199"/>
    <w:rsid w:val="00D41577"/>
    <w:rsid w:val="00D4193B"/>
    <w:rsid w:val="00D41A67"/>
    <w:rsid w:val="00D41DD7"/>
    <w:rsid w:val="00D41E1C"/>
    <w:rsid w:val="00D42053"/>
    <w:rsid w:val="00D42385"/>
    <w:rsid w:val="00D427C6"/>
    <w:rsid w:val="00D429A0"/>
    <w:rsid w:val="00D42CEC"/>
    <w:rsid w:val="00D42DE9"/>
    <w:rsid w:val="00D43014"/>
    <w:rsid w:val="00D433E8"/>
    <w:rsid w:val="00D434E9"/>
    <w:rsid w:val="00D4378E"/>
    <w:rsid w:val="00D43B53"/>
    <w:rsid w:val="00D43C57"/>
    <w:rsid w:val="00D43DC4"/>
    <w:rsid w:val="00D43F30"/>
    <w:rsid w:val="00D43FF5"/>
    <w:rsid w:val="00D44157"/>
    <w:rsid w:val="00D4418D"/>
    <w:rsid w:val="00D44313"/>
    <w:rsid w:val="00D4457A"/>
    <w:rsid w:val="00D44885"/>
    <w:rsid w:val="00D44F75"/>
    <w:rsid w:val="00D44F81"/>
    <w:rsid w:val="00D45084"/>
    <w:rsid w:val="00D4540B"/>
    <w:rsid w:val="00D454C4"/>
    <w:rsid w:val="00D4559B"/>
    <w:rsid w:val="00D455FE"/>
    <w:rsid w:val="00D4563E"/>
    <w:rsid w:val="00D458A9"/>
    <w:rsid w:val="00D45B51"/>
    <w:rsid w:val="00D46037"/>
    <w:rsid w:val="00D462B5"/>
    <w:rsid w:val="00D462DF"/>
    <w:rsid w:val="00D46303"/>
    <w:rsid w:val="00D4666D"/>
    <w:rsid w:val="00D466ED"/>
    <w:rsid w:val="00D4670D"/>
    <w:rsid w:val="00D46830"/>
    <w:rsid w:val="00D470C1"/>
    <w:rsid w:val="00D4710F"/>
    <w:rsid w:val="00D47213"/>
    <w:rsid w:val="00D47962"/>
    <w:rsid w:val="00D47A0C"/>
    <w:rsid w:val="00D47C5B"/>
    <w:rsid w:val="00D47CCD"/>
    <w:rsid w:val="00D47D87"/>
    <w:rsid w:val="00D47DA8"/>
    <w:rsid w:val="00D47EFE"/>
    <w:rsid w:val="00D5023C"/>
    <w:rsid w:val="00D50AC0"/>
    <w:rsid w:val="00D50B50"/>
    <w:rsid w:val="00D50B81"/>
    <w:rsid w:val="00D50CF5"/>
    <w:rsid w:val="00D50EBA"/>
    <w:rsid w:val="00D51035"/>
    <w:rsid w:val="00D5113B"/>
    <w:rsid w:val="00D51630"/>
    <w:rsid w:val="00D51900"/>
    <w:rsid w:val="00D519DC"/>
    <w:rsid w:val="00D51AEE"/>
    <w:rsid w:val="00D51DB7"/>
    <w:rsid w:val="00D523FE"/>
    <w:rsid w:val="00D52511"/>
    <w:rsid w:val="00D52BED"/>
    <w:rsid w:val="00D52C4B"/>
    <w:rsid w:val="00D52CEA"/>
    <w:rsid w:val="00D52CFF"/>
    <w:rsid w:val="00D52E43"/>
    <w:rsid w:val="00D52E8A"/>
    <w:rsid w:val="00D53157"/>
    <w:rsid w:val="00D5356C"/>
    <w:rsid w:val="00D5359F"/>
    <w:rsid w:val="00D53683"/>
    <w:rsid w:val="00D539AE"/>
    <w:rsid w:val="00D53BD5"/>
    <w:rsid w:val="00D53F15"/>
    <w:rsid w:val="00D541ED"/>
    <w:rsid w:val="00D544AC"/>
    <w:rsid w:val="00D54834"/>
    <w:rsid w:val="00D5490E"/>
    <w:rsid w:val="00D54AC4"/>
    <w:rsid w:val="00D54FD9"/>
    <w:rsid w:val="00D55021"/>
    <w:rsid w:val="00D557D3"/>
    <w:rsid w:val="00D557E2"/>
    <w:rsid w:val="00D55ADD"/>
    <w:rsid w:val="00D55B26"/>
    <w:rsid w:val="00D56156"/>
    <w:rsid w:val="00D56528"/>
    <w:rsid w:val="00D56615"/>
    <w:rsid w:val="00D56B09"/>
    <w:rsid w:val="00D56CBB"/>
    <w:rsid w:val="00D56DAF"/>
    <w:rsid w:val="00D56E98"/>
    <w:rsid w:val="00D57022"/>
    <w:rsid w:val="00D573DB"/>
    <w:rsid w:val="00D57A30"/>
    <w:rsid w:val="00D57DAC"/>
    <w:rsid w:val="00D6006C"/>
    <w:rsid w:val="00D6026C"/>
    <w:rsid w:val="00D603E4"/>
    <w:rsid w:val="00D60903"/>
    <w:rsid w:val="00D60A49"/>
    <w:rsid w:val="00D60F03"/>
    <w:rsid w:val="00D60F22"/>
    <w:rsid w:val="00D60F79"/>
    <w:rsid w:val="00D61425"/>
    <w:rsid w:val="00D614C8"/>
    <w:rsid w:val="00D616AC"/>
    <w:rsid w:val="00D61772"/>
    <w:rsid w:val="00D618C1"/>
    <w:rsid w:val="00D61B61"/>
    <w:rsid w:val="00D61E8C"/>
    <w:rsid w:val="00D621BE"/>
    <w:rsid w:val="00D62350"/>
    <w:rsid w:val="00D624B1"/>
    <w:rsid w:val="00D62577"/>
    <w:rsid w:val="00D628F8"/>
    <w:rsid w:val="00D62C50"/>
    <w:rsid w:val="00D62E97"/>
    <w:rsid w:val="00D631D6"/>
    <w:rsid w:val="00D63834"/>
    <w:rsid w:val="00D63997"/>
    <w:rsid w:val="00D63A76"/>
    <w:rsid w:val="00D63B35"/>
    <w:rsid w:val="00D63B91"/>
    <w:rsid w:val="00D64014"/>
    <w:rsid w:val="00D640D1"/>
    <w:rsid w:val="00D641CA"/>
    <w:rsid w:val="00D6422A"/>
    <w:rsid w:val="00D6429C"/>
    <w:rsid w:val="00D643A7"/>
    <w:rsid w:val="00D64497"/>
    <w:rsid w:val="00D644C9"/>
    <w:rsid w:val="00D6450E"/>
    <w:rsid w:val="00D64A22"/>
    <w:rsid w:val="00D64C8C"/>
    <w:rsid w:val="00D65445"/>
    <w:rsid w:val="00D6570A"/>
    <w:rsid w:val="00D65751"/>
    <w:rsid w:val="00D6579D"/>
    <w:rsid w:val="00D65CC9"/>
    <w:rsid w:val="00D65EEB"/>
    <w:rsid w:val="00D66231"/>
    <w:rsid w:val="00D6658B"/>
    <w:rsid w:val="00D666D8"/>
    <w:rsid w:val="00D66822"/>
    <w:rsid w:val="00D66913"/>
    <w:rsid w:val="00D66ACD"/>
    <w:rsid w:val="00D66E20"/>
    <w:rsid w:val="00D66F9A"/>
    <w:rsid w:val="00D6723C"/>
    <w:rsid w:val="00D6726A"/>
    <w:rsid w:val="00D6743F"/>
    <w:rsid w:val="00D675A0"/>
    <w:rsid w:val="00D675CC"/>
    <w:rsid w:val="00D678D6"/>
    <w:rsid w:val="00D70038"/>
    <w:rsid w:val="00D7031C"/>
    <w:rsid w:val="00D703AC"/>
    <w:rsid w:val="00D70571"/>
    <w:rsid w:val="00D70992"/>
    <w:rsid w:val="00D70B11"/>
    <w:rsid w:val="00D70C98"/>
    <w:rsid w:val="00D70F24"/>
    <w:rsid w:val="00D70F70"/>
    <w:rsid w:val="00D71232"/>
    <w:rsid w:val="00D713A2"/>
    <w:rsid w:val="00D716F7"/>
    <w:rsid w:val="00D71AA5"/>
    <w:rsid w:val="00D71B85"/>
    <w:rsid w:val="00D7249A"/>
    <w:rsid w:val="00D725F1"/>
    <w:rsid w:val="00D7268B"/>
    <w:rsid w:val="00D726D8"/>
    <w:rsid w:val="00D72D30"/>
    <w:rsid w:val="00D72F12"/>
    <w:rsid w:val="00D72FAC"/>
    <w:rsid w:val="00D72FC3"/>
    <w:rsid w:val="00D73430"/>
    <w:rsid w:val="00D73576"/>
    <w:rsid w:val="00D73805"/>
    <w:rsid w:val="00D738A5"/>
    <w:rsid w:val="00D73A9E"/>
    <w:rsid w:val="00D73AAC"/>
    <w:rsid w:val="00D73BCA"/>
    <w:rsid w:val="00D74142"/>
    <w:rsid w:val="00D7435B"/>
    <w:rsid w:val="00D74585"/>
    <w:rsid w:val="00D746D6"/>
    <w:rsid w:val="00D74877"/>
    <w:rsid w:val="00D7496F"/>
    <w:rsid w:val="00D74B56"/>
    <w:rsid w:val="00D752DD"/>
    <w:rsid w:val="00D75C4F"/>
    <w:rsid w:val="00D75C9C"/>
    <w:rsid w:val="00D75D53"/>
    <w:rsid w:val="00D75DC4"/>
    <w:rsid w:val="00D75E0C"/>
    <w:rsid w:val="00D76178"/>
    <w:rsid w:val="00D76265"/>
    <w:rsid w:val="00D76434"/>
    <w:rsid w:val="00D772B2"/>
    <w:rsid w:val="00D773FA"/>
    <w:rsid w:val="00D775E0"/>
    <w:rsid w:val="00D77B1D"/>
    <w:rsid w:val="00D77FDB"/>
    <w:rsid w:val="00D800D0"/>
    <w:rsid w:val="00D80252"/>
    <w:rsid w:val="00D80AAE"/>
    <w:rsid w:val="00D80FC4"/>
    <w:rsid w:val="00D81178"/>
    <w:rsid w:val="00D812E2"/>
    <w:rsid w:val="00D8130A"/>
    <w:rsid w:val="00D816E2"/>
    <w:rsid w:val="00D81F4B"/>
    <w:rsid w:val="00D82481"/>
    <w:rsid w:val="00D82829"/>
    <w:rsid w:val="00D82AC4"/>
    <w:rsid w:val="00D82C98"/>
    <w:rsid w:val="00D82E21"/>
    <w:rsid w:val="00D83100"/>
    <w:rsid w:val="00D83108"/>
    <w:rsid w:val="00D83239"/>
    <w:rsid w:val="00D83442"/>
    <w:rsid w:val="00D8384E"/>
    <w:rsid w:val="00D83919"/>
    <w:rsid w:val="00D83BFF"/>
    <w:rsid w:val="00D83CBB"/>
    <w:rsid w:val="00D83D11"/>
    <w:rsid w:val="00D83D1F"/>
    <w:rsid w:val="00D83E5D"/>
    <w:rsid w:val="00D842DA"/>
    <w:rsid w:val="00D8460A"/>
    <w:rsid w:val="00D84791"/>
    <w:rsid w:val="00D847CA"/>
    <w:rsid w:val="00D848ED"/>
    <w:rsid w:val="00D84A06"/>
    <w:rsid w:val="00D84C7B"/>
    <w:rsid w:val="00D84F0D"/>
    <w:rsid w:val="00D85252"/>
    <w:rsid w:val="00D853B8"/>
    <w:rsid w:val="00D85522"/>
    <w:rsid w:val="00D855C4"/>
    <w:rsid w:val="00D857CF"/>
    <w:rsid w:val="00D85C68"/>
    <w:rsid w:val="00D85CE4"/>
    <w:rsid w:val="00D85DC5"/>
    <w:rsid w:val="00D86134"/>
    <w:rsid w:val="00D861C4"/>
    <w:rsid w:val="00D869D6"/>
    <w:rsid w:val="00D86FC5"/>
    <w:rsid w:val="00D8708F"/>
    <w:rsid w:val="00D871AA"/>
    <w:rsid w:val="00D87223"/>
    <w:rsid w:val="00D87385"/>
    <w:rsid w:val="00D87868"/>
    <w:rsid w:val="00D87938"/>
    <w:rsid w:val="00D879D2"/>
    <w:rsid w:val="00D879EA"/>
    <w:rsid w:val="00D87EDA"/>
    <w:rsid w:val="00D87FAE"/>
    <w:rsid w:val="00D87FB1"/>
    <w:rsid w:val="00D9031A"/>
    <w:rsid w:val="00D90450"/>
    <w:rsid w:val="00D905AC"/>
    <w:rsid w:val="00D906B9"/>
    <w:rsid w:val="00D90998"/>
    <w:rsid w:val="00D90D43"/>
    <w:rsid w:val="00D90DBF"/>
    <w:rsid w:val="00D914C8"/>
    <w:rsid w:val="00D915D4"/>
    <w:rsid w:val="00D91885"/>
    <w:rsid w:val="00D91A38"/>
    <w:rsid w:val="00D91C5C"/>
    <w:rsid w:val="00D91DB4"/>
    <w:rsid w:val="00D91E81"/>
    <w:rsid w:val="00D91F1C"/>
    <w:rsid w:val="00D9200B"/>
    <w:rsid w:val="00D9202B"/>
    <w:rsid w:val="00D923A4"/>
    <w:rsid w:val="00D92489"/>
    <w:rsid w:val="00D924AE"/>
    <w:rsid w:val="00D927A4"/>
    <w:rsid w:val="00D92879"/>
    <w:rsid w:val="00D928A4"/>
    <w:rsid w:val="00D92A95"/>
    <w:rsid w:val="00D92DF6"/>
    <w:rsid w:val="00D9305C"/>
    <w:rsid w:val="00D930E5"/>
    <w:rsid w:val="00D93173"/>
    <w:rsid w:val="00D93880"/>
    <w:rsid w:val="00D938E6"/>
    <w:rsid w:val="00D93B2C"/>
    <w:rsid w:val="00D93E7F"/>
    <w:rsid w:val="00D93FB9"/>
    <w:rsid w:val="00D94776"/>
    <w:rsid w:val="00D947C9"/>
    <w:rsid w:val="00D94D67"/>
    <w:rsid w:val="00D95198"/>
    <w:rsid w:val="00D952AB"/>
    <w:rsid w:val="00D9565B"/>
    <w:rsid w:val="00D95824"/>
    <w:rsid w:val="00D95924"/>
    <w:rsid w:val="00D965FB"/>
    <w:rsid w:val="00D96707"/>
    <w:rsid w:val="00D96772"/>
    <w:rsid w:val="00D96B58"/>
    <w:rsid w:val="00D96CB4"/>
    <w:rsid w:val="00D96CFC"/>
    <w:rsid w:val="00D96EB5"/>
    <w:rsid w:val="00D970D7"/>
    <w:rsid w:val="00D9710C"/>
    <w:rsid w:val="00D97389"/>
    <w:rsid w:val="00D97418"/>
    <w:rsid w:val="00D97552"/>
    <w:rsid w:val="00D97A4E"/>
    <w:rsid w:val="00D97AC1"/>
    <w:rsid w:val="00D97D47"/>
    <w:rsid w:val="00D97D4D"/>
    <w:rsid w:val="00D97F8C"/>
    <w:rsid w:val="00DA0000"/>
    <w:rsid w:val="00DA0141"/>
    <w:rsid w:val="00DA02D2"/>
    <w:rsid w:val="00DA0339"/>
    <w:rsid w:val="00DA076E"/>
    <w:rsid w:val="00DA080A"/>
    <w:rsid w:val="00DA0BF8"/>
    <w:rsid w:val="00DA0BFE"/>
    <w:rsid w:val="00DA0D17"/>
    <w:rsid w:val="00DA15B7"/>
    <w:rsid w:val="00DA1677"/>
    <w:rsid w:val="00DA187C"/>
    <w:rsid w:val="00DA1EF2"/>
    <w:rsid w:val="00DA23DD"/>
    <w:rsid w:val="00DA26E1"/>
    <w:rsid w:val="00DA279F"/>
    <w:rsid w:val="00DA27DF"/>
    <w:rsid w:val="00DA2B8F"/>
    <w:rsid w:val="00DA2C8F"/>
    <w:rsid w:val="00DA30FC"/>
    <w:rsid w:val="00DA33DD"/>
    <w:rsid w:val="00DA3CC5"/>
    <w:rsid w:val="00DA3DC3"/>
    <w:rsid w:val="00DA3E85"/>
    <w:rsid w:val="00DA3F01"/>
    <w:rsid w:val="00DA42D7"/>
    <w:rsid w:val="00DA488C"/>
    <w:rsid w:val="00DA48DA"/>
    <w:rsid w:val="00DA48EF"/>
    <w:rsid w:val="00DA49CA"/>
    <w:rsid w:val="00DA4D71"/>
    <w:rsid w:val="00DA509D"/>
    <w:rsid w:val="00DA540C"/>
    <w:rsid w:val="00DA5751"/>
    <w:rsid w:val="00DA590A"/>
    <w:rsid w:val="00DA6310"/>
    <w:rsid w:val="00DA6332"/>
    <w:rsid w:val="00DA6353"/>
    <w:rsid w:val="00DA6649"/>
    <w:rsid w:val="00DA682F"/>
    <w:rsid w:val="00DA6AB8"/>
    <w:rsid w:val="00DA6B7A"/>
    <w:rsid w:val="00DA6D2E"/>
    <w:rsid w:val="00DA7282"/>
    <w:rsid w:val="00DA730E"/>
    <w:rsid w:val="00DA7393"/>
    <w:rsid w:val="00DA73A5"/>
    <w:rsid w:val="00DA74A4"/>
    <w:rsid w:val="00DA7BB6"/>
    <w:rsid w:val="00DA7BEF"/>
    <w:rsid w:val="00DA7CF4"/>
    <w:rsid w:val="00DA7D17"/>
    <w:rsid w:val="00DA7DEB"/>
    <w:rsid w:val="00DB010E"/>
    <w:rsid w:val="00DB01C4"/>
    <w:rsid w:val="00DB04E2"/>
    <w:rsid w:val="00DB05BA"/>
    <w:rsid w:val="00DB0601"/>
    <w:rsid w:val="00DB06CA"/>
    <w:rsid w:val="00DB0792"/>
    <w:rsid w:val="00DB0823"/>
    <w:rsid w:val="00DB09AD"/>
    <w:rsid w:val="00DB0CD6"/>
    <w:rsid w:val="00DB10D8"/>
    <w:rsid w:val="00DB11B0"/>
    <w:rsid w:val="00DB1412"/>
    <w:rsid w:val="00DB1848"/>
    <w:rsid w:val="00DB19ED"/>
    <w:rsid w:val="00DB1FA8"/>
    <w:rsid w:val="00DB22BC"/>
    <w:rsid w:val="00DB23DB"/>
    <w:rsid w:val="00DB2542"/>
    <w:rsid w:val="00DB29A5"/>
    <w:rsid w:val="00DB2B1A"/>
    <w:rsid w:val="00DB3171"/>
    <w:rsid w:val="00DB31CD"/>
    <w:rsid w:val="00DB331F"/>
    <w:rsid w:val="00DB346D"/>
    <w:rsid w:val="00DB35C5"/>
    <w:rsid w:val="00DB3635"/>
    <w:rsid w:val="00DB370F"/>
    <w:rsid w:val="00DB3842"/>
    <w:rsid w:val="00DB389C"/>
    <w:rsid w:val="00DB3BAB"/>
    <w:rsid w:val="00DB3E07"/>
    <w:rsid w:val="00DB3EEC"/>
    <w:rsid w:val="00DB4022"/>
    <w:rsid w:val="00DB43B3"/>
    <w:rsid w:val="00DB4497"/>
    <w:rsid w:val="00DB44A5"/>
    <w:rsid w:val="00DB45B4"/>
    <w:rsid w:val="00DB474D"/>
    <w:rsid w:val="00DB483D"/>
    <w:rsid w:val="00DB4BC5"/>
    <w:rsid w:val="00DB4C26"/>
    <w:rsid w:val="00DB4CC0"/>
    <w:rsid w:val="00DB4EE9"/>
    <w:rsid w:val="00DB4F85"/>
    <w:rsid w:val="00DB4FAF"/>
    <w:rsid w:val="00DB50ED"/>
    <w:rsid w:val="00DB5156"/>
    <w:rsid w:val="00DB590B"/>
    <w:rsid w:val="00DB59FB"/>
    <w:rsid w:val="00DB5A9C"/>
    <w:rsid w:val="00DB5BFB"/>
    <w:rsid w:val="00DB5D1E"/>
    <w:rsid w:val="00DB5ECD"/>
    <w:rsid w:val="00DB5F6A"/>
    <w:rsid w:val="00DB5FA3"/>
    <w:rsid w:val="00DB6003"/>
    <w:rsid w:val="00DB6290"/>
    <w:rsid w:val="00DB62C3"/>
    <w:rsid w:val="00DB62CC"/>
    <w:rsid w:val="00DB6468"/>
    <w:rsid w:val="00DB658D"/>
    <w:rsid w:val="00DB6730"/>
    <w:rsid w:val="00DB6B43"/>
    <w:rsid w:val="00DB6E2C"/>
    <w:rsid w:val="00DB6F3D"/>
    <w:rsid w:val="00DB6FD0"/>
    <w:rsid w:val="00DB73D4"/>
    <w:rsid w:val="00DB77A7"/>
    <w:rsid w:val="00DB79FE"/>
    <w:rsid w:val="00DB7C31"/>
    <w:rsid w:val="00DB7EAD"/>
    <w:rsid w:val="00DB7F93"/>
    <w:rsid w:val="00DC0028"/>
    <w:rsid w:val="00DC00C1"/>
    <w:rsid w:val="00DC0967"/>
    <w:rsid w:val="00DC0A1A"/>
    <w:rsid w:val="00DC0B1C"/>
    <w:rsid w:val="00DC0B56"/>
    <w:rsid w:val="00DC0BAF"/>
    <w:rsid w:val="00DC0C21"/>
    <w:rsid w:val="00DC0F31"/>
    <w:rsid w:val="00DC1239"/>
    <w:rsid w:val="00DC1D20"/>
    <w:rsid w:val="00DC2342"/>
    <w:rsid w:val="00DC2752"/>
    <w:rsid w:val="00DC2854"/>
    <w:rsid w:val="00DC2887"/>
    <w:rsid w:val="00DC289D"/>
    <w:rsid w:val="00DC2BF3"/>
    <w:rsid w:val="00DC2C94"/>
    <w:rsid w:val="00DC2FD8"/>
    <w:rsid w:val="00DC3789"/>
    <w:rsid w:val="00DC3C4E"/>
    <w:rsid w:val="00DC3D64"/>
    <w:rsid w:val="00DC3D8E"/>
    <w:rsid w:val="00DC42BC"/>
    <w:rsid w:val="00DC43C8"/>
    <w:rsid w:val="00DC46D4"/>
    <w:rsid w:val="00DC487F"/>
    <w:rsid w:val="00DC4941"/>
    <w:rsid w:val="00DC4ADF"/>
    <w:rsid w:val="00DC4C42"/>
    <w:rsid w:val="00DC4F52"/>
    <w:rsid w:val="00DC5256"/>
    <w:rsid w:val="00DC5329"/>
    <w:rsid w:val="00DC5571"/>
    <w:rsid w:val="00DC5663"/>
    <w:rsid w:val="00DC5D93"/>
    <w:rsid w:val="00DC5E1B"/>
    <w:rsid w:val="00DC5E96"/>
    <w:rsid w:val="00DC5F7A"/>
    <w:rsid w:val="00DC6342"/>
    <w:rsid w:val="00DC654D"/>
    <w:rsid w:val="00DC6691"/>
    <w:rsid w:val="00DC6721"/>
    <w:rsid w:val="00DC672F"/>
    <w:rsid w:val="00DC6C75"/>
    <w:rsid w:val="00DC701C"/>
    <w:rsid w:val="00DC7065"/>
    <w:rsid w:val="00DC70D7"/>
    <w:rsid w:val="00DC70DC"/>
    <w:rsid w:val="00DC76C8"/>
    <w:rsid w:val="00DC7723"/>
    <w:rsid w:val="00DC78A2"/>
    <w:rsid w:val="00DC78CE"/>
    <w:rsid w:val="00DC7B38"/>
    <w:rsid w:val="00DC7C0E"/>
    <w:rsid w:val="00DC7D6D"/>
    <w:rsid w:val="00DC7F5D"/>
    <w:rsid w:val="00DC7FCB"/>
    <w:rsid w:val="00DD003A"/>
    <w:rsid w:val="00DD0230"/>
    <w:rsid w:val="00DD0432"/>
    <w:rsid w:val="00DD0523"/>
    <w:rsid w:val="00DD05D2"/>
    <w:rsid w:val="00DD06B4"/>
    <w:rsid w:val="00DD0860"/>
    <w:rsid w:val="00DD0A9A"/>
    <w:rsid w:val="00DD0B64"/>
    <w:rsid w:val="00DD0D0B"/>
    <w:rsid w:val="00DD103F"/>
    <w:rsid w:val="00DD1202"/>
    <w:rsid w:val="00DD169D"/>
    <w:rsid w:val="00DD1871"/>
    <w:rsid w:val="00DD19CB"/>
    <w:rsid w:val="00DD1AAF"/>
    <w:rsid w:val="00DD1B81"/>
    <w:rsid w:val="00DD1C52"/>
    <w:rsid w:val="00DD1EC2"/>
    <w:rsid w:val="00DD20E0"/>
    <w:rsid w:val="00DD217A"/>
    <w:rsid w:val="00DD239F"/>
    <w:rsid w:val="00DD2601"/>
    <w:rsid w:val="00DD2939"/>
    <w:rsid w:val="00DD293F"/>
    <w:rsid w:val="00DD2A0E"/>
    <w:rsid w:val="00DD2A35"/>
    <w:rsid w:val="00DD2C8C"/>
    <w:rsid w:val="00DD2CA7"/>
    <w:rsid w:val="00DD2F67"/>
    <w:rsid w:val="00DD2F7F"/>
    <w:rsid w:val="00DD2F96"/>
    <w:rsid w:val="00DD308E"/>
    <w:rsid w:val="00DD3527"/>
    <w:rsid w:val="00DD3541"/>
    <w:rsid w:val="00DD386A"/>
    <w:rsid w:val="00DD39EC"/>
    <w:rsid w:val="00DD3BB0"/>
    <w:rsid w:val="00DD3CEC"/>
    <w:rsid w:val="00DD483A"/>
    <w:rsid w:val="00DD4867"/>
    <w:rsid w:val="00DD4960"/>
    <w:rsid w:val="00DD4C6D"/>
    <w:rsid w:val="00DD4E57"/>
    <w:rsid w:val="00DD4FF8"/>
    <w:rsid w:val="00DD5217"/>
    <w:rsid w:val="00DD5336"/>
    <w:rsid w:val="00DD534F"/>
    <w:rsid w:val="00DD54D8"/>
    <w:rsid w:val="00DD5675"/>
    <w:rsid w:val="00DD56C9"/>
    <w:rsid w:val="00DD5712"/>
    <w:rsid w:val="00DD5C90"/>
    <w:rsid w:val="00DD613D"/>
    <w:rsid w:val="00DD66FF"/>
    <w:rsid w:val="00DD6784"/>
    <w:rsid w:val="00DD6B8B"/>
    <w:rsid w:val="00DD6BBA"/>
    <w:rsid w:val="00DD6C30"/>
    <w:rsid w:val="00DD6CE2"/>
    <w:rsid w:val="00DD6D01"/>
    <w:rsid w:val="00DD6E4E"/>
    <w:rsid w:val="00DD735D"/>
    <w:rsid w:val="00DD7573"/>
    <w:rsid w:val="00DD764B"/>
    <w:rsid w:val="00DD7756"/>
    <w:rsid w:val="00DD788E"/>
    <w:rsid w:val="00DD7A46"/>
    <w:rsid w:val="00DD7A7E"/>
    <w:rsid w:val="00DE0170"/>
    <w:rsid w:val="00DE01DC"/>
    <w:rsid w:val="00DE105B"/>
    <w:rsid w:val="00DE129A"/>
    <w:rsid w:val="00DE15DA"/>
    <w:rsid w:val="00DE1771"/>
    <w:rsid w:val="00DE1812"/>
    <w:rsid w:val="00DE1C6D"/>
    <w:rsid w:val="00DE1D43"/>
    <w:rsid w:val="00DE1EC2"/>
    <w:rsid w:val="00DE21EE"/>
    <w:rsid w:val="00DE260F"/>
    <w:rsid w:val="00DE2834"/>
    <w:rsid w:val="00DE2868"/>
    <w:rsid w:val="00DE2A56"/>
    <w:rsid w:val="00DE2AAB"/>
    <w:rsid w:val="00DE2CF7"/>
    <w:rsid w:val="00DE2E9F"/>
    <w:rsid w:val="00DE3179"/>
    <w:rsid w:val="00DE33EC"/>
    <w:rsid w:val="00DE3458"/>
    <w:rsid w:val="00DE37F0"/>
    <w:rsid w:val="00DE3E61"/>
    <w:rsid w:val="00DE40B8"/>
    <w:rsid w:val="00DE415B"/>
    <w:rsid w:val="00DE429A"/>
    <w:rsid w:val="00DE43EA"/>
    <w:rsid w:val="00DE454D"/>
    <w:rsid w:val="00DE4852"/>
    <w:rsid w:val="00DE4A69"/>
    <w:rsid w:val="00DE4BB8"/>
    <w:rsid w:val="00DE4FD4"/>
    <w:rsid w:val="00DE543F"/>
    <w:rsid w:val="00DE56ED"/>
    <w:rsid w:val="00DE58A4"/>
    <w:rsid w:val="00DE5DA1"/>
    <w:rsid w:val="00DE61F5"/>
    <w:rsid w:val="00DE6357"/>
    <w:rsid w:val="00DE647C"/>
    <w:rsid w:val="00DE6CB8"/>
    <w:rsid w:val="00DE6EBF"/>
    <w:rsid w:val="00DE6EFF"/>
    <w:rsid w:val="00DE7161"/>
    <w:rsid w:val="00DE730C"/>
    <w:rsid w:val="00DE7423"/>
    <w:rsid w:val="00DE782C"/>
    <w:rsid w:val="00DE78B0"/>
    <w:rsid w:val="00DE7974"/>
    <w:rsid w:val="00DE7C09"/>
    <w:rsid w:val="00DE7CEB"/>
    <w:rsid w:val="00DF002E"/>
    <w:rsid w:val="00DF02CD"/>
    <w:rsid w:val="00DF04B1"/>
    <w:rsid w:val="00DF05AE"/>
    <w:rsid w:val="00DF07A9"/>
    <w:rsid w:val="00DF107F"/>
    <w:rsid w:val="00DF15C7"/>
    <w:rsid w:val="00DF1660"/>
    <w:rsid w:val="00DF16D3"/>
    <w:rsid w:val="00DF1B2B"/>
    <w:rsid w:val="00DF1CA2"/>
    <w:rsid w:val="00DF1D01"/>
    <w:rsid w:val="00DF1DFC"/>
    <w:rsid w:val="00DF1E74"/>
    <w:rsid w:val="00DF1EB0"/>
    <w:rsid w:val="00DF1EEB"/>
    <w:rsid w:val="00DF21A1"/>
    <w:rsid w:val="00DF21B3"/>
    <w:rsid w:val="00DF2570"/>
    <w:rsid w:val="00DF27B0"/>
    <w:rsid w:val="00DF2982"/>
    <w:rsid w:val="00DF29D8"/>
    <w:rsid w:val="00DF2A77"/>
    <w:rsid w:val="00DF2B68"/>
    <w:rsid w:val="00DF2C7E"/>
    <w:rsid w:val="00DF2E7B"/>
    <w:rsid w:val="00DF2F00"/>
    <w:rsid w:val="00DF378E"/>
    <w:rsid w:val="00DF3906"/>
    <w:rsid w:val="00DF398A"/>
    <w:rsid w:val="00DF3A43"/>
    <w:rsid w:val="00DF3C2F"/>
    <w:rsid w:val="00DF3D9B"/>
    <w:rsid w:val="00DF3F50"/>
    <w:rsid w:val="00DF42C1"/>
    <w:rsid w:val="00DF4510"/>
    <w:rsid w:val="00DF45F7"/>
    <w:rsid w:val="00DF470F"/>
    <w:rsid w:val="00DF488E"/>
    <w:rsid w:val="00DF4EB8"/>
    <w:rsid w:val="00DF4F83"/>
    <w:rsid w:val="00DF517F"/>
    <w:rsid w:val="00DF53D4"/>
    <w:rsid w:val="00DF5822"/>
    <w:rsid w:val="00DF5861"/>
    <w:rsid w:val="00DF5A5E"/>
    <w:rsid w:val="00DF5BA1"/>
    <w:rsid w:val="00DF5F33"/>
    <w:rsid w:val="00DF5FD0"/>
    <w:rsid w:val="00DF6039"/>
    <w:rsid w:val="00DF610F"/>
    <w:rsid w:val="00DF6596"/>
    <w:rsid w:val="00DF67F3"/>
    <w:rsid w:val="00DF6819"/>
    <w:rsid w:val="00DF6B61"/>
    <w:rsid w:val="00DF6B77"/>
    <w:rsid w:val="00DF6D15"/>
    <w:rsid w:val="00DF6D81"/>
    <w:rsid w:val="00DF6DA3"/>
    <w:rsid w:val="00DF6DF6"/>
    <w:rsid w:val="00DF753E"/>
    <w:rsid w:val="00DF7585"/>
    <w:rsid w:val="00DF7961"/>
    <w:rsid w:val="00DF7D03"/>
    <w:rsid w:val="00E000B9"/>
    <w:rsid w:val="00E0022C"/>
    <w:rsid w:val="00E00309"/>
    <w:rsid w:val="00E0079C"/>
    <w:rsid w:val="00E00A5A"/>
    <w:rsid w:val="00E00F70"/>
    <w:rsid w:val="00E01229"/>
    <w:rsid w:val="00E0127F"/>
    <w:rsid w:val="00E0195E"/>
    <w:rsid w:val="00E01AE3"/>
    <w:rsid w:val="00E02626"/>
    <w:rsid w:val="00E02743"/>
    <w:rsid w:val="00E0274F"/>
    <w:rsid w:val="00E029B0"/>
    <w:rsid w:val="00E02A10"/>
    <w:rsid w:val="00E02A50"/>
    <w:rsid w:val="00E02DC0"/>
    <w:rsid w:val="00E02E89"/>
    <w:rsid w:val="00E02FFA"/>
    <w:rsid w:val="00E03047"/>
    <w:rsid w:val="00E03054"/>
    <w:rsid w:val="00E0320A"/>
    <w:rsid w:val="00E03437"/>
    <w:rsid w:val="00E034AE"/>
    <w:rsid w:val="00E03585"/>
    <w:rsid w:val="00E03831"/>
    <w:rsid w:val="00E039D9"/>
    <w:rsid w:val="00E04115"/>
    <w:rsid w:val="00E0462F"/>
    <w:rsid w:val="00E04729"/>
    <w:rsid w:val="00E047ED"/>
    <w:rsid w:val="00E04940"/>
    <w:rsid w:val="00E04A22"/>
    <w:rsid w:val="00E04BC0"/>
    <w:rsid w:val="00E04BF8"/>
    <w:rsid w:val="00E050D8"/>
    <w:rsid w:val="00E0510E"/>
    <w:rsid w:val="00E0513A"/>
    <w:rsid w:val="00E051C9"/>
    <w:rsid w:val="00E0533B"/>
    <w:rsid w:val="00E05563"/>
    <w:rsid w:val="00E05770"/>
    <w:rsid w:val="00E057D5"/>
    <w:rsid w:val="00E05B74"/>
    <w:rsid w:val="00E05C0A"/>
    <w:rsid w:val="00E05CF6"/>
    <w:rsid w:val="00E060A3"/>
    <w:rsid w:val="00E06295"/>
    <w:rsid w:val="00E06322"/>
    <w:rsid w:val="00E066DD"/>
    <w:rsid w:val="00E067C0"/>
    <w:rsid w:val="00E069ED"/>
    <w:rsid w:val="00E06BD0"/>
    <w:rsid w:val="00E06C7C"/>
    <w:rsid w:val="00E07046"/>
    <w:rsid w:val="00E0734F"/>
    <w:rsid w:val="00E07B27"/>
    <w:rsid w:val="00E07E81"/>
    <w:rsid w:val="00E07EAE"/>
    <w:rsid w:val="00E10169"/>
    <w:rsid w:val="00E101D3"/>
    <w:rsid w:val="00E104A4"/>
    <w:rsid w:val="00E10917"/>
    <w:rsid w:val="00E10F5D"/>
    <w:rsid w:val="00E1133D"/>
    <w:rsid w:val="00E11629"/>
    <w:rsid w:val="00E1162D"/>
    <w:rsid w:val="00E119C7"/>
    <w:rsid w:val="00E12302"/>
    <w:rsid w:val="00E12576"/>
    <w:rsid w:val="00E12683"/>
    <w:rsid w:val="00E12809"/>
    <w:rsid w:val="00E12A18"/>
    <w:rsid w:val="00E12C3B"/>
    <w:rsid w:val="00E132AA"/>
    <w:rsid w:val="00E13C40"/>
    <w:rsid w:val="00E13F1D"/>
    <w:rsid w:val="00E14428"/>
    <w:rsid w:val="00E144BB"/>
    <w:rsid w:val="00E145EF"/>
    <w:rsid w:val="00E147D4"/>
    <w:rsid w:val="00E14838"/>
    <w:rsid w:val="00E14D31"/>
    <w:rsid w:val="00E15090"/>
    <w:rsid w:val="00E15103"/>
    <w:rsid w:val="00E15250"/>
    <w:rsid w:val="00E1578F"/>
    <w:rsid w:val="00E159DA"/>
    <w:rsid w:val="00E15AF0"/>
    <w:rsid w:val="00E15BB5"/>
    <w:rsid w:val="00E15C7B"/>
    <w:rsid w:val="00E15D02"/>
    <w:rsid w:val="00E16024"/>
    <w:rsid w:val="00E16326"/>
    <w:rsid w:val="00E167FB"/>
    <w:rsid w:val="00E16D9D"/>
    <w:rsid w:val="00E17051"/>
    <w:rsid w:val="00E17176"/>
    <w:rsid w:val="00E174DA"/>
    <w:rsid w:val="00E17B3F"/>
    <w:rsid w:val="00E17DBF"/>
    <w:rsid w:val="00E200E7"/>
    <w:rsid w:val="00E2033A"/>
    <w:rsid w:val="00E20687"/>
    <w:rsid w:val="00E2085E"/>
    <w:rsid w:val="00E20F90"/>
    <w:rsid w:val="00E2112B"/>
    <w:rsid w:val="00E21184"/>
    <w:rsid w:val="00E2145F"/>
    <w:rsid w:val="00E214BE"/>
    <w:rsid w:val="00E21904"/>
    <w:rsid w:val="00E21D83"/>
    <w:rsid w:val="00E21D97"/>
    <w:rsid w:val="00E22058"/>
    <w:rsid w:val="00E225C6"/>
    <w:rsid w:val="00E229D4"/>
    <w:rsid w:val="00E22A81"/>
    <w:rsid w:val="00E22B59"/>
    <w:rsid w:val="00E22C0B"/>
    <w:rsid w:val="00E232C7"/>
    <w:rsid w:val="00E235AB"/>
    <w:rsid w:val="00E23814"/>
    <w:rsid w:val="00E238AF"/>
    <w:rsid w:val="00E239AA"/>
    <w:rsid w:val="00E23C66"/>
    <w:rsid w:val="00E23C96"/>
    <w:rsid w:val="00E23D69"/>
    <w:rsid w:val="00E24019"/>
    <w:rsid w:val="00E2402B"/>
    <w:rsid w:val="00E242E1"/>
    <w:rsid w:val="00E246B8"/>
    <w:rsid w:val="00E24716"/>
    <w:rsid w:val="00E2473E"/>
    <w:rsid w:val="00E250C9"/>
    <w:rsid w:val="00E252DA"/>
    <w:rsid w:val="00E253C0"/>
    <w:rsid w:val="00E25552"/>
    <w:rsid w:val="00E2567C"/>
    <w:rsid w:val="00E25705"/>
    <w:rsid w:val="00E258ED"/>
    <w:rsid w:val="00E25A6D"/>
    <w:rsid w:val="00E25AC1"/>
    <w:rsid w:val="00E25B80"/>
    <w:rsid w:val="00E25BA3"/>
    <w:rsid w:val="00E25C14"/>
    <w:rsid w:val="00E25DB0"/>
    <w:rsid w:val="00E26201"/>
    <w:rsid w:val="00E26254"/>
    <w:rsid w:val="00E26528"/>
    <w:rsid w:val="00E26759"/>
    <w:rsid w:val="00E26807"/>
    <w:rsid w:val="00E26A82"/>
    <w:rsid w:val="00E26DDD"/>
    <w:rsid w:val="00E26EB5"/>
    <w:rsid w:val="00E2718F"/>
    <w:rsid w:val="00E27256"/>
    <w:rsid w:val="00E2753A"/>
    <w:rsid w:val="00E275D4"/>
    <w:rsid w:val="00E27718"/>
    <w:rsid w:val="00E2792E"/>
    <w:rsid w:val="00E27958"/>
    <w:rsid w:val="00E27C7B"/>
    <w:rsid w:val="00E27F42"/>
    <w:rsid w:val="00E300C3"/>
    <w:rsid w:val="00E30201"/>
    <w:rsid w:val="00E3050D"/>
    <w:rsid w:val="00E30667"/>
    <w:rsid w:val="00E30752"/>
    <w:rsid w:val="00E30DF5"/>
    <w:rsid w:val="00E3111B"/>
    <w:rsid w:val="00E31177"/>
    <w:rsid w:val="00E314B4"/>
    <w:rsid w:val="00E315CD"/>
    <w:rsid w:val="00E3160F"/>
    <w:rsid w:val="00E317C7"/>
    <w:rsid w:val="00E31D6E"/>
    <w:rsid w:val="00E31E20"/>
    <w:rsid w:val="00E31E5C"/>
    <w:rsid w:val="00E32039"/>
    <w:rsid w:val="00E32285"/>
    <w:rsid w:val="00E32343"/>
    <w:rsid w:val="00E32365"/>
    <w:rsid w:val="00E325BB"/>
    <w:rsid w:val="00E3283D"/>
    <w:rsid w:val="00E32AC7"/>
    <w:rsid w:val="00E32AE0"/>
    <w:rsid w:val="00E32BE2"/>
    <w:rsid w:val="00E32D70"/>
    <w:rsid w:val="00E32DF0"/>
    <w:rsid w:val="00E33018"/>
    <w:rsid w:val="00E33085"/>
    <w:rsid w:val="00E330E8"/>
    <w:rsid w:val="00E331D2"/>
    <w:rsid w:val="00E334CC"/>
    <w:rsid w:val="00E335D9"/>
    <w:rsid w:val="00E3379C"/>
    <w:rsid w:val="00E33888"/>
    <w:rsid w:val="00E33C28"/>
    <w:rsid w:val="00E33C67"/>
    <w:rsid w:val="00E33CAF"/>
    <w:rsid w:val="00E33E27"/>
    <w:rsid w:val="00E33E94"/>
    <w:rsid w:val="00E33FED"/>
    <w:rsid w:val="00E3405D"/>
    <w:rsid w:val="00E340A5"/>
    <w:rsid w:val="00E342D6"/>
    <w:rsid w:val="00E344A0"/>
    <w:rsid w:val="00E344DB"/>
    <w:rsid w:val="00E344FD"/>
    <w:rsid w:val="00E34762"/>
    <w:rsid w:val="00E349E1"/>
    <w:rsid w:val="00E34BC5"/>
    <w:rsid w:val="00E34E46"/>
    <w:rsid w:val="00E350A3"/>
    <w:rsid w:val="00E35155"/>
    <w:rsid w:val="00E352F3"/>
    <w:rsid w:val="00E3597A"/>
    <w:rsid w:val="00E35EF7"/>
    <w:rsid w:val="00E3627A"/>
    <w:rsid w:val="00E364AB"/>
    <w:rsid w:val="00E364C1"/>
    <w:rsid w:val="00E36810"/>
    <w:rsid w:val="00E36A39"/>
    <w:rsid w:val="00E36F1D"/>
    <w:rsid w:val="00E36F28"/>
    <w:rsid w:val="00E374A9"/>
    <w:rsid w:val="00E375BC"/>
    <w:rsid w:val="00E37BB6"/>
    <w:rsid w:val="00E37DB4"/>
    <w:rsid w:val="00E37EF5"/>
    <w:rsid w:val="00E37F42"/>
    <w:rsid w:val="00E40017"/>
    <w:rsid w:val="00E40026"/>
    <w:rsid w:val="00E401A0"/>
    <w:rsid w:val="00E40837"/>
    <w:rsid w:val="00E40A7D"/>
    <w:rsid w:val="00E40BAB"/>
    <w:rsid w:val="00E40C7A"/>
    <w:rsid w:val="00E41299"/>
    <w:rsid w:val="00E415E2"/>
    <w:rsid w:val="00E415EC"/>
    <w:rsid w:val="00E41714"/>
    <w:rsid w:val="00E41727"/>
    <w:rsid w:val="00E41959"/>
    <w:rsid w:val="00E41A75"/>
    <w:rsid w:val="00E41E6B"/>
    <w:rsid w:val="00E41E89"/>
    <w:rsid w:val="00E42136"/>
    <w:rsid w:val="00E42319"/>
    <w:rsid w:val="00E42851"/>
    <w:rsid w:val="00E42BED"/>
    <w:rsid w:val="00E42CFB"/>
    <w:rsid w:val="00E431C8"/>
    <w:rsid w:val="00E431DD"/>
    <w:rsid w:val="00E4340F"/>
    <w:rsid w:val="00E43548"/>
    <w:rsid w:val="00E4354D"/>
    <w:rsid w:val="00E435C9"/>
    <w:rsid w:val="00E43AFB"/>
    <w:rsid w:val="00E43C64"/>
    <w:rsid w:val="00E44379"/>
    <w:rsid w:val="00E443D1"/>
    <w:rsid w:val="00E4443C"/>
    <w:rsid w:val="00E44487"/>
    <w:rsid w:val="00E445E0"/>
    <w:rsid w:val="00E44681"/>
    <w:rsid w:val="00E446A7"/>
    <w:rsid w:val="00E44A4A"/>
    <w:rsid w:val="00E44DCB"/>
    <w:rsid w:val="00E44F79"/>
    <w:rsid w:val="00E454BC"/>
    <w:rsid w:val="00E4550C"/>
    <w:rsid w:val="00E45510"/>
    <w:rsid w:val="00E45A04"/>
    <w:rsid w:val="00E45A3A"/>
    <w:rsid w:val="00E45B48"/>
    <w:rsid w:val="00E46366"/>
    <w:rsid w:val="00E46419"/>
    <w:rsid w:val="00E46442"/>
    <w:rsid w:val="00E46673"/>
    <w:rsid w:val="00E467BD"/>
    <w:rsid w:val="00E46A47"/>
    <w:rsid w:val="00E46B9E"/>
    <w:rsid w:val="00E46D1F"/>
    <w:rsid w:val="00E46EF7"/>
    <w:rsid w:val="00E471B6"/>
    <w:rsid w:val="00E47352"/>
    <w:rsid w:val="00E47365"/>
    <w:rsid w:val="00E47622"/>
    <w:rsid w:val="00E4779D"/>
    <w:rsid w:val="00E47A09"/>
    <w:rsid w:val="00E501AD"/>
    <w:rsid w:val="00E50213"/>
    <w:rsid w:val="00E50809"/>
    <w:rsid w:val="00E50907"/>
    <w:rsid w:val="00E50A8F"/>
    <w:rsid w:val="00E50E7F"/>
    <w:rsid w:val="00E51223"/>
    <w:rsid w:val="00E51434"/>
    <w:rsid w:val="00E519C5"/>
    <w:rsid w:val="00E51E7E"/>
    <w:rsid w:val="00E51F78"/>
    <w:rsid w:val="00E52631"/>
    <w:rsid w:val="00E52ACE"/>
    <w:rsid w:val="00E52F0D"/>
    <w:rsid w:val="00E52F8D"/>
    <w:rsid w:val="00E53053"/>
    <w:rsid w:val="00E5330F"/>
    <w:rsid w:val="00E53664"/>
    <w:rsid w:val="00E53748"/>
    <w:rsid w:val="00E537D3"/>
    <w:rsid w:val="00E538BB"/>
    <w:rsid w:val="00E53C41"/>
    <w:rsid w:val="00E53C7E"/>
    <w:rsid w:val="00E53DD3"/>
    <w:rsid w:val="00E543A4"/>
    <w:rsid w:val="00E54415"/>
    <w:rsid w:val="00E5478C"/>
    <w:rsid w:val="00E54F27"/>
    <w:rsid w:val="00E557C5"/>
    <w:rsid w:val="00E5595F"/>
    <w:rsid w:val="00E55A5C"/>
    <w:rsid w:val="00E55A70"/>
    <w:rsid w:val="00E55EB6"/>
    <w:rsid w:val="00E55FCA"/>
    <w:rsid w:val="00E560E7"/>
    <w:rsid w:val="00E56557"/>
    <w:rsid w:val="00E565DA"/>
    <w:rsid w:val="00E567D8"/>
    <w:rsid w:val="00E567F0"/>
    <w:rsid w:val="00E56908"/>
    <w:rsid w:val="00E5699C"/>
    <w:rsid w:val="00E56A23"/>
    <w:rsid w:val="00E5723F"/>
    <w:rsid w:val="00E57329"/>
    <w:rsid w:val="00E57466"/>
    <w:rsid w:val="00E576B1"/>
    <w:rsid w:val="00E57DFC"/>
    <w:rsid w:val="00E6000F"/>
    <w:rsid w:val="00E6015F"/>
    <w:rsid w:val="00E604AA"/>
    <w:rsid w:val="00E60627"/>
    <w:rsid w:val="00E60738"/>
    <w:rsid w:val="00E60883"/>
    <w:rsid w:val="00E608E6"/>
    <w:rsid w:val="00E60D56"/>
    <w:rsid w:val="00E61105"/>
    <w:rsid w:val="00E611A4"/>
    <w:rsid w:val="00E61311"/>
    <w:rsid w:val="00E6139E"/>
    <w:rsid w:val="00E6148F"/>
    <w:rsid w:val="00E614A0"/>
    <w:rsid w:val="00E615E4"/>
    <w:rsid w:val="00E6195E"/>
    <w:rsid w:val="00E6197B"/>
    <w:rsid w:val="00E61D8A"/>
    <w:rsid w:val="00E61F5B"/>
    <w:rsid w:val="00E62027"/>
    <w:rsid w:val="00E6203A"/>
    <w:rsid w:val="00E625EC"/>
    <w:rsid w:val="00E62739"/>
    <w:rsid w:val="00E62925"/>
    <w:rsid w:val="00E629D1"/>
    <w:rsid w:val="00E62A64"/>
    <w:rsid w:val="00E62A78"/>
    <w:rsid w:val="00E62C94"/>
    <w:rsid w:val="00E62D3F"/>
    <w:rsid w:val="00E62F82"/>
    <w:rsid w:val="00E6303D"/>
    <w:rsid w:val="00E630A6"/>
    <w:rsid w:val="00E630FD"/>
    <w:rsid w:val="00E63215"/>
    <w:rsid w:val="00E632E0"/>
    <w:rsid w:val="00E634E3"/>
    <w:rsid w:val="00E635E2"/>
    <w:rsid w:val="00E63681"/>
    <w:rsid w:val="00E6372B"/>
    <w:rsid w:val="00E63882"/>
    <w:rsid w:val="00E6395B"/>
    <w:rsid w:val="00E64190"/>
    <w:rsid w:val="00E64649"/>
    <w:rsid w:val="00E64922"/>
    <w:rsid w:val="00E64D20"/>
    <w:rsid w:val="00E6511F"/>
    <w:rsid w:val="00E6574D"/>
    <w:rsid w:val="00E658F2"/>
    <w:rsid w:val="00E65EA2"/>
    <w:rsid w:val="00E66674"/>
    <w:rsid w:val="00E667CA"/>
    <w:rsid w:val="00E66BFA"/>
    <w:rsid w:val="00E672EE"/>
    <w:rsid w:val="00E6746C"/>
    <w:rsid w:val="00E67A5E"/>
    <w:rsid w:val="00E67CA2"/>
    <w:rsid w:val="00E67CB7"/>
    <w:rsid w:val="00E67D10"/>
    <w:rsid w:val="00E7012C"/>
    <w:rsid w:val="00E70195"/>
    <w:rsid w:val="00E701C1"/>
    <w:rsid w:val="00E70253"/>
    <w:rsid w:val="00E70654"/>
    <w:rsid w:val="00E7083E"/>
    <w:rsid w:val="00E70B7D"/>
    <w:rsid w:val="00E70FA4"/>
    <w:rsid w:val="00E71019"/>
    <w:rsid w:val="00E7122D"/>
    <w:rsid w:val="00E7130E"/>
    <w:rsid w:val="00E713BA"/>
    <w:rsid w:val="00E716D6"/>
    <w:rsid w:val="00E717A1"/>
    <w:rsid w:val="00E71D31"/>
    <w:rsid w:val="00E71E25"/>
    <w:rsid w:val="00E71E7C"/>
    <w:rsid w:val="00E722D5"/>
    <w:rsid w:val="00E722EC"/>
    <w:rsid w:val="00E724BA"/>
    <w:rsid w:val="00E72D4A"/>
    <w:rsid w:val="00E72F18"/>
    <w:rsid w:val="00E7335C"/>
    <w:rsid w:val="00E734AD"/>
    <w:rsid w:val="00E734BD"/>
    <w:rsid w:val="00E734E4"/>
    <w:rsid w:val="00E7369D"/>
    <w:rsid w:val="00E7378F"/>
    <w:rsid w:val="00E738CB"/>
    <w:rsid w:val="00E73902"/>
    <w:rsid w:val="00E73ADA"/>
    <w:rsid w:val="00E73C65"/>
    <w:rsid w:val="00E73C6C"/>
    <w:rsid w:val="00E73CE4"/>
    <w:rsid w:val="00E73D93"/>
    <w:rsid w:val="00E73F25"/>
    <w:rsid w:val="00E740A6"/>
    <w:rsid w:val="00E741D9"/>
    <w:rsid w:val="00E7448F"/>
    <w:rsid w:val="00E7472E"/>
    <w:rsid w:val="00E74826"/>
    <w:rsid w:val="00E74F77"/>
    <w:rsid w:val="00E75301"/>
    <w:rsid w:val="00E7547A"/>
    <w:rsid w:val="00E754C6"/>
    <w:rsid w:val="00E75A43"/>
    <w:rsid w:val="00E75AAD"/>
    <w:rsid w:val="00E75C30"/>
    <w:rsid w:val="00E75CA9"/>
    <w:rsid w:val="00E75E2C"/>
    <w:rsid w:val="00E75EA6"/>
    <w:rsid w:val="00E76269"/>
    <w:rsid w:val="00E764E4"/>
    <w:rsid w:val="00E76596"/>
    <w:rsid w:val="00E7668E"/>
    <w:rsid w:val="00E766F9"/>
    <w:rsid w:val="00E76A5F"/>
    <w:rsid w:val="00E76C17"/>
    <w:rsid w:val="00E76CC4"/>
    <w:rsid w:val="00E77470"/>
    <w:rsid w:val="00E77818"/>
    <w:rsid w:val="00E77834"/>
    <w:rsid w:val="00E77841"/>
    <w:rsid w:val="00E77C75"/>
    <w:rsid w:val="00E77C9B"/>
    <w:rsid w:val="00E77ECE"/>
    <w:rsid w:val="00E800F7"/>
    <w:rsid w:val="00E805A9"/>
    <w:rsid w:val="00E80E45"/>
    <w:rsid w:val="00E80FD4"/>
    <w:rsid w:val="00E815B8"/>
    <w:rsid w:val="00E81674"/>
    <w:rsid w:val="00E81694"/>
    <w:rsid w:val="00E8174B"/>
    <w:rsid w:val="00E81805"/>
    <w:rsid w:val="00E81966"/>
    <w:rsid w:val="00E8198B"/>
    <w:rsid w:val="00E81C9A"/>
    <w:rsid w:val="00E81D01"/>
    <w:rsid w:val="00E81D61"/>
    <w:rsid w:val="00E81E16"/>
    <w:rsid w:val="00E820C2"/>
    <w:rsid w:val="00E820C6"/>
    <w:rsid w:val="00E82522"/>
    <w:rsid w:val="00E82D47"/>
    <w:rsid w:val="00E82D4F"/>
    <w:rsid w:val="00E83335"/>
    <w:rsid w:val="00E8348E"/>
    <w:rsid w:val="00E837F9"/>
    <w:rsid w:val="00E83A9D"/>
    <w:rsid w:val="00E83CFD"/>
    <w:rsid w:val="00E84048"/>
    <w:rsid w:val="00E840C5"/>
    <w:rsid w:val="00E84579"/>
    <w:rsid w:val="00E8466B"/>
    <w:rsid w:val="00E84A04"/>
    <w:rsid w:val="00E84A31"/>
    <w:rsid w:val="00E84AAE"/>
    <w:rsid w:val="00E84BB6"/>
    <w:rsid w:val="00E84E5D"/>
    <w:rsid w:val="00E84ED7"/>
    <w:rsid w:val="00E84FBF"/>
    <w:rsid w:val="00E85378"/>
    <w:rsid w:val="00E8549C"/>
    <w:rsid w:val="00E85821"/>
    <w:rsid w:val="00E85859"/>
    <w:rsid w:val="00E85875"/>
    <w:rsid w:val="00E85B9E"/>
    <w:rsid w:val="00E85D00"/>
    <w:rsid w:val="00E85DAE"/>
    <w:rsid w:val="00E864AE"/>
    <w:rsid w:val="00E864CE"/>
    <w:rsid w:val="00E86574"/>
    <w:rsid w:val="00E8667C"/>
    <w:rsid w:val="00E867DE"/>
    <w:rsid w:val="00E86ACC"/>
    <w:rsid w:val="00E86AD8"/>
    <w:rsid w:val="00E86B80"/>
    <w:rsid w:val="00E86BEE"/>
    <w:rsid w:val="00E86D2A"/>
    <w:rsid w:val="00E86EA5"/>
    <w:rsid w:val="00E87460"/>
    <w:rsid w:val="00E87502"/>
    <w:rsid w:val="00E87548"/>
    <w:rsid w:val="00E8775B"/>
    <w:rsid w:val="00E8796D"/>
    <w:rsid w:val="00E87990"/>
    <w:rsid w:val="00E87BF0"/>
    <w:rsid w:val="00E87D80"/>
    <w:rsid w:val="00E9003E"/>
    <w:rsid w:val="00E905B1"/>
    <w:rsid w:val="00E90654"/>
    <w:rsid w:val="00E90844"/>
    <w:rsid w:val="00E90E40"/>
    <w:rsid w:val="00E910EA"/>
    <w:rsid w:val="00E9126A"/>
    <w:rsid w:val="00E91385"/>
    <w:rsid w:val="00E91457"/>
    <w:rsid w:val="00E915C0"/>
    <w:rsid w:val="00E919EB"/>
    <w:rsid w:val="00E91C0F"/>
    <w:rsid w:val="00E91C81"/>
    <w:rsid w:val="00E92043"/>
    <w:rsid w:val="00E922F9"/>
    <w:rsid w:val="00E925E3"/>
    <w:rsid w:val="00E9276C"/>
    <w:rsid w:val="00E927A7"/>
    <w:rsid w:val="00E92B3B"/>
    <w:rsid w:val="00E92C1A"/>
    <w:rsid w:val="00E93159"/>
    <w:rsid w:val="00E938EC"/>
    <w:rsid w:val="00E93AE0"/>
    <w:rsid w:val="00E93B72"/>
    <w:rsid w:val="00E93DF4"/>
    <w:rsid w:val="00E9416D"/>
    <w:rsid w:val="00E9417A"/>
    <w:rsid w:val="00E948D2"/>
    <w:rsid w:val="00E9492B"/>
    <w:rsid w:val="00E9496B"/>
    <w:rsid w:val="00E949EB"/>
    <w:rsid w:val="00E94B77"/>
    <w:rsid w:val="00E95128"/>
    <w:rsid w:val="00E95179"/>
    <w:rsid w:val="00E958BD"/>
    <w:rsid w:val="00E96229"/>
    <w:rsid w:val="00E96279"/>
    <w:rsid w:val="00E967AE"/>
    <w:rsid w:val="00E968BB"/>
    <w:rsid w:val="00E96CA5"/>
    <w:rsid w:val="00E96E1C"/>
    <w:rsid w:val="00E96E23"/>
    <w:rsid w:val="00E96F79"/>
    <w:rsid w:val="00E97023"/>
    <w:rsid w:val="00E97049"/>
    <w:rsid w:val="00E971A8"/>
    <w:rsid w:val="00E97241"/>
    <w:rsid w:val="00E97428"/>
    <w:rsid w:val="00E97587"/>
    <w:rsid w:val="00E97940"/>
    <w:rsid w:val="00E97A09"/>
    <w:rsid w:val="00E97A9F"/>
    <w:rsid w:val="00E97F3F"/>
    <w:rsid w:val="00EA0124"/>
    <w:rsid w:val="00EA084D"/>
    <w:rsid w:val="00EA09BE"/>
    <w:rsid w:val="00EA0A2C"/>
    <w:rsid w:val="00EA108E"/>
    <w:rsid w:val="00EA11B7"/>
    <w:rsid w:val="00EA1508"/>
    <w:rsid w:val="00EA155B"/>
    <w:rsid w:val="00EA16FE"/>
    <w:rsid w:val="00EA1B45"/>
    <w:rsid w:val="00EA1C1F"/>
    <w:rsid w:val="00EA1D42"/>
    <w:rsid w:val="00EA1E06"/>
    <w:rsid w:val="00EA2094"/>
    <w:rsid w:val="00EA21CC"/>
    <w:rsid w:val="00EA234E"/>
    <w:rsid w:val="00EA236D"/>
    <w:rsid w:val="00EA28E4"/>
    <w:rsid w:val="00EA29A6"/>
    <w:rsid w:val="00EA2C34"/>
    <w:rsid w:val="00EA324D"/>
    <w:rsid w:val="00EA32D1"/>
    <w:rsid w:val="00EA32F1"/>
    <w:rsid w:val="00EA39DC"/>
    <w:rsid w:val="00EA3A13"/>
    <w:rsid w:val="00EA3AD7"/>
    <w:rsid w:val="00EA3D4C"/>
    <w:rsid w:val="00EA3E44"/>
    <w:rsid w:val="00EA4021"/>
    <w:rsid w:val="00EA436C"/>
    <w:rsid w:val="00EA43CD"/>
    <w:rsid w:val="00EA4A82"/>
    <w:rsid w:val="00EA4B31"/>
    <w:rsid w:val="00EA4E85"/>
    <w:rsid w:val="00EA50BA"/>
    <w:rsid w:val="00EA52A3"/>
    <w:rsid w:val="00EA53B6"/>
    <w:rsid w:val="00EA53CD"/>
    <w:rsid w:val="00EA5417"/>
    <w:rsid w:val="00EA54A9"/>
    <w:rsid w:val="00EA55DE"/>
    <w:rsid w:val="00EA5790"/>
    <w:rsid w:val="00EA5AE4"/>
    <w:rsid w:val="00EA5B1F"/>
    <w:rsid w:val="00EA5D83"/>
    <w:rsid w:val="00EA5E34"/>
    <w:rsid w:val="00EA5FCF"/>
    <w:rsid w:val="00EA6103"/>
    <w:rsid w:val="00EA6219"/>
    <w:rsid w:val="00EA63E7"/>
    <w:rsid w:val="00EA65EC"/>
    <w:rsid w:val="00EA7170"/>
    <w:rsid w:val="00EA7415"/>
    <w:rsid w:val="00EA7449"/>
    <w:rsid w:val="00EA7499"/>
    <w:rsid w:val="00EA775D"/>
    <w:rsid w:val="00EA78E0"/>
    <w:rsid w:val="00EA7D45"/>
    <w:rsid w:val="00EB0148"/>
    <w:rsid w:val="00EB01A5"/>
    <w:rsid w:val="00EB04BE"/>
    <w:rsid w:val="00EB056D"/>
    <w:rsid w:val="00EB05F8"/>
    <w:rsid w:val="00EB083C"/>
    <w:rsid w:val="00EB0CBA"/>
    <w:rsid w:val="00EB0EF6"/>
    <w:rsid w:val="00EB0F64"/>
    <w:rsid w:val="00EB13A2"/>
    <w:rsid w:val="00EB1616"/>
    <w:rsid w:val="00EB1756"/>
    <w:rsid w:val="00EB18B6"/>
    <w:rsid w:val="00EB1D1D"/>
    <w:rsid w:val="00EB208D"/>
    <w:rsid w:val="00EB2362"/>
    <w:rsid w:val="00EB24DB"/>
    <w:rsid w:val="00EB2560"/>
    <w:rsid w:val="00EB2909"/>
    <w:rsid w:val="00EB2CF6"/>
    <w:rsid w:val="00EB35DA"/>
    <w:rsid w:val="00EB36CE"/>
    <w:rsid w:val="00EB37FA"/>
    <w:rsid w:val="00EB3872"/>
    <w:rsid w:val="00EB3977"/>
    <w:rsid w:val="00EB3A15"/>
    <w:rsid w:val="00EB3B10"/>
    <w:rsid w:val="00EB3F57"/>
    <w:rsid w:val="00EB3FD5"/>
    <w:rsid w:val="00EB4057"/>
    <w:rsid w:val="00EB44AD"/>
    <w:rsid w:val="00EB4838"/>
    <w:rsid w:val="00EB4942"/>
    <w:rsid w:val="00EB49E4"/>
    <w:rsid w:val="00EB4A2E"/>
    <w:rsid w:val="00EB4BA9"/>
    <w:rsid w:val="00EB4C42"/>
    <w:rsid w:val="00EB4C76"/>
    <w:rsid w:val="00EB4E31"/>
    <w:rsid w:val="00EB5028"/>
    <w:rsid w:val="00EB5056"/>
    <w:rsid w:val="00EB5780"/>
    <w:rsid w:val="00EB59A9"/>
    <w:rsid w:val="00EB5D1B"/>
    <w:rsid w:val="00EB6138"/>
    <w:rsid w:val="00EB6829"/>
    <w:rsid w:val="00EB6978"/>
    <w:rsid w:val="00EB6B01"/>
    <w:rsid w:val="00EB6CA3"/>
    <w:rsid w:val="00EB71B4"/>
    <w:rsid w:val="00EB7480"/>
    <w:rsid w:val="00EB7685"/>
    <w:rsid w:val="00EB791C"/>
    <w:rsid w:val="00EB7AFA"/>
    <w:rsid w:val="00EB7E18"/>
    <w:rsid w:val="00EC0201"/>
    <w:rsid w:val="00EC0345"/>
    <w:rsid w:val="00EC0483"/>
    <w:rsid w:val="00EC0487"/>
    <w:rsid w:val="00EC07DD"/>
    <w:rsid w:val="00EC07E2"/>
    <w:rsid w:val="00EC0926"/>
    <w:rsid w:val="00EC0AB8"/>
    <w:rsid w:val="00EC0AE5"/>
    <w:rsid w:val="00EC0B19"/>
    <w:rsid w:val="00EC1147"/>
    <w:rsid w:val="00EC121E"/>
    <w:rsid w:val="00EC12BA"/>
    <w:rsid w:val="00EC181F"/>
    <w:rsid w:val="00EC1A9B"/>
    <w:rsid w:val="00EC1ADB"/>
    <w:rsid w:val="00EC1FCF"/>
    <w:rsid w:val="00EC21B8"/>
    <w:rsid w:val="00EC2271"/>
    <w:rsid w:val="00EC2484"/>
    <w:rsid w:val="00EC2499"/>
    <w:rsid w:val="00EC2517"/>
    <w:rsid w:val="00EC25E4"/>
    <w:rsid w:val="00EC2884"/>
    <w:rsid w:val="00EC2912"/>
    <w:rsid w:val="00EC2BB7"/>
    <w:rsid w:val="00EC3316"/>
    <w:rsid w:val="00EC336B"/>
    <w:rsid w:val="00EC3385"/>
    <w:rsid w:val="00EC33FE"/>
    <w:rsid w:val="00EC3CEB"/>
    <w:rsid w:val="00EC4322"/>
    <w:rsid w:val="00EC4379"/>
    <w:rsid w:val="00EC4534"/>
    <w:rsid w:val="00EC4595"/>
    <w:rsid w:val="00EC4710"/>
    <w:rsid w:val="00EC4BFF"/>
    <w:rsid w:val="00EC4C3B"/>
    <w:rsid w:val="00EC4E39"/>
    <w:rsid w:val="00EC4E53"/>
    <w:rsid w:val="00EC52AB"/>
    <w:rsid w:val="00EC56A4"/>
    <w:rsid w:val="00EC56C9"/>
    <w:rsid w:val="00EC572A"/>
    <w:rsid w:val="00EC5842"/>
    <w:rsid w:val="00EC59FB"/>
    <w:rsid w:val="00EC5AAD"/>
    <w:rsid w:val="00EC5BD3"/>
    <w:rsid w:val="00EC5C89"/>
    <w:rsid w:val="00EC5D6F"/>
    <w:rsid w:val="00EC5EE2"/>
    <w:rsid w:val="00EC61D8"/>
    <w:rsid w:val="00EC6429"/>
    <w:rsid w:val="00EC65B8"/>
    <w:rsid w:val="00EC662E"/>
    <w:rsid w:val="00EC67C8"/>
    <w:rsid w:val="00EC6CD6"/>
    <w:rsid w:val="00EC6CE7"/>
    <w:rsid w:val="00EC6D02"/>
    <w:rsid w:val="00EC722F"/>
    <w:rsid w:val="00EC746A"/>
    <w:rsid w:val="00EC7B86"/>
    <w:rsid w:val="00EC7E0B"/>
    <w:rsid w:val="00EC7FD8"/>
    <w:rsid w:val="00ED00CA"/>
    <w:rsid w:val="00ED03C3"/>
    <w:rsid w:val="00ED0723"/>
    <w:rsid w:val="00ED0BA5"/>
    <w:rsid w:val="00ED0D94"/>
    <w:rsid w:val="00ED0E6E"/>
    <w:rsid w:val="00ED130C"/>
    <w:rsid w:val="00ED152C"/>
    <w:rsid w:val="00ED19D2"/>
    <w:rsid w:val="00ED1BB0"/>
    <w:rsid w:val="00ED1D92"/>
    <w:rsid w:val="00ED1FDA"/>
    <w:rsid w:val="00ED2064"/>
    <w:rsid w:val="00ED2295"/>
    <w:rsid w:val="00ED2452"/>
    <w:rsid w:val="00ED247E"/>
    <w:rsid w:val="00ED2690"/>
    <w:rsid w:val="00ED288D"/>
    <w:rsid w:val="00ED2AD7"/>
    <w:rsid w:val="00ED2CA1"/>
    <w:rsid w:val="00ED2D68"/>
    <w:rsid w:val="00ED2DDF"/>
    <w:rsid w:val="00ED2F86"/>
    <w:rsid w:val="00ED3136"/>
    <w:rsid w:val="00ED351B"/>
    <w:rsid w:val="00ED3557"/>
    <w:rsid w:val="00ED3566"/>
    <w:rsid w:val="00ED35A8"/>
    <w:rsid w:val="00ED3681"/>
    <w:rsid w:val="00ED37E7"/>
    <w:rsid w:val="00ED39FC"/>
    <w:rsid w:val="00ED3EED"/>
    <w:rsid w:val="00ED3F05"/>
    <w:rsid w:val="00ED401A"/>
    <w:rsid w:val="00ED4494"/>
    <w:rsid w:val="00ED4554"/>
    <w:rsid w:val="00ED45B1"/>
    <w:rsid w:val="00ED485A"/>
    <w:rsid w:val="00ED48F9"/>
    <w:rsid w:val="00ED490A"/>
    <w:rsid w:val="00ED4EBD"/>
    <w:rsid w:val="00ED4F4A"/>
    <w:rsid w:val="00ED513C"/>
    <w:rsid w:val="00ED5532"/>
    <w:rsid w:val="00ED5855"/>
    <w:rsid w:val="00ED5948"/>
    <w:rsid w:val="00ED5F71"/>
    <w:rsid w:val="00ED6400"/>
    <w:rsid w:val="00ED6487"/>
    <w:rsid w:val="00ED65E3"/>
    <w:rsid w:val="00ED6B6A"/>
    <w:rsid w:val="00ED6CA7"/>
    <w:rsid w:val="00ED7150"/>
    <w:rsid w:val="00ED75CF"/>
    <w:rsid w:val="00ED76C4"/>
    <w:rsid w:val="00ED779A"/>
    <w:rsid w:val="00ED79ED"/>
    <w:rsid w:val="00ED7AA6"/>
    <w:rsid w:val="00ED7BE1"/>
    <w:rsid w:val="00ED7CB4"/>
    <w:rsid w:val="00EE0034"/>
    <w:rsid w:val="00EE0552"/>
    <w:rsid w:val="00EE05D4"/>
    <w:rsid w:val="00EE08A9"/>
    <w:rsid w:val="00EE08C4"/>
    <w:rsid w:val="00EE0ADC"/>
    <w:rsid w:val="00EE0D44"/>
    <w:rsid w:val="00EE0DFD"/>
    <w:rsid w:val="00EE0DFE"/>
    <w:rsid w:val="00EE12D8"/>
    <w:rsid w:val="00EE13CC"/>
    <w:rsid w:val="00EE1728"/>
    <w:rsid w:val="00EE23A9"/>
    <w:rsid w:val="00EE2559"/>
    <w:rsid w:val="00EE2AFC"/>
    <w:rsid w:val="00EE2C08"/>
    <w:rsid w:val="00EE30A3"/>
    <w:rsid w:val="00EE30BA"/>
    <w:rsid w:val="00EE31F1"/>
    <w:rsid w:val="00EE32DC"/>
    <w:rsid w:val="00EE38BC"/>
    <w:rsid w:val="00EE39BA"/>
    <w:rsid w:val="00EE3E11"/>
    <w:rsid w:val="00EE3E79"/>
    <w:rsid w:val="00EE3EC6"/>
    <w:rsid w:val="00EE416B"/>
    <w:rsid w:val="00EE41BB"/>
    <w:rsid w:val="00EE4287"/>
    <w:rsid w:val="00EE4635"/>
    <w:rsid w:val="00EE4643"/>
    <w:rsid w:val="00EE4681"/>
    <w:rsid w:val="00EE4684"/>
    <w:rsid w:val="00EE46E0"/>
    <w:rsid w:val="00EE491B"/>
    <w:rsid w:val="00EE4921"/>
    <w:rsid w:val="00EE4B27"/>
    <w:rsid w:val="00EE4D9E"/>
    <w:rsid w:val="00EE510D"/>
    <w:rsid w:val="00EE5220"/>
    <w:rsid w:val="00EE539F"/>
    <w:rsid w:val="00EE5480"/>
    <w:rsid w:val="00EE558E"/>
    <w:rsid w:val="00EE5AAC"/>
    <w:rsid w:val="00EE5B95"/>
    <w:rsid w:val="00EE5D28"/>
    <w:rsid w:val="00EE5EC0"/>
    <w:rsid w:val="00EE6555"/>
    <w:rsid w:val="00EE65F0"/>
    <w:rsid w:val="00EE66D6"/>
    <w:rsid w:val="00EE66F1"/>
    <w:rsid w:val="00EE6939"/>
    <w:rsid w:val="00EE725D"/>
    <w:rsid w:val="00EE7560"/>
    <w:rsid w:val="00EE764F"/>
    <w:rsid w:val="00EE76A5"/>
    <w:rsid w:val="00EE78A6"/>
    <w:rsid w:val="00EE7A99"/>
    <w:rsid w:val="00EE7A9D"/>
    <w:rsid w:val="00EE7DAA"/>
    <w:rsid w:val="00EE7E9C"/>
    <w:rsid w:val="00EF032C"/>
    <w:rsid w:val="00EF046A"/>
    <w:rsid w:val="00EF0757"/>
    <w:rsid w:val="00EF07C0"/>
    <w:rsid w:val="00EF0B0C"/>
    <w:rsid w:val="00EF0BE2"/>
    <w:rsid w:val="00EF0C06"/>
    <w:rsid w:val="00EF0C07"/>
    <w:rsid w:val="00EF0D40"/>
    <w:rsid w:val="00EF1064"/>
    <w:rsid w:val="00EF1071"/>
    <w:rsid w:val="00EF13D9"/>
    <w:rsid w:val="00EF1497"/>
    <w:rsid w:val="00EF157F"/>
    <w:rsid w:val="00EF1845"/>
    <w:rsid w:val="00EF1A52"/>
    <w:rsid w:val="00EF1C66"/>
    <w:rsid w:val="00EF1C6B"/>
    <w:rsid w:val="00EF1EE8"/>
    <w:rsid w:val="00EF20A4"/>
    <w:rsid w:val="00EF2330"/>
    <w:rsid w:val="00EF24C2"/>
    <w:rsid w:val="00EF250B"/>
    <w:rsid w:val="00EF2739"/>
    <w:rsid w:val="00EF273B"/>
    <w:rsid w:val="00EF27E0"/>
    <w:rsid w:val="00EF288D"/>
    <w:rsid w:val="00EF29A2"/>
    <w:rsid w:val="00EF2D7A"/>
    <w:rsid w:val="00EF2E71"/>
    <w:rsid w:val="00EF2F5E"/>
    <w:rsid w:val="00EF2FB5"/>
    <w:rsid w:val="00EF31A8"/>
    <w:rsid w:val="00EF32D0"/>
    <w:rsid w:val="00EF33F7"/>
    <w:rsid w:val="00EF3418"/>
    <w:rsid w:val="00EF34A3"/>
    <w:rsid w:val="00EF35DE"/>
    <w:rsid w:val="00EF3916"/>
    <w:rsid w:val="00EF3A99"/>
    <w:rsid w:val="00EF3B98"/>
    <w:rsid w:val="00EF3D2C"/>
    <w:rsid w:val="00EF4078"/>
    <w:rsid w:val="00EF496C"/>
    <w:rsid w:val="00EF4AE9"/>
    <w:rsid w:val="00EF4D4D"/>
    <w:rsid w:val="00EF4EC8"/>
    <w:rsid w:val="00EF53D6"/>
    <w:rsid w:val="00EF557A"/>
    <w:rsid w:val="00EF55F8"/>
    <w:rsid w:val="00EF5715"/>
    <w:rsid w:val="00EF57E2"/>
    <w:rsid w:val="00EF593F"/>
    <w:rsid w:val="00EF5945"/>
    <w:rsid w:val="00EF5B2F"/>
    <w:rsid w:val="00EF5FAC"/>
    <w:rsid w:val="00EF610B"/>
    <w:rsid w:val="00EF6400"/>
    <w:rsid w:val="00EF641A"/>
    <w:rsid w:val="00EF65F2"/>
    <w:rsid w:val="00EF67D3"/>
    <w:rsid w:val="00EF67EB"/>
    <w:rsid w:val="00EF69E9"/>
    <w:rsid w:val="00EF6FF8"/>
    <w:rsid w:val="00EF7898"/>
    <w:rsid w:val="00EF79B9"/>
    <w:rsid w:val="00EF7DA1"/>
    <w:rsid w:val="00F00468"/>
    <w:rsid w:val="00F004FC"/>
    <w:rsid w:val="00F00AC3"/>
    <w:rsid w:val="00F00B71"/>
    <w:rsid w:val="00F00D84"/>
    <w:rsid w:val="00F01152"/>
    <w:rsid w:val="00F01432"/>
    <w:rsid w:val="00F016A4"/>
    <w:rsid w:val="00F01A0E"/>
    <w:rsid w:val="00F01A16"/>
    <w:rsid w:val="00F01D22"/>
    <w:rsid w:val="00F021B1"/>
    <w:rsid w:val="00F0225F"/>
    <w:rsid w:val="00F02320"/>
    <w:rsid w:val="00F0282B"/>
    <w:rsid w:val="00F02A87"/>
    <w:rsid w:val="00F02B13"/>
    <w:rsid w:val="00F02D24"/>
    <w:rsid w:val="00F02EC5"/>
    <w:rsid w:val="00F0332B"/>
    <w:rsid w:val="00F03382"/>
    <w:rsid w:val="00F03820"/>
    <w:rsid w:val="00F03A87"/>
    <w:rsid w:val="00F045C8"/>
    <w:rsid w:val="00F045FA"/>
    <w:rsid w:val="00F0476A"/>
    <w:rsid w:val="00F04B49"/>
    <w:rsid w:val="00F04B92"/>
    <w:rsid w:val="00F05032"/>
    <w:rsid w:val="00F05311"/>
    <w:rsid w:val="00F0539F"/>
    <w:rsid w:val="00F054A4"/>
    <w:rsid w:val="00F058A7"/>
    <w:rsid w:val="00F05E3F"/>
    <w:rsid w:val="00F05FA2"/>
    <w:rsid w:val="00F06646"/>
    <w:rsid w:val="00F066DC"/>
    <w:rsid w:val="00F06B2E"/>
    <w:rsid w:val="00F073FD"/>
    <w:rsid w:val="00F079BE"/>
    <w:rsid w:val="00F079E4"/>
    <w:rsid w:val="00F07ACF"/>
    <w:rsid w:val="00F07B9B"/>
    <w:rsid w:val="00F07C8C"/>
    <w:rsid w:val="00F07F7D"/>
    <w:rsid w:val="00F104D3"/>
    <w:rsid w:val="00F1056C"/>
    <w:rsid w:val="00F106F8"/>
    <w:rsid w:val="00F10775"/>
    <w:rsid w:val="00F108D8"/>
    <w:rsid w:val="00F10BD0"/>
    <w:rsid w:val="00F10EFC"/>
    <w:rsid w:val="00F10F8E"/>
    <w:rsid w:val="00F1147B"/>
    <w:rsid w:val="00F11796"/>
    <w:rsid w:val="00F1187B"/>
    <w:rsid w:val="00F11BB3"/>
    <w:rsid w:val="00F11D66"/>
    <w:rsid w:val="00F11DAC"/>
    <w:rsid w:val="00F11F74"/>
    <w:rsid w:val="00F12177"/>
    <w:rsid w:val="00F1277B"/>
    <w:rsid w:val="00F12C6B"/>
    <w:rsid w:val="00F12E3C"/>
    <w:rsid w:val="00F131B8"/>
    <w:rsid w:val="00F13259"/>
    <w:rsid w:val="00F1337F"/>
    <w:rsid w:val="00F133A8"/>
    <w:rsid w:val="00F1345C"/>
    <w:rsid w:val="00F1352D"/>
    <w:rsid w:val="00F135C2"/>
    <w:rsid w:val="00F13770"/>
    <w:rsid w:val="00F13CE4"/>
    <w:rsid w:val="00F13CFB"/>
    <w:rsid w:val="00F141F0"/>
    <w:rsid w:val="00F143D1"/>
    <w:rsid w:val="00F14531"/>
    <w:rsid w:val="00F14609"/>
    <w:rsid w:val="00F14827"/>
    <w:rsid w:val="00F149A1"/>
    <w:rsid w:val="00F15034"/>
    <w:rsid w:val="00F151B2"/>
    <w:rsid w:val="00F15494"/>
    <w:rsid w:val="00F156CC"/>
    <w:rsid w:val="00F15A9B"/>
    <w:rsid w:val="00F15E10"/>
    <w:rsid w:val="00F16474"/>
    <w:rsid w:val="00F165D3"/>
    <w:rsid w:val="00F1666A"/>
    <w:rsid w:val="00F1672B"/>
    <w:rsid w:val="00F1679D"/>
    <w:rsid w:val="00F168AA"/>
    <w:rsid w:val="00F168D6"/>
    <w:rsid w:val="00F169FF"/>
    <w:rsid w:val="00F16CA0"/>
    <w:rsid w:val="00F16FC5"/>
    <w:rsid w:val="00F17145"/>
    <w:rsid w:val="00F176CF"/>
    <w:rsid w:val="00F177CD"/>
    <w:rsid w:val="00F17884"/>
    <w:rsid w:val="00F17EAC"/>
    <w:rsid w:val="00F205EC"/>
    <w:rsid w:val="00F209DB"/>
    <w:rsid w:val="00F20F6B"/>
    <w:rsid w:val="00F211D4"/>
    <w:rsid w:val="00F2129F"/>
    <w:rsid w:val="00F2176F"/>
    <w:rsid w:val="00F2192D"/>
    <w:rsid w:val="00F21ACE"/>
    <w:rsid w:val="00F21B2C"/>
    <w:rsid w:val="00F21B81"/>
    <w:rsid w:val="00F21F20"/>
    <w:rsid w:val="00F21F50"/>
    <w:rsid w:val="00F2228D"/>
    <w:rsid w:val="00F229A7"/>
    <w:rsid w:val="00F22B33"/>
    <w:rsid w:val="00F22C5A"/>
    <w:rsid w:val="00F230A4"/>
    <w:rsid w:val="00F23277"/>
    <w:rsid w:val="00F23C6E"/>
    <w:rsid w:val="00F23E80"/>
    <w:rsid w:val="00F23FE6"/>
    <w:rsid w:val="00F24211"/>
    <w:rsid w:val="00F2482D"/>
    <w:rsid w:val="00F24844"/>
    <w:rsid w:val="00F248BD"/>
    <w:rsid w:val="00F248EC"/>
    <w:rsid w:val="00F248FA"/>
    <w:rsid w:val="00F24CC0"/>
    <w:rsid w:val="00F24DC2"/>
    <w:rsid w:val="00F25013"/>
    <w:rsid w:val="00F25145"/>
    <w:rsid w:val="00F2527D"/>
    <w:rsid w:val="00F2534D"/>
    <w:rsid w:val="00F254A7"/>
    <w:rsid w:val="00F25727"/>
    <w:rsid w:val="00F257FC"/>
    <w:rsid w:val="00F26063"/>
    <w:rsid w:val="00F2608E"/>
    <w:rsid w:val="00F2628B"/>
    <w:rsid w:val="00F2641F"/>
    <w:rsid w:val="00F26455"/>
    <w:rsid w:val="00F265E1"/>
    <w:rsid w:val="00F26D25"/>
    <w:rsid w:val="00F275B4"/>
    <w:rsid w:val="00F2769B"/>
    <w:rsid w:val="00F277C8"/>
    <w:rsid w:val="00F27B22"/>
    <w:rsid w:val="00F27B97"/>
    <w:rsid w:val="00F27F4F"/>
    <w:rsid w:val="00F30039"/>
    <w:rsid w:val="00F309D1"/>
    <w:rsid w:val="00F30A71"/>
    <w:rsid w:val="00F311FC"/>
    <w:rsid w:val="00F31289"/>
    <w:rsid w:val="00F312FC"/>
    <w:rsid w:val="00F31C16"/>
    <w:rsid w:val="00F31D6E"/>
    <w:rsid w:val="00F31EC0"/>
    <w:rsid w:val="00F31FCF"/>
    <w:rsid w:val="00F323B2"/>
    <w:rsid w:val="00F323E9"/>
    <w:rsid w:val="00F325C4"/>
    <w:rsid w:val="00F329B2"/>
    <w:rsid w:val="00F32B35"/>
    <w:rsid w:val="00F32B51"/>
    <w:rsid w:val="00F32E1A"/>
    <w:rsid w:val="00F330D6"/>
    <w:rsid w:val="00F33144"/>
    <w:rsid w:val="00F33173"/>
    <w:rsid w:val="00F3322C"/>
    <w:rsid w:val="00F33261"/>
    <w:rsid w:val="00F33392"/>
    <w:rsid w:val="00F3354A"/>
    <w:rsid w:val="00F338A3"/>
    <w:rsid w:val="00F33954"/>
    <w:rsid w:val="00F33F4C"/>
    <w:rsid w:val="00F34227"/>
    <w:rsid w:val="00F348CD"/>
    <w:rsid w:val="00F34AC7"/>
    <w:rsid w:val="00F34B6A"/>
    <w:rsid w:val="00F34C74"/>
    <w:rsid w:val="00F34CDC"/>
    <w:rsid w:val="00F35284"/>
    <w:rsid w:val="00F35579"/>
    <w:rsid w:val="00F356EF"/>
    <w:rsid w:val="00F358EA"/>
    <w:rsid w:val="00F35CC8"/>
    <w:rsid w:val="00F36164"/>
    <w:rsid w:val="00F3633D"/>
    <w:rsid w:val="00F3640E"/>
    <w:rsid w:val="00F36501"/>
    <w:rsid w:val="00F36A49"/>
    <w:rsid w:val="00F36AB0"/>
    <w:rsid w:val="00F37786"/>
    <w:rsid w:val="00F37A21"/>
    <w:rsid w:val="00F37A5B"/>
    <w:rsid w:val="00F37AAE"/>
    <w:rsid w:val="00F37D7B"/>
    <w:rsid w:val="00F37E8C"/>
    <w:rsid w:val="00F37E8D"/>
    <w:rsid w:val="00F37EA8"/>
    <w:rsid w:val="00F40177"/>
    <w:rsid w:val="00F4034E"/>
    <w:rsid w:val="00F4042F"/>
    <w:rsid w:val="00F404FA"/>
    <w:rsid w:val="00F40707"/>
    <w:rsid w:val="00F40B8E"/>
    <w:rsid w:val="00F40CBB"/>
    <w:rsid w:val="00F40E20"/>
    <w:rsid w:val="00F40E68"/>
    <w:rsid w:val="00F40F0A"/>
    <w:rsid w:val="00F410B3"/>
    <w:rsid w:val="00F4111C"/>
    <w:rsid w:val="00F41135"/>
    <w:rsid w:val="00F41480"/>
    <w:rsid w:val="00F416FB"/>
    <w:rsid w:val="00F418DE"/>
    <w:rsid w:val="00F41EAA"/>
    <w:rsid w:val="00F41F0E"/>
    <w:rsid w:val="00F41F7E"/>
    <w:rsid w:val="00F41FD7"/>
    <w:rsid w:val="00F422AD"/>
    <w:rsid w:val="00F4234A"/>
    <w:rsid w:val="00F4239F"/>
    <w:rsid w:val="00F424FB"/>
    <w:rsid w:val="00F4257C"/>
    <w:rsid w:val="00F425E1"/>
    <w:rsid w:val="00F4272B"/>
    <w:rsid w:val="00F427FA"/>
    <w:rsid w:val="00F42973"/>
    <w:rsid w:val="00F42BA6"/>
    <w:rsid w:val="00F42C5B"/>
    <w:rsid w:val="00F42F2B"/>
    <w:rsid w:val="00F42F73"/>
    <w:rsid w:val="00F432FA"/>
    <w:rsid w:val="00F433C1"/>
    <w:rsid w:val="00F43565"/>
    <w:rsid w:val="00F435A3"/>
    <w:rsid w:val="00F436F7"/>
    <w:rsid w:val="00F43777"/>
    <w:rsid w:val="00F43973"/>
    <w:rsid w:val="00F43FF4"/>
    <w:rsid w:val="00F44001"/>
    <w:rsid w:val="00F44387"/>
    <w:rsid w:val="00F44D31"/>
    <w:rsid w:val="00F44E9E"/>
    <w:rsid w:val="00F45095"/>
    <w:rsid w:val="00F45236"/>
    <w:rsid w:val="00F45279"/>
    <w:rsid w:val="00F4529E"/>
    <w:rsid w:val="00F45581"/>
    <w:rsid w:val="00F4562F"/>
    <w:rsid w:val="00F45C32"/>
    <w:rsid w:val="00F46118"/>
    <w:rsid w:val="00F4622C"/>
    <w:rsid w:val="00F46466"/>
    <w:rsid w:val="00F46752"/>
    <w:rsid w:val="00F46BAA"/>
    <w:rsid w:val="00F46BB0"/>
    <w:rsid w:val="00F47C5B"/>
    <w:rsid w:val="00F47FDE"/>
    <w:rsid w:val="00F50159"/>
    <w:rsid w:val="00F50167"/>
    <w:rsid w:val="00F509CB"/>
    <w:rsid w:val="00F50BB8"/>
    <w:rsid w:val="00F50BF8"/>
    <w:rsid w:val="00F50C2C"/>
    <w:rsid w:val="00F50F09"/>
    <w:rsid w:val="00F510B3"/>
    <w:rsid w:val="00F5130D"/>
    <w:rsid w:val="00F51967"/>
    <w:rsid w:val="00F519DB"/>
    <w:rsid w:val="00F51F22"/>
    <w:rsid w:val="00F51FF2"/>
    <w:rsid w:val="00F5213C"/>
    <w:rsid w:val="00F52328"/>
    <w:rsid w:val="00F526FE"/>
    <w:rsid w:val="00F52783"/>
    <w:rsid w:val="00F527ED"/>
    <w:rsid w:val="00F52816"/>
    <w:rsid w:val="00F52A84"/>
    <w:rsid w:val="00F52F2C"/>
    <w:rsid w:val="00F52FBC"/>
    <w:rsid w:val="00F5334C"/>
    <w:rsid w:val="00F53409"/>
    <w:rsid w:val="00F534BB"/>
    <w:rsid w:val="00F53762"/>
    <w:rsid w:val="00F53D0D"/>
    <w:rsid w:val="00F54222"/>
    <w:rsid w:val="00F5423C"/>
    <w:rsid w:val="00F54297"/>
    <w:rsid w:val="00F542B7"/>
    <w:rsid w:val="00F545A6"/>
    <w:rsid w:val="00F54782"/>
    <w:rsid w:val="00F54890"/>
    <w:rsid w:val="00F54BA3"/>
    <w:rsid w:val="00F54E3D"/>
    <w:rsid w:val="00F550C7"/>
    <w:rsid w:val="00F5521A"/>
    <w:rsid w:val="00F5531C"/>
    <w:rsid w:val="00F553EF"/>
    <w:rsid w:val="00F55611"/>
    <w:rsid w:val="00F55734"/>
    <w:rsid w:val="00F55BA8"/>
    <w:rsid w:val="00F55BB1"/>
    <w:rsid w:val="00F55D9C"/>
    <w:rsid w:val="00F560E6"/>
    <w:rsid w:val="00F56396"/>
    <w:rsid w:val="00F5640E"/>
    <w:rsid w:val="00F564F2"/>
    <w:rsid w:val="00F5656F"/>
    <w:rsid w:val="00F567D8"/>
    <w:rsid w:val="00F5682F"/>
    <w:rsid w:val="00F56CBF"/>
    <w:rsid w:val="00F56D15"/>
    <w:rsid w:val="00F5700F"/>
    <w:rsid w:val="00F5704C"/>
    <w:rsid w:val="00F57144"/>
    <w:rsid w:val="00F573D5"/>
    <w:rsid w:val="00F57413"/>
    <w:rsid w:val="00F5752A"/>
    <w:rsid w:val="00F57777"/>
    <w:rsid w:val="00F577B2"/>
    <w:rsid w:val="00F578C1"/>
    <w:rsid w:val="00F57CF6"/>
    <w:rsid w:val="00F57DD5"/>
    <w:rsid w:val="00F602D2"/>
    <w:rsid w:val="00F603BA"/>
    <w:rsid w:val="00F604A2"/>
    <w:rsid w:val="00F606A7"/>
    <w:rsid w:val="00F607A8"/>
    <w:rsid w:val="00F60908"/>
    <w:rsid w:val="00F60D55"/>
    <w:rsid w:val="00F60F15"/>
    <w:rsid w:val="00F60FC5"/>
    <w:rsid w:val="00F61032"/>
    <w:rsid w:val="00F61170"/>
    <w:rsid w:val="00F6137B"/>
    <w:rsid w:val="00F6149E"/>
    <w:rsid w:val="00F614E2"/>
    <w:rsid w:val="00F616FD"/>
    <w:rsid w:val="00F61885"/>
    <w:rsid w:val="00F618DB"/>
    <w:rsid w:val="00F61961"/>
    <w:rsid w:val="00F6200C"/>
    <w:rsid w:val="00F620A9"/>
    <w:rsid w:val="00F621B4"/>
    <w:rsid w:val="00F6281F"/>
    <w:rsid w:val="00F6289C"/>
    <w:rsid w:val="00F62916"/>
    <w:rsid w:val="00F62986"/>
    <w:rsid w:val="00F62D02"/>
    <w:rsid w:val="00F62EB5"/>
    <w:rsid w:val="00F62FBB"/>
    <w:rsid w:val="00F63182"/>
    <w:rsid w:val="00F63205"/>
    <w:rsid w:val="00F6356F"/>
    <w:rsid w:val="00F63634"/>
    <w:rsid w:val="00F63797"/>
    <w:rsid w:val="00F63B84"/>
    <w:rsid w:val="00F643E0"/>
    <w:rsid w:val="00F645B4"/>
    <w:rsid w:val="00F6461A"/>
    <w:rsid w:val="00F6471D"/>
    <w:rsid w:val="00F647B1"/>
    <w:rsid w:val="00F65218"/>
    <w:rsid w:val="00F656CE"/>
    <w:rsid w:val="00F65875"/>
    <w:rsid w:val="00F658C1"/>
    <w:rsid w:val="00F65B81"/>
    <w:rsid w:val="00F65C18"/>
    <w:rsid w:val="00F65D8D"/>
    <w:rsid w:val="00F65E84"/>
    <w:rsid w:val="00F65EAD"/>
    <w:rsid w:val="00F65EB6"/>
    <w:rsid w:val="00F65EEA"/>
    <w:rsid w:val="00F66304"/>
    <w:rsid w:val="00F664FB"/>
    <w:rsid w:val="00F665C6"/>
    <w:rsid w:val="00F66A8B"/>
    <w:rsid w:val="00F66CB0"/>
    <w:rsid w:val="00F66EDF"/>
    <w:rsid w:val="00F66EEB"/>
    <w:rsid w:val="00F6704B"/>
    <w:rsid w:val="00F671C1"/>
    <w:rsid w:val="00F67399"/>
    <w:rsid w:val="00F6739F"/>
    <w:rsid w:val="00F67626"/>
    <w:rsid w:val="00F6770E"/>
    <w:rsid w:val="00F67C24"/>
    <w:rsid w:val="00F67DFF"/>
    <w:rsid w:val="00F67FB2"/>
    <w:rsid w:val="00F701DB"/>
    <w:rsid w:val="00F701FE"/>
    <w:rsid w:val="00F703E3"/>
    <w:rsid w:val="00F704B8"/>
    <w:rsid w:val="00F70585"/>
    <w:rsid w:val="00F707C0"/>
    <w:rsid w:val="00F708B6"/>
    <w:rsid w:val="00F70A8A"/>
    <w:rsid w:val="00F70ABA"/>
    <w:rsid w:val="00F70B6E"/>
    <w:rsid w:val="00F70F84"/>
    <w:rsid w:val="00F7128F"/>
    <w:rsid w:val="00F713B1"/>
    <w:rsid w:val="00F71460"/>
    <w:rsid w:val="00F714C8"/>
    <w:rsid w:val="00F717D7"/>
    <w:rsid w:val="00F71A5E"/>
    <w:rsid w:val="00F71B2A"/>
    <w:rsid w:val="00F71B9F"/>
    <w:rsid w:val="00F71DEA"/>
    <w:rsid w:val="00F71EA0"/>
    <w:rsid w:val="00F72086"/>
    <w:rsid w:val="00F725D5"/>
    <w:rsid w:val="00F729B8"/>
    <w:rsid w:val="00F72E17"/>
    <w:rsid w:val="00F7304C"/>
    <w:rsid w:val="00F731E4"/>
    <w:rsid w:val="00F73281"/>
    <w:rsid w:val="00F73317"/>
    <w:rsid w:val="00F73337"/>
    <w:rsid w:val="00F7344E"/>
    <w:rsid w:val="00F7353B"/>
    <w:rsid w:val="00F73564"/>
    <w:rsid w:val="00F73E9F"/>
    <w:rsid w:val="00F74295"/>
    <w:rsid w:val="00F742D2"/>
    <w:rsid w:val="00F74527"/>
    <w:rsid w:val="00F74A8B"/>
    <w:rsid w:val="00F74BFB"/>
    <w:rsid w:val="00F74E5D"/>
    <w:rsid w:val="00F74ED3"/>
    <w:rsid w:val="00F74F06"/>
    <w:rsid w:val="00F7538D"/>
    <w:rsid w:val="00F75455"/>
    <w:rsid w:val="00F75565"/>
    <w:rsid w:val="00F75A58"/>
    <w:rsid w:val="00F75AA3"/>
    <w:rsid w:val="00F75C47"/>
    <w:rsid w:val="00F75E71"/>
    <w:rsid w:val="00F75FBC"/>
    <w:rsid w:val="00F7634E"/>
    <w:rsid w:val="00F7639C"/>
    <w:rsid w:val="00F764EC"/>
    <w:rsid w:val="00F7691F"/>
    <w:rsid w:val="00F76961"/>
    <w:rsid w:val="00F76AD7"/>
    <w:rsid w:val="00F7718F"/>
    <w:rsid w:val="00F771D7"/>
    <w:rsid w:val="00F77380"/>
    <w:rsid w:val="00F775F5"/>
    <w:rsid w:val="00F77A5A"/>
    <w:rsid w:val="00F77B5E"/>
    <w:rsid w:val="00F77D7F"/>
    <w:rsid w:val="00F8020C"/>
    <w:rsid w:val="00F8056B"/>
    <w:rsid w:val="00F805BB"/>
    <w:rsid w:val="00F806E8"/>
    <w:rsid w:val="00F808DE"/>
    <w:rsid w:val="00F809C0"/>
    <w:rsid w:val="00F80B38"/>
    <w:rsid w:val="00F80C94"/>
    <w:rsid w:val="00F810ED"/>
    <w:rsid w:val="00F812BD"/>
    <w:rsid w:val="00F813B4"/>
    <w:rsid w:val="00F817D2"/>
    <w:rsid w:val="00F81813"/>
    <w:rsid w:val="00F81901"/>
    <w:rsid w:val="00F81A1C"/>
    <w:rsid w:val="00F81DE8"/>
    <w:rsid w:val="00F82035"/>
    <w:rsid w:val="00F823AE"/>
    <w:rsid w:val="00F82476"/>
    <w:rsid w:val="00F82763"/>
    <w:rsid w:val="00F827CB"/>
    <w:rsid w:val="00F82C07"/>
    <w:rsid w:val="00F82E95"/>
    <w:rsid w:val="00F830B3"/>
    <w:rsid w:val="00F8318A"/>
    <w:rsid w:val="00F83550"/>
    <w:rsid w:val="00F8385A"/>
    <w:rsid w:val="00F83A1C"/>
    <w:rsid w:val="00F83A51"/>
    <w:rsid w:val="00F83A6F"/>
    <w:rsid w:val="00F83B0B"/>
    <w:rsid w:val="00F83C34"/>
    <w:rsid w:val="00F83D30"/>
    <w:rsid w:val="00F840C8"/>
    <w:rsid w:val="00F84437"/>
    <w:rsid w:val="00F8464C"/>
    <w:rsid w:val="00F84815"/>
    <w:rsid w:val="00F84833"/>
    <w:rsid w:val="00F84EAF"/>
    <w:rsid w:val="00F8533F"/>
    <w:rsid w:val="00F85D3D"/>
    <w:rsid w:val="00F85F53"/>
    <w:rsid w:val="00F85FB9"/>
    <w:rsid w:val="00F86099"/>
    <w:rsid w:val="00F8610C"/>
    <w:rsid w:val="00F86246"/>
    <w:rsid w:val="00F86356"/>
    <w:rsid w:val="00F8635B"/>
    <w:rsid w:val="00F86416"/>
    <w:rsid w:val="00F865EF"/>
    <w:rsid w:val="00F867BA"/>
    <w:rsid w:val="00F86909"/>
    <w:rsid w:val="00F86AAA"/>
    <w:rsid w:val="00F86BB5"/>
    <w:rsid w:val="00F86BED"/>
    <w:rsid w:val="00F86C53"/>
    <w:rsid w:val="00F86C6C"/>
    <w:rsid w:val="00F870A2"/>
    <w:rsid w:val="00F87809"/>
    <w:rsid w:val="00F87949"/>
    <w:rsid w:val="00F87968"/>
    <w:rsid w:val="00F87F3D"/>
    <w:rsid w:val="00F906E3"/>
    <w:rsid w:val="00F90768"/>
    <w:rsid w:val="00F9096B"/>
    <w:rsid w:val="00F90A44"/>
    <w:rsid w:val="00F90B43"/>
    <w:rsid w:val="00F90EAF"/>
    <w:rsid w:val="00F910F6"/>
    <w:rsid w:val="00F9125C"/>
    <w:rsid w:val="00F9143D"/>
    <w:rsid w:val="00F91447"/>
    <w:rsid w:val="00F917E3"/>
    <w:rsid w:val="00F9180A"/>
    <w:rsid w:val="00F91B0B"/>
    <w:rsid w:val="00F91DD3"/>
    <w:rsid w:val="00F91E02"/>
    <w:rsid w:val="00F91EB6"/>
    <w:rsid w:val="00F9202D"/>
    <w:rsid w:val="00F921FA"/>
    <w:rsid w:val="00F92315"/>
    <w:rsid w:val="00F926FE"/>
    <w:rsid w:val="00F92926"/>
    <w:rsid w:val="00F929A3"/>
    <w:rsid w:val="00F92A88"/>
    <w:rsid w:val="00F92D69"/>
    <w:rsid w:val="00F934F3"/>
    <w:rsid w:val="00F936B1"/>
    <w:rsid w:val="00F9373C"/>
    <w:rsid w:val="00F93A59"/>
    <w:rsid w:val="00F93AAF"/>
    <w:rsid w:val="00F93C84"/>
    <w:rsid w:val="00F93F48"/>
    <w:rsid w:val="00F94030"/>
    <w:rsid w:val="00F94062"/>
    <w:rsid w:val="00F94417"/>
    <w:rsid w:val="00F946CF"/>
    <w:rsid w:val="00F94858"/>
    <w:rsid w:val="00F949B4"/>
    <w:rsid w:val="00F94B44"/>
    <w:rsid w:val="00F950CC"/>
    <w:rsid w:val="00F952EF"/>
    <w:rsid w:val="00F9580E"/>
    <w:rsid w:val="00F95957"/>
    <w:rsid w:val="00F95CE4"/>
    <w:rsid w:val="00F96298"/>
    <w:rsid w:val="00F962F9"/>
    <w:rsid w:val="00F96D5F"/>
    <w:rsid w:val="00F96FC6"/>
    <w:rsid w:val="00F97266"/>
    <w:rsid w:val="00F97436"/>
    <w:rsid w:val="00F975A4"/>
    <w:rsid w:val="00F97664"/>
    <w:rsid w:val="00F9791C"/>
    <w:rsid w:val="00F97F98"/>
    <w:rsid w:val="00FA0084"/>
    <w:rsid w:val="00FA0260"/>
    <w:rsid w:val="00FA0575"/>
    <w:rsid w:val="00FA0B3B"/>
    <w:rsid w:val="00FA0B60"/>
    <w:rsid w:val="00FA0ED1"/>
    <w:rsid w:val="00FA0FF3"/>
    <w:rsid w:val="00FA104C"/>
    <w:rsid w:val="00FA1210"/>
    <w:rsid w:val="00FA136B"/>
    <w:rsid w:val="00FA1847"/>
    <w:rsid w:val="00FA1990"/>
    <w:rsid w:val="00FA1E47"/>
    <w:rsid w:val="00FA1ED8"/>
    <w:rsid w:val="00FA246A"/>
    <w:rsid w:val="00FA246D"/>
    <w:rsid w:val="00FA24EB"/>
    <w:rsid w:val="00FA25AE"/>
    <w:rsid w:val="00FA2884"/>
    <w:rsid w:val="00FA2F46"/>
    <w:rsid w:val="00FA30B6"/>
    <w:rsid w:val="00FA31F1"/>
    <w:rsid w:val="00FA330E"/>
    <w:rsid w:val="00FA3310"/>
    <w:rsid w:val="00FA3392"/>
    <w:rsid w:val="00FA3892"/>
    <w:rsid w:val="00FA3D12"/>
    <w:rsid w:val="00FA3D8A"/>
    <w:rsid w:val="00FA412E"/>
    <w:rsid w:val="00FA414D"/>
    <w:rsid w:val="00FA43B8"/>
    <w:rsid w:val="00FA4436"/>
    <w:rsid w:val="00FA4538"/>
    <w:rsid w:val="00FA454B"/>
    <w:rsid w:val="00FA48D7"/>
    <w:rsid w:val="00FA4B7A"/>
    <w:rsid w:val="00FA4EB1"/>
    <w:rsid w:val="00FA5011"/>
    <w:rsid w:val="00FA53E9"/>
    <w:rsid w:val="00FA5426"/>
    <w:rsid w:val="00FA553E"/>
    <w:rsid w:val="00FA5624"/>
    <w:rsid w:val="00FA564E"/>
    <w:rsid w:val="00FA56CF"/>
    <w:rsid w:val="00FA5770"/>
    <w:rsid w:val="00FA5AA4"/>
    <w:rsid w:val="00FA5BB3"/>
    <w:rsid w:val="00FA5D32"/>
    <w:rsid w:val="00FA5EC4"/>
    <w:rsid w:val="00FA5FB5"/>
    <w:rsid w:val="00FA5FD9"/>
    <w:rsid w:val="00FA6343"/>
    <w:rsid w:val="00FA642F"/>
    <w:rsid w:val="00FA64E4"/>
    <w:rsid w:val="00FA68F0"/>
    <w:rsid w:val="00FA6993"/>
    <w:rsid w:val="00FA6ADA"/>
    <w:rsid w:val="00FA6DD6"/>
    <w:rsid w:val="00FA74D7"/>
    <w:rsid w:val="00FA75B8"/>
    <w:rsid w:val="00FA7647"/>
    <w:rsid w:val="00FA767F"/>
    <w:rsid w:val="00FA7BBA"/>
    <w:rsid w:val="00FA7D20"/>
    <w:rsid w:val="00FA7E09"/>
    <w:rsid w:val="00FA7F4F"/>
    <w:rsid w:val="00FB015B"/>
    <w:rsid w:val="00FB0373"/>
    <w:rsid w:val="00FB0F04"/>
    <w:rsid w:val="00FB101D"/>
    <w:rsid w:val="00FB102D"/>
    <w:rsid w:val="00FB12FB"/>
    <w:rsid w:val="00FB1468"/>
    <w:rsid w:val="00FB159E"/>
    <w:rsid w:val="00FB170E"/>
    <w:rsid w:val="00FB1A60"/>
    <w:rsid w:val="00FB1C9D"/>
    <w:rsid w:val="00FB2C50"/>
    <w:rsid w:val="00FB2C68"/>
    <w:rsid w:val="00FB31D3"/>
    <w:rsid w:val="00FB3259"/>
    <w:rsid w:val="00FB33A2"/>
    <w:rsid w:val="00FB35B5"/>
    <w:rsid w:val="00FB365C"/>
    <w:rsid w:val="00FB37B6"/>
    <w:rsid w:val="00FB3FA0"/>
    <w:rsid w:val="00FB3FD3"/>
    <w:rsid w:val="00FB4367"/>
    <w:rsid w:val="00FB44E8"/>
    <w:rsid w:val="00FB47EE"/>
    <w:rsid w:val="00FB4914"/>
    <w:rsid w:val="00FB49B5"/>
    <w:rsid w:val="00FB4D1E"/>
    <w:rsid w:val="00FB502F"/>
    <w:rsid w:val="00FB5C00"/>
    <w:rsid w:val="00FB5E0E"/>
    <w:rsid w:val="00FB60C2"/>
    <w:rsid w:val="00FB6139"/>
    <w:rsid w:val="00FB6222"/>
    <w:rsid w:val="00FB63EF"/>
    <w:rsid w:val="00FB6543"/>
    <w:rsid w:val="00FB6589"/>
    <w:rsid w:val="00FB65B3"/>
    <w:rsid w:val="00FB6644"/>
    <w:rsid w:val="00FB67A0"/>
    <w:rsid w:val="00FB6881"/>
    <w:rsid w:val="00FB68B0"/>
    <w:rsid w:val="00FB6A12"/>
    <w:rsid w:val="00FB6AC8"/>
    <w:rsid w:val="00FB6F0C"/>
    <w:rsid w:val="00FB6F81"/>
    <w:rsid w:val="00FB70D0"/>
    <w:rsid w:val="00FB7243"/>
    <w:rsid w:val="00FB78E2"/>
    <w:rsid w:val="00FB7B76"/>
    <w:rsid w:val="00FB7C97"/>
    <w:rsid w:val="00FB7E82"/>
    <w:rsid w:val="00FB7EB2"/>
    <w:rsid w:val="00FB7F60"/>
    <w:rsid w:val="00FB7F72"/>
    <w:rsid w:val="00FC0108"/>
    <w:rsid w:val="00FC030B"/>
    <w:rsid w:val="00FC045D"/>
    <w:rsid w:val="00FC076B"/>
    <w:rsid w:val="00FC08A4"/>
    <w:rsid w:val="00FC095C"/>
    <w:rsid w:val="00FC0FCD"/>
    <w:rsid w:val="00FC10F7"/>
    <w:rsid w:val="00FC124B"/>
    <w:rsid w:val="00FC189D"/>
    <w:rsid w:val="00FC198B"/>
    <w:rsid w:val="00FC1B20"/>
    <w:rsid w:val="00FC1BE5"/>
    <w:rsid w:val="00FC1C75"/>
    <w:rsid w:val="00FC23DF"/>
    <w:rsid w:val="00FC259C"/>
    <w:rsid w:val="00FC25E4"/>
    <w:rsid w:val="00FC280D"/>
    <w:rsid w:val="00FC2ADA"/>
    <w:rsid w:val="00FC2C4B"/>
    <w:rsid w:val="00FC2EF4"/>
    <w:rsid w:val="00FC2F99"/>
    <w:rsid w:val="00FC32A2"/>
    <w:rsid w:val="00FC3335"/>
    <w:rsid w:val="00FC3524"/>
    <w:rsid w:val="00FC3AF3"/>
    <w:rsid w:val="00FC3EFD"/>
    <w:rsid w:val="00FC447C"/>
    <w:rsid w:val="00FC48E6"/>
    <w:rsid w:val="00FC4D35"/>
    <w:rsid w:val="00FC50E3"/>
    <w:rsid w:val="00FC56E0"/>
    <w:rsid w:val="00FC57C5"/>
    <w:rsid w:val="00FC5E69"/>
    <w:rsid w:val="00FC5F86"/>
    <w:rsid w:val="00FC67E1"/>
    <w:rsid w:val="00FC6A32"/>
    <w:rsid w:val="00FC7016"/>
    <w:rsid w:val="00FC761A"/>
    <w:rsid w:val="00FC793E"/>
    <w:rsid w:val="00FC7AD4"/>
    <w:rsid w:val="00FD01A3"/>
    <w:rsid w:val="00FD034C"/>
    <w:rsid w:val="00FD041C"/>
    <w:rsid w:val="00FD045C"/>
    <w:rsid w:val="00FD0669"/>
    <w:rsid w:val="00FD08AE"/>
    <w:rsid w:val="00FD0D68"/>
    <w:rsid w:val="00FD0E9B"/>
    <w:rsid w:val="00FD0F44"/>
    <w:rsid w:val="00FD0FDA"/>
    <w:rsid w:val="00FD1162"/>
    <w:rsid w:val="00FD12C2"/>
    <w:rsid w:val="00FD13D5"/>
    <w:rsid w:val="00FD1417"/>
    <w:rsid w:val="00FD1650"/>
    <w:rsid w:val="00FD1657"/>
    <w:rsid w:val="00FD17F3"/>
    <w:rsid w:val="00FD184F"/>
    <w:rsid w:val="00FD19D3"/>
    <w:rsid w:val="00FD19EB"/>
    <w:rsid w:val="00FD21E6"/>
    <w:rsid w:val="00FD25A1"/>
    <w:rsid w:val="00FD2892"/>
    <w:rsid w:val="00FD335D"/>
    <w:rsid w:val="00FD3399"/>
    <w:rsid w:val="00FD35AE"/>
    <w:rsid w:val="00FD35B0"/>
    <w:rsid w:val="00FD3670"/>
    <w:rsid w:val="00FD3697"/>
    <w:rsid w:val="00FD38FC"/>
    <w:rsid w:val="00FD3A73"/>
    <w:rsid w:val="00FD428B"/>
    <w:rsid w:val="00FD4312"/>
    <w:rsid w:val="00FD4425"/>
    <w:rsid w:val="00FD445C"/>
    <w:rsid w:val="00FD5599"/>
    <w:rsid w:val="00FD572B"/>
    <w:rsid w:val="00FD5829"/>
    <w:rsid w:val="00FD589B"/>
    <w:rsid w:val="00FD58A2"/>
    <w:rsid w:val="00FD59AE"/>
    <w:rsid w:val="00FD6046"/>
    <w:rsid w:val="00FD621F"/>
    <w:rsid w:val="00FD6382"/>
    <w:rsid w:val="00FD6420"/>
    <w:rsid w:val="00FD6C9E"/>
    <w:rsid w:val="00FD6DEA"/>
    <w:rsid w:val="00FD705F"/>
    <w:rsid w:val="00FD7089"/>
    <w:rsid w:val="00FD75B5"/>
    <w:rsid w:val="00FD76DB"/>
    <w:rsid w:val="00FD77B6"/>
    <w:rsid w:val="00FD783A"/>
    <w:rsid w:val="00FD7BE3"/>
    <w:rsid w:val="00FD7DA0"/>
    <w:rsid w:val="00FD7E3C"/>
    <w:rsid w:val="00FE010E"/>
    <w:rsid w:val="00FE0427"/>
    <w:rsid w:val="00FE0463"/>
    <w:rsid w:val="00FE0490"/>
    <w:rsid w:val="00FE08C1"/>
    <w:rsid w:val="00FE091E"/>
    <w:rsid w:val="00FE0D3D"/>
    <w:rsid w:val="00FE1165"/>
    <w:rsid w:val="00FE11A4"/>
    <w:rsid w:val="00FE1398"/>
    <w:rsid w:val="00FE149C"/>
    <w:rsid w:val="00FE1829"/>
    <w:rsid w:val="00FE1994"/>
    <w:rsid w:val="00FE1A12"/>
    <w:rsid w:val="00FE1D26"/>
    <w:rsid w:val="00FE1E68"/>
    <w:rsid w:val="00FE1F45"/>
    <w:rsid w:val="00FE212B"/>
    <w:rsid w:val="00FE279A"/>
    <w:rsid w:val="00FE2919"/>
    <w:rsid w:val="00FE2AD5"/>
    <w:rsid w:val="00FE2DD8"/>
    <w:rsid w:val="00FE2F95"/>
    <w:rsid w:val="00FE2F98"/>
    <w:rsid w:val="00FE3078"/>
    <w:rsid w:val="00FE30D1"/>
    <w:rsid w:val="00FE36E5"/>
    <w:rsid w:val="00FE38A0"/>
    <w:rsid w:val="00FE3A5F"/>
    <w:rsid w:val="00FE3E46"/>
    <w:rsid w:val="00FE42D0"/>
    <w:rsid w:val="00FE45E3"/>
    <w:rsid w:val="00FE4821"/>
    <w:rsid w:val="00FE4B66"/>
    <w:rsid w:val="00FE4EB3"/>
    <w:rsid w:val="00FE50FC"/>
    <w:rsid w:val="00FE5193"/>
    <w:rsid w:val="00FE55FA"/>
    <w:rsid w:val="00FE58CD"/>
    <w:rsid w:val="00FE5EAF"/>
    <w:rsid w:val="00FE617D"/>
    <w:rsid w:val="00FE66B2"/>
    <w:rsid w:val="00FE67C5"/>
    <w:rsid w:val="00FE692D"/>
    <w:rsid w:val="00FE6B67"/>
    <w:rsid w:val="00FE6C4C"/>
    <w:rsid w:val="00FE772D"/>
    <w:rsid w:val="00FE79EE"/>
    <w:rsid w:val="00FE7E52"/>
    <w:rsid w:val="00FF0300"/>
    <w:rsid w:val="00FF0469"/>
    <w:rsid w:val="00FF04F6"/>
    <w:rsid w:val="00FF0B3C"/>
    <w:rsid w:val="00FF0D5E"/>
    <w:rsid w:val="00FF0D97"/>
    <w:rsid w:val="00FF0E0E"/>
    <w:rsid w:val="00FF11DB"/>
    <w:rsid w:val="00FF1245"/>
    <w:rsid w:val="00FF193E"/>
    <w:rsid w:val="00FF1CB1"/>
    <w:rsid w:val="00FF1CD3"/>
    <w:rsid w:val="00FF2102"/>
    <w:rsid w:val="00FF2165"/>
    <w:rsid w:val="00FF2388"/>
    <w:rsid w:val="00FF2641"/>
    <w:rsid w:val="00FF293C"/>
    <w:rsid w:val="00FF2B5D"/>
    <w:rsid w:val="00FF2B74"/>
    <w:rsid w:val="00FF2BAD"/>
    <w:rsid w:val="00FF2E4D"/>
    <w:rsid w:val="00FF2F13"/>
    <w:rsid w:val="00FF377F"/>
    <w:rsid w:val="00FF39E5"/>
    <w:rsid w:val="00FF4091"/>
    <w:rsid w:val="00FF4292"/>
    <w:rsid w:val="00FF42D1"/>
    <w:rsid w:val="00FF4427"/>
    <w:rsid w:val="00FF4490"/>
    <w:rsid w:val="00FF47EE"/>
    <w:rsid w:val="00FF47FD"/>
    <w:rsid w:val="00FF4941"/>
    <w:rsid w:val="00FF49A0"/>
    <w:rsid w:val="00FF4EA8"/>
    <w:rsid w:val="00FF503C"/>
    <w:rsid w:val="00FF5258"/>
    <w:rsid w:val="00FF5646"/>
    <w:rsid w:val="00FF5674"/>
    <w:rsid w:val="00FF5D8F"/>
    <w:rsid w:val="00FF5FC8"/>
    <w:rsid w:val="00FF608C"/>
    <w:rsid w:val="00FF63EE"/>
    <w:rsid w:val="00FF6B77"/>
    <w:rsid w:val="00FF6BA8"/>
    <w:rsid w:val="00FF7100"/>
    <w:rsid w:val="00FF7153"/>
    <w:rsid w:val="00FF746B"/>
    <w:rsid w:val="00FF7509"/>
    <w:rsid w:val="00FF7695"/>
    <w:rsid w:val="00FF7873"/>
    <w:rsid w:val="00FF7B56"/>
    <w:rsid w:val="00FF7F27"/>
    <w:rsid w:val="06AC912F"/>
    <w:rsid w:val="107468A4"/>
    <w:rsid w:val="19F72D71"/>
    <w:rsid w:val="1A62E2FE"/>
    <w:rsid w:val="1B09B674"/>
    <w:rsid w:val="2741D21C"/>
    <w:rsid w:val="2BC382E4"/>
    <w:rsid w:val="2C388DF0"/>
    <w:rsid w:val="2D9882D6"/>
    <w:rsid w:val="36A4C14D"/>
    <w:rsid w:val="3808A67C"/>
    <w:rsid w:val="39C40755"/>
    <w:rsid w:val="3A94BA38"/>
    <w:rsid w:val="469B0A27"/>
    <w:rsid w:val="49D70CC2"/>
    <w:rsid w:val="5441F362"/>
    <w:rsid w:val="552DE4F0"/>
    <w:rsid w:val="5C580B65"/>
    <w:rsid w:val="676DB86D"/>
    <w:rsid w:val="6AEBA144"/>
    <w:rsid w:val="6AEFA20A"/>
    <w:rsid w:val="6D26BA29"/>
    <w:rsid w:val="6FDA4107"/>
    <w:rsid w:val="73E595EF"/>
    <w:rsid w:val="7BB7DBB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EDD379"/>
  <w15:docId w15:val="{F9439AF7-86B8-45B4-A91D-1FBA13ED6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DE8"/>
    <w:rPr>
      <w:rFonts w:ascii="Arial" w:hAnsi="Arial" w:cs="Arial"/>
      <w:lang w:eastAsia="en-US"/>
    </w:rPr>
  </w:style>
  <w:style w:type="paragraph" w:styleId="Heading1">
    <w:name w:val="heading 1"/>
    <w:aliases w:val="1.,1. Level 1 Heading,69%,Attribute Heading 1,Chapter,H-1,H1,Head1,Heading 1 St.George,Heading apps,Lev 1,MAIN HEADING,Main Heading,NEWS GOTHIC B,No numbers,Section Header,Section Heading,h1,h1 chapter heading,heading 1,heading 1Body,style1"/>
    <w:basedOn w:val="Normal"/>
    <w:next w:val="Heading2"/>
    <w:link w:val="Heading1Char"/>
    <w:qFormat/>
    <w:rsid w:val="00984DE8"/>
    <w:pPr>
      <w:keepNext/>
      <w:numPr>
        <w:numId w:val="120"/>
      </w:numPr>
      <w:pBdr>
        <w:top w:val="single" w:sz="6" w:space="2" w:color="auto"/>
      </w:pBdr>
      <w:spacing w:before="240" w:after="120"/>
      <w:outlineLvl w:val="0"/>
    </w:pPr>
    <w:rPr>
      <w:b/>
      <w:sz w:val="28"/>
    </w:rPr>
  </w:style>
  <w:style w:type="paragraph" w:styleId="Heading2">
    <w:name w:val="heading 2"/>
    <w:aliases w:val="2,Attribute Heading 2,B Sub/Bold,B Sub/Bold1,B Sub/Bold11,B Sub/Bold2,Centerhead,H2,Head 2,Header 2,List level 2,Para2,Reset numbering,body,h2,h2 main heading,h2 main heading1,h2 main heading2,heading 2TOC,heading 2body,l2,list 2,list 2,test"/>
    <w:basedOn w:val="Normal"/>
    <w:next w:val="Indent2"/>
    <w:link w:val="Heading2Char"/>
    <w:qFormat/>
    <w:rsid w:val="00984DE8"/>
    <w:pPr>
      <w:keepNext/>
      <w:numPr>
        <w:ilvl w:val="1"/>
        <w:numId w:val="120"/>
      </w:numPr>
      <w:spacing w:before="120" w:after="120"/>
      <w:outlineLvl w:val="1"/>
    </w:pPr>
    <w:rPr>
      <w:b/>
      <w:sz w:val="22"/>
    </w:rPr>
  </w:style>
  <w:style w:type="paragraph" w:styleId="Heading3">
    <w:name w:val="heading 3"/>
    <w:aliases w:val="(Alt+3),(Alt+3)1,(Alt+3)10,(Alt+3)11,(Alt+3)12,(Alt+3)13,(Alt+3)14,(Alt+3)2,(Alt+3)21,(Alt+3)22,(Alt+3)23,(Alt+3)3,(Alt+3)31,(Alt+3)32,(Alt+3)33,(Alt+3)4,(Alt+3)41,(Alt+3)42,(Alt+3)43,(Alt+3)5,(Alt+3)6,(Alt+3)7,(Alt+3)8,(Alt+3)9,3,H3,H31,a,h3"/>
    <w:basedOn w:val="Normal"/>
    <w:link w:val="Heading3Char"/>
    <w:qFormat/>
    <w:rsid w:val="00984DE8"/>
    <w:pPr>
      <w:numPr>
        <w:ilvl w:val="2"/>
        <w:numId w:val="120"/>
      </w:numPr>
      <w:spacing w:after="240"/>
      <w:outlineLvl w:val="2"/>
    </w:pPr>
  </w:style>
  <w:style w:type="paragraph" w:styleId="Heading4">
    <w:name w:val="heading 4"/>
    <w:aliases w:val="(Alt+4),(Alt+4)1,(Alt+4)11,(Alt+4)12,(Alt+4)2,(Alt+4)21,(Alt+4)3,(Alt+4)31,(Alt+4)4,(Alt+4)5,(Alt+4)6,(i),4,H4,H41,H411,H412,H42,H421,H422,H43,H431,H432,H44,H45,H46,H47,Heading 4 StGeorge,Level 2 - a,Minor,Para4,h4,h4 sub sub heading,h41,h42,i"/>
    <w:basedOn w:val="Normal"/>
    <w:link w:val="Heading4Char"/>
    <w:qFormat/>
    <w:rsid w:val="00984DE8"/>
    <w:pPr>
      <w:numPr>
        <w:ilvl w:val="3"/>
        <w:numId w:val="120"/>
      </w:numPr>
      <w:spacing w:after="240"/>
      <w:outlineLvl w:val="3"/>
    </w:pPr>
  </w:style>
  <w:style w:type="paragraph" w:styleId="Heading5">
    <w:name w:val="heading 5"/>
    <w:aliases w:val="(A),1.1.1.1.1,3rd sub-clause,5,A,Appendix,Body Text (R),Document Title 2,Dot GS,H5,Heading 5 Interstar,Heading 5 StGeorge,Heading 5(unused),L5,Lev 5,Level 3 - (i),Level 3 - i,Level 5,Para5,Para51,Sub4Para,h5,h51,h52,heading 5,l5,level,level5,s"/>
    <w:basedOn w:val="Normal"/>
    <w:link w:val="Heading5Char"/>
    <w:qFormat/>
    <w:rsid w:val="00984DE8"/>
    <w:pPr>
      <w:numPr>
        <w:ilvl w:val="4"/>
        <w:numId w:val="120"/>
      </w:numPr>
      <w:spacing w:after="240"/>
      <w:outlineLvl w:val="4"/>
    </w:pPr>
  </w:style>
  <w:style w:type="paragraph" w:styleId="Heading6">
    <w:name w:val="heading 6"/>
    <w:aliases w:val="not Kinhill,(I),6,Body Text 5,H6,Heading 6  Appendix Y &amp; Z,Heading 6 Interstar,Heading 6(unused),I,L1 PIP,Legal Level 1.,Lev 6,Level,Level 1,Level 6,Name of Org,Not Kinhill,Square Bullet list,Sub5Para,a.,a.1,as,b,dash GS,h6,heading 6,level6"/>
    <w:basedOn w:val="Normal"/>
    <w:link w:val="Heading6Char"/>
    <w:uiPriority w:val="9"/>
    <w:qFormat/>
    <w:rsid w:val="00984DE8"/>
    <w:pPr>
      <w:numPr>
        <w:ilvl w:val="5"/>
        <w:numId w:val="120"/>
      </w:numPr>
      <w:spacing w:after="240"/>
      <w:outlineLvl w:val="5"/>
    </w:pPr>
  </w:style>
  <w:style w:type="paragraph" w:styleId="Heading7">
    <w:name w:val="heading 7"/>
    <w:aliases w:val="H7,i.,Legal Level 1.1.,Indented hyphen,(1),Lev 7,Heading 7(unused),Body Text 6,ap,i.1,not Kinhill1,square GS,level1noheading,L2 PIP,Level 1.1,heading 7,7,h7,level1-noHeading,not Kinhill11,L7,Heading 7 Char1,Heading 7 Char Char,st"/>
    <w:basedOn w:val="Normal"/>
    <w:link w:val="Heading7Char"/>
    <w:uiPriority w:val="9"/>
    <w:qFormat/>
    <w:rsid w:val="00984DE8"/>
    <w:pPr>
      <w:numPr>
        <w:ilvl w:val="6"/>
        <w:numId w:val="120"/>
      </w:numPr>
      <w:spacing w:after="240"/>
      <w:outlineLvl w:val="6"/>
    </w:pPr>
  </w:style>
  <w:style w:type="paragraph" w:styleId="Heading8">
    <w:name w:val="heading 8"/>
    <w:aliases w:val="8,Annex,Appendix Level 2,Body Text 7,Bullet 1,H8,Heading 8(unused),L3 PIP,Legal Level 1.1.1.,Lev 8,Level 1.1.1,ad,h8,level2(a),rp_Heading 8,Heading 8 not in use,(Sub-section Nos),FigureTitle,Condition,requirement,req2,req,t,Comm8,(figures),r"/>
    <w:basedOn w:val="Normal"/>
    <w:link w:val="Heading8Char"/>
    <w:uiPriority w:val="9"/>
    <w:qFormat/>
    <w:rsid w:val="00984DE8"/>
    <w:pPr>
      <w:numPr>
        <w:ilvl w:val="7"/>
        <w:numId w:val="120"/>
      </w:numPr>
      <w:spacing w:after="240"/>
      <w:outlineLvl w:val="7"/>
    </w:pPr>
  </w:style>
  <w:style w:type="paragraph" w:styleId="Heading9">
    <w:name w:val="heading 9"/>
    <w:aliases w:val="Appen 1,9,Annex1,Appendix Level 3,Body Text 8,Bullet 2,H9,Heading 9(unused),Legal Level 1.1.1.1.,Lev 9,Level (a),aat,h9,level3(i),number,rp_Heading 9,Heading 9 not in use,Heading 9 Char Char Char Char Char Char,Heading 9 (defunct),Com, Appen 1"/>
    <w:basedOn w:val="Normal"/>
    <w:link w:val="Heading9Char"/>
    <w:uiPriority w:val="9"/>
    <w:qFormat/>
    <w:rsid w:val="00984DE8"/>
    <w:pPr>
      <w:numPr>
        <w:ilvl w:val="8"/>
        <w:numId w:val="120"/>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link w:val="Indent2Char"/>
    <w:rsid w:val="00984DE8"/>
    <w:pPr>
      <w:spacing w:after="240"/>
      <w:ind w:left="737"/>
    </w:pPr>
  </w:style>
  <w:style w:type="paragraph" w:styleId="TOC2">
    <w:name w:val="toc 2"/>
    <w:basedOn w:val="Normal"/>
    <w:next w:val="Normal"/>
    <w:uiPriority w:val="39"/>
    <w:rsid w:val="00984DE8"/>
    <w:pPr>
      <w:tabs>
        <w:tab w:val="right" w:pos="7938"/>
      </w:tabs>
      <w:spacing w:line="260" w:lineRule="atLeast"/>
      <w:ind w:left="737" w:right="1701" w:hanging="737"/>
    </w:pPr>
  </w:style>
  <w:style w:type="paragraph" w:styleId="TOC1">
    <w:name w:val="toc 1"/>
    <w:basedOn w:val="Normal"/>
    <w:next w:val="Normal"/>
    <w:uiPriority w:val="39"/>
    <w:rsid w:val="00984DE8"/>
    <w:pPr>
      <w:keepNext/>
      <w:pBdr>
        <w:top w:val="single" w:sz="6" w:space="3" w:color="auto"/>
        <w:between w:val="single" w:sz="6" w:space="3" w:color="auto"/>
      </w:pBdr>
      <w:tabs>
        <w:tab w:val="right" w:pos="7938"/>
      </w:tabs>
      <w:spacing w:before="120" w:after="120"/>
      <w:ind w:left="737" w:hanging="737"/>
    </w:pPr>
    <w:rPr>
      <w:b/>
    </w:rPr>
  </w:style>
  <w:style w:type="paragraph" w:styleId="TOC3">
    <w:name w:val="toc 3"/>
    <w:basedOn w:val="Normal"/>
    <w:next w:val="Normal"/>
    <w:uiPriority w:val="39"/>
    <w:rsid w:val="00984DE8"/>
    <w:pPr>
      <w:tabs>
        <w:tab w:val="right" w:pos="7938"/>
      </w:tabs>
      <w:spacing w:before="120"/>
      <w:ind w:right="1701"/>
    </w:pPr>
    <w:rPr>
      <w:b/>
    </w:rPr>
  </w:style>
  <w:style w:type="paragraph" w:customStyle="1" w:styleId="Indent3">
    <w:name w:val="Indent 3"/>
    <w:basedOn w:val="Normal"/>
    <w:rsid w:val="00984DE8"/>
    <w:pPr>
      <w:spacing w:after="240"/>
      <w:ind w:left="1474"/>
    </w:pPr>
  </w:style>
  <w:style w:type="paragraph" w:customStyle="1" w:styleId="SchedTitle">
    <w:name w:val="SchedTitle"/>
    <w:basedOn w:val="Normal"/>
    <w:next w:val="Normal"/>
    <w:rsid w:val="00984DE8"/>
    <w:pPr>
      <w:spacing w:after="240"/>
    </w:pPr>
    <w:rPr>
      <w:sz w:val="36"/>
    </w:rPr>
  </w:style>
  <w:style w:type="paragraph" w:customStyle="1" w:styleId="Indent4">
    <w:name w:val="Indent 4"/>
    <w:basedOn w:val="Normal"/>
    <w:rsid w:val="00984DE8"/>
    <w:pPr>
      <w:spacing w:after="240"/>
      <w:ind w:left="2211"/>
    </w:pPr>
  </w:style>
  <w:style w:type="paragraph" w:customStyle="1" w:styleId="Indent5">
    <w:name w:val="Indent 5"/>
    <w:basedOn w:val="Normal"/>
    <w:rsid w:val="00984DE8"/>
    <w:pPr>
      <w:spacing w:after="240"/>
      <w:ind w:left="2948"/>
    </w:pPr>
  </w:style>
  <w:style w:type="paragraph" w:styleId="Header">
    <w:name w:val="header"/>
    <w:basedOn w:val="Normal"/>
    <w:link w:val="HeaderChar"/>
    <w:rsid w:val="00984DE8"/>
    <w:rPr>
      <w:b/>
      <w:sz w:val="36"/>
    </w:rPr>
  </w:style>
  <w:style w:type="paragraph" w:styleId="Footer">
    <w:name w:val="footer"/>
    <w:basedOn w:val="Normal"/>
    <w:link w:val="FooterChar"/>
    <w:uiPriority w:val="99"/>
    <w:rsid w:val="00984DE8"/>
    <w:rPr>
      <w:sz w:val="16"/>
    </w:rPr>
  </w:style>
  <w:style w:type="character" w:customStyle="1" w:styleId="Choice">
    <w:name w:val="Choice"/>
    <w:rsid w:val="00984DE8"/>
    <w:rPr>
      <w:rFonts w:ascii="Arial" w:hAnsi="Arial"/>
      <w:b/>
      <w:noProof w:val="0"/>
      <w:sz w:val="18"/>
      <w:vertAlign w:val="baseline"/>
      <w:lang w:val="en-AU"/>
    </w:rPr>
  </w:style>
  <w:style w:type="paragraph" w:customStyle="1" w:styleId="Indent1">
    <w:name w:val="Indent 1"/>
    <w:basedOn w:val="Normal"/>
    <w:next w:val="Normal"/>
    <w:rsid w:val="00984DE8"/>
    <w:pPr>
      <w:spacing w:after="240"/>
      <w:ind w:left="737"/>
    </w:pPr>
  </w:style>
  <w:style w:type="character" w:styleId="FootnoteReference">
    <w:name w:val="footnote reference"/>
    <w:rsid w:val="00984DE8"/>
    <w:rPr>
      <w:vertAlign w:val="superscript"/>
    </w:rPr>
  </w:style>
  <w:style w:type="paragraph" w:customStyle="1" w:styleId="PrecNo">
    <w:name w:val="PrecNo"/>
    <w:basedOn w:val="Normal"/>
    <w:rsid w:val="00984DE8"/>
    <w:pPr>
      <w:spacing w:line="260" w:lineRule="atLeast"/>
      <w:ind w:left="142"/>
    </w:pPr>
    <w:rPr>
      <w:caps/>
      <w:spacing w:val="60"/>
      <w:sz w:val="28"/>
    </w:rPr>
  </w:style>
  <w:style w:type="paragraph" w:customStyle="1" w:styleId="PrecName">
    <w:name w:val="PrecName"/>
    <w:basedOn w:val="Normal"/>
    <w:rsid w:val="00984DE8"/>
    <w:pPr>
      <w:spacing w:after="240" w:line="260" w:lineRule="atLeast"/>
      <w:ind w:left="142"/>
    </w:pPr>
    <w:rPr>
      <w:rFonts w:ascii="Garamond" w:hAnsi="Garamond"/>
      <w:sz w:val="64"/>
    </w:rPr>
  </w:style>
  <w:style w:type="paragraph" w:customStyle="1" w:styleId="FPbullet">
    <w:name w:val="FPbullet"/>
    <w:basedOn w:val="Normal"/>
    <w:rsid w:val="00984DE8"/>
    <w:pPr>
      <w:spacing w:before="120" w:line="260" w:lineRule="atLeast"/>
      <w:ind w:left="624" w:right="-567" w:hanging="284"/>
    </w:pPr>
  </w:style>
  <w:style w:type="paragraph" w:customStyle="1" w:styleId="FPtext">
    <w:name w:val="FPtext"/>
    <w:basedOn w:val="Normal"/>
    <w:rsid w:val="00984DE8"/>
    <w:pPr>
      <w:spacing w:line="260" w:lineRule="atLeast"/>
      <w:ind w:left="624" w:right="-567"/>
    </w:pPr>
  </w:style>
  <w:style w:type="paragraph" w:customStyle="1" w:styleId="FStext">
    <w:name w:val="FStext"/>
    <w:basedOn w:val="Normal"/>
    <w:rsid w:val="00984DE8"/>
    <w:pPr>
      <w:spacing w:after="120" w:line="260" w:lineRule="atLeast"/>
      <w:ind w:left="737"/>
    </w:pPr>
  </w:style>
  <w:style w:type="paragraph" w:customStyle="1" w:styleId="FSbullet">
    <w:name w:val="FSbullet"/>
    <w:basedOn w:val="Normal"/>
    <w:rsid w:val="00984DE8"/>
    <w:pPr>
      <w:spacing w:after="120" w:line="260" w:lineRule="atLeast"/>
      <w:ind w:left="737" w:hanging="510"/>
    </w:pPr>
  </w:style>
  <w:style w:type="paragraph" w:customStyle="1" w:styleId="CoverText">
    <w:name w:val="CoverText"/>
    <w:basedOn w:val="FPtext"/>
    <w:rsid w:val="00984DE8"/>
    <w:pPr>
      <w:ind w:left="57" w:right="0"/>
    </w:pPr>
  </w:style>
  <w:style w:type="paragraph" w:customStyle="1" w:styleId="FScheck1">
    <w:name w:val="FScheck1"/>
    <w:basedOn w:val="Normal"/>
    <w:rsid w:val="00984DE8"/>
    <w:pPr>
      <w:spacing w:before="60" w:after="60" w:line="260" w:lineRule="atLeast"/>
      <w:ind w:left="425" w:hanging="425"/>
    </w:pPr>
  </w:style>
  <w:style w:type="paragraph" w:customStyle="1" w:styleId="FScheckNoYes">
    <w:name w:val="FScheckNoYes"/>
    <w:basedOn w:val="FScheck1"/>
    <w:rsid w:val="00984DE8"/>
    <w:pPr>
      <w:ind w:left="0" w:firstLine="0"/>
    </w:pPr>
  </w:style>
  <w:style w:type="paragraph" w:customStyle="1" w:styleId="FScheck2">
    <w:name w:val="FScheck2"/>
    <w:basedOn w:val="Normal"/>
    <w:rsid w:val="00984DE8"/>
    <w:pPr>
      <w:spacing w:before="60" w:after="60" w:line="260" w:lineRule="atLeast"/>
      <w:ind w:left="850" w:hanging="425"/>
    </w:pPr>
  </w:style>
  <w:style w:type="paragraph" w:customStyle="1" w:styleId="FScheck3">
    <w:name w:val="FScheck3"/>
    <w:basedOn w:val="Normal"/>
    <w:rsid w:val="00984DE8"/>
    <w:pPr>
      <w:spacing w:before="60" w:after="60" w:line="260" w:lineRule="atLeast"/>
      <w:ind w:left="1276" w:hanging="425"/>
    </w:pPr>
  </w:style>
  <w:style w:type="paragraph" w:customStyle="1" w:styleId="FScheckbullet">
    <w:name w:val="FScheckbullet"/>
    <w:basedOn w:val="FScheck1"/>
    <w:rsid w:val="00984DE8"/>
    <w:pPr>
      <w:ind w:left="709" w:hanging="284"/>
    </w:pPr>
  </w:style>
  <w:style w:type="paragraph" w:customStyle="1" w:styleId="Details">
    <w:name w:val="Details"/>
    <w:basedOn w:val="Normal"/>
    <w:next w:val="DetailsFollower"/>
    <w:rsid w:val="00984DE8"/>
    <w:pPr>
      <w:spacing w:before="120" w:after="120" w:line="260" w:lineRule="atLeast"/>
    </w:pPr>
  </w:style>
  <w:style w:type="paragraph" w:customStyle="1" w:styleId="DetailsFollower">
    <w:name w:val="DetailsFollower"/>
    <w:basedOn w:val="Normal"/>
    <w:rsid w:val="00984DE8"/>
    <w:pPr>
      <w:spacing w:before="120" w:after="120" w:line="260" w:lineRule="atLeast"/>
    </w:pPr>
  </w:style>
  <w:style w:type="paragraph" w:customStyle="1" w:styleId="PrecNameCover">
    <w:name w:val="PrecNameCover"/>
    <w:basedOn w:val="PrecName"/>
    <w:next w:val="Normal"/>
    <w:rsid w:val="00984DE8"/>
    <w:pPr>
      <w:ind w:left="57"/>
    </w:pPr>
  </w:style>
  <w:style w:type="paragraph" w:styleId="FootnoteText">
    <w:name w:val="footnote text"/>
    <w:aliases w:val="Car"/>
    <w:basedOn w:val="Normal"/>
    <w:link w:val="FootnoteTextChar"/>
    <w:rsid w:val="00984DE8"/>
    <w:pPr>
      <w:spacing w:after="60"/>
      <w:ind w:left="284" w:hanging="284"/>
    </w:pPr>
    <w:rPr>
      <w:sz w:val="18"/>
    </w:rPr>
  </w:style>
  <w:style w:type="paragraph" w:customStyle="1" w:styleId="FPdisclaimer">
    <w:name w:val="FPdisclaimer"/>
    <w:basedOn w:val="Header"/>
    <w:rsid w:val="00984DE8"/>
    <w:pPr>
      <w:framePr w:w="5676" w:hSpace="181" w:wrap="around" w:vAnchor="page" w:hAnchor="page" w:x="5416" w:y="13467"/>
      <w:spacing w:line="260" w:lineRule="atLeast"/>
    </w:pPr>
    <w:rPr>
      <w:sz w:val="20"/>
    </w:rPr>
  </w:style>
  <w:style w:type="paragraph" w:customStyle="1" w:styleId="Headersub">
    <w:name w:val="Header sub"/>
    <w:basedOn w:val="Normal"/>
    <w:rsid w:val="00984DE8"/>
    <w:pPr>
      <w:spacing w:after="1240"/>
    </w:pPr>
    <w:rPr>
      <w:sz w:val="36"/>
    </w:rPr>
  </w:style>
  <w:style w:type="paragraph" w:customStyle="1" w:styleId="Indent6">
    <w:name w:val="Indent 6"/>
    <w:basedOn w:val="Normal"/>
    <w:rsid w:val="00984DE8"/>
    <w:pPr>
      <w:spacing w:after="240"/>
      <w:ind w:left="3686"/>
    </w:pPr>
  </w:style>
  <w:style w:type="paragraph" w:customStyle="1" w:styleId="FScheck1NoYes">
    <w:name w:val="FScheck1NoYes"/>
    <w:rsid w:val="00984DE8"/>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984DE8"/>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984DE8"/>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rsid w:val="00984DE8"/>
    <w:pPr>
      <w:spacing w:after="240"/>
    </w:pPr>
  </w:style>
  <w:style w:type="paragraph" w:customStyle="1" w:styleId="NormalDeed">
    <w:name w:val="Normal Deed"/>
    <w:basedOn w:val="Normal"/>
    <w:link w:val="NormalDeedChar"/>
    <w:rsid w:val="00984DE8"/>
    <w:pPr>
      <w:spacing w:after="240"/>
    </w:pPr>
  </w:style>
  <w:style w:type="paragraph" w:customStyle="1" w:styleId="PartHeading">
    <w:name w:val="Part Heading"/>
    <w:basedOn w:val="Normal"/>
    <w:next w:val="Normal"/>
    <w:uiPriority w:val="3"/>
    <w:rsid w:val="00984DE8"/>
    <w:pPr>
      <w:numPr>
        <w:numId w:val="55"/>
      </w:numPr>
      <w:spacing w:before="240" w:after="240"/>
    </w:pPr>
    <w:rPr>
      <w:b/>
      <w:sz w:val="28"/>
    </w:rPr>
  </w:style>
  <w:style w:type="paragraph" w:customStyle="1" w:styleId="SchedH1">
    <w:name w:val="SchedH1"/>
    <w:basedOn w:val="Normal"/>
    <w:next w:val="SchedH2"/>
    <w:uiPriority w:val="6"/>
    <w:rsid w:val="00EE39BA"/>
    <w:pPr>
      <w:keepNext/>
      <w:numPr>
        <w:ilvl w:val="1"/>
        <w:numId w:val="56"/>
      </w:numPr>
      <w:pBdr>
        <w:top w:val="single" w:sz="6" w:space="2" w:color="auto"/>
      </w:pBdr>
      <w:spacing w:before="240" w:after="120"/>
    </w:pPr>
    <w:rPr>
      <w:b/>
      <w:sz w:val="28"/>
    </w:rPr>
  </w:style>
  <w:style w:type="paragraph" w:customStyle="1" w:styleId="SchedH2">
    <w:name w:val="SchedH2"/>
    <w:basedOn w:val="Normal"/>
    <w:next w:val="Indent2"/>
    <w:uiPriority w:val="6"/>
    <w:rsid w:val="00984DE8"/>
    <w:pPr>
      <w:keepNext/>
      <w:numPr>
        <w:ilvl w:val="2"/>
        <w:numId w:val="56"/>
      </w:numPr>
      <w:spacing w:before="120" w:after="120"/>
    </w:pPr>
    <w:rPr>
      <w:b/>
      <w:sz w:val="22"/>
    </w:rPr>
  </w:style>
  <w:style w:type="paragraph" w:customStyle="1" w:styleId="SchedH3">
    <w:name w:val="SchedH3"/>
    <w:basedOn w:val="Normal"/>
    <w:uiPriority w:val="6"/>
    <w:rsid w:val="00984DE8"/>
    <w:pPr>
      <w:numPr>
        <w:ilvl w:val="3"/>
        <w:numId w:val="56"/>
      </w:numPr>
      <w:spacing w:after="240"/>
    </w:pPr>
  </w:style>
  <w:style w:type="paragraph" w:customStyle="1" w:styleId="SchedH4">
    <w:name w:val="SchedH4"/>
    <w:basedOn w:val="Normal"/>
    <w:uiPriority w:val="6"/>
    <w:rsid w:val="00984DE8"/>
    <w:pPr>
      <w:numPr>
        <w:ilvl w:val="4"/>
        <w:numId w:val="56"/>
      </w:numPr>
      <w:spacing w:after="240"/>
    </w:pPr>
  </w:style>
  <w:style w:type="paragraph" w:customStyle="1" w:styleId="SchedH5">
    <w:name w:val="SchedH5"/>
    <w:basedOn w:val="Normal"/>
    <w:uiPriority w:val="6"/>
    <w:rsid w:val="00984DE8"/>
    <w:pPr>
      <w:numPr>
        <w:ilvl w:val="5"/>
        <w:numId w:val="56"/>
      </w:numPr>
      <w:spacing w:after="240"/>
    </w:pPr>
  </w:style>
  <w:style w:type="character" w:styleId="PageNumber">
    <w:name w:val="page number"/>
    <w:basedOn w:val="DefaultParagraphFont"/>
    <w:rsid w:val="00984DE8"/>
  </w:style>
  <w:style w:type="numbering" w:styleId="111111">
    <w:name w:val="Outline List 2"/>
    <w:basedOn w:val="NoList"/>
    <w:rsid w:val="00984DE8"/>
    <w:pPr>
      <w:numPr>
        <w:numId w:val="1"/>
      </w:numPr>
    </w:pPr>
  </w:style>
  <w:style w:type="numbering" w:styleId="1ai">
    <w:name w:val="Outline List 1"/>
    <w:basedOn w:val="NoList"/>
    <w:rsid w:val="00984DE8"/>
    <w:pPr>
      <w:numPr>
        <w:numId w:val="2"/>
      </w:numPr>
    </w:pPr>
  </w:style>
  <w:style w:type="numbering" w:styleId="ArticleSection">
    <w:name w:val="Outline List 3"/>
    <w:basedOn w:val="NoList"/>
    <w:rsid w:val="00984DE8"/>
    <w:pPr>
      <w:numPr>
        <w:numId w:val="3"/>
      </w:numPr>
    </w:pPr>
  </w:style>
  <w:style w:type="paragraph" w:styleId="BalloonText">
    <w:name w:val="Balloon Text"/>
    <w:basedOn w:val="Normal"/>
    <w:link w:val="BalloonTextChar"/>
    <w:rsid w:val="00984DE8"/>
    <w:rPr>
      <w:rFonts w:ascii="Tahoma" w:hAnsi="Tahoma" w:cs="Tahoma"/>
      <w:sz w:val="16"/>
      <w:szCs w:val="16"/>
    </w:rPr>
  </w:style>
  <w:style w:type="character" w:customStyle="1" w:styleId="BalloonTextChar">
    <w:name w:val="Balloon Text Char"/>
    <w:link w:val="BalloonText"/>
    <w:rsid w:val="00984DE8"/>
    <w:rPr>
      <w:rFonts w:ascii="Tahoma" w:hAnsi="Tahoma" w:cs="Tahoma"/>
      <w:sz w:val="16"/>
      <w:szCs w:val="16"/>
      <w:lang w:eastAsia="en-US"/>
    </w:rPr>
  </w:style>
  <w:style w:type="paragraph" w:styleId="Bibliography">
    <w:name w:val="Bibliography"/>
    <w:basedOn w:val="Normal"/>
    <w:next w:val="Normal"/>
    <w:uiPriority w:val="37"/>
    <w:semiHidden/>
    <w:unhideWhenUsed/>
    <w:rsid w:val="00984DE8"/>
  </w:style>
  <w:style w:type="paragraph" w:styleId="BlockText">
    <w:name w:val="Block Text"/>
    <w:basedOn w:val="Normal"/>
    <w:rsid w:val="00984DE8"/>
    <w:pPr>
      <w:spacing w:after="120"/>
      <w:ind w:left="1440" w:right="1440"/>
    </w:pPr>
  </w:style>
  <w:style w:type="paragraph" w:styleId="BodyText2">
    <w:name w:val="Body Text 2"/>
    <w:basedOn w:val="Normal"/>
    <w:link w:val="BodyText2Char"/>
    <w:rsid w:val="00984DE8"/>
    <w:pPr>
      <w:spacing w:after="120" w:line="480" w:lineRule="auto"/>
    </w:pPr>
  </w:style>
  <w:style w:type="character" w:customStyle="1" w:styleId="BodyText2Char">
    <w:name w:val="Body Text 2 Char"/>
    <w:link w:val="BodyText2"/>
    <w:rsid w:val="00984DE8"/>
    <w:rPr>
      <w:rFonts w:ascii="Arial" w:hAnsi="Arial" w:cs="Arial"/>
      <w:lang w:eastAsia="en-US"/>
    </w:rPr>
  </w:style>
  <w:style w:type="paragraph" w:styleId="BodyText3">
    <w:name w:val="Body Text 3"/>
    <w:basedOn w:val="Normal"/>
    <w:link w:val="BodyText3Char"/>
    <w:rsid w:val="00984DE8"/>
    <w:pPr>
      <w:spacing w:after="120"/>
    </w:pPr>
    <w:rPr>
      <w:sz w:val="16"/>
      <w:szCs w:val="16"/>
    </w:rPr>
  </w:style>
  <w:style w:type="character" w:customStyle="1" w:styleId="BodyText3Char">
    <w:name w:val="Body Text 3 Char"/>
    <w:link w:val="BodyText3"/>
    <w:rsid w:val="00984DE8"/>
    <w:rPr>
      <w:rFonts w:ascii="Arial" w:hAnsi="Arial" w:cs="Arial"/>
      <w:sz w:val="16"/>
      <w:szCs w:val="16"/>
      <w:lang w:eastAsia="en-US"/>
    </w:rPr>
  </w:style>
  <w:style w:type="paragraph" w:styleId="BodyTextFirstIndent">
    <w:name w:val="Body Text First Indent"/>
    <w:basedOn w:val="BodyText"/>
    <w:link w:val="BodyTextFirstIndentChar"/>
    <w:rsid w:val="00984DE8"/>
    <w:pPr>
      <w:spacing w:after="120"/>
      <w:ind w:firstLine="210"/>
    </w:pPr>
  </w:style>
  <w:style w:type="character" w:customStyle="1" w:styleId="BodyTextChar">
    <w:name w:val="Body Text Char"/>
    <w:link w:val="BodyText"/>
    <w:rsid w:val="00984DE8"/>
    <w:rPr>
      <w:rFonts w:ascii="Arial" w:hAnsi="Arial" w:cs="Arial"/>
      <w:lang w:eastAsia="en-US"/>
    </w:rPr>
  </w:style>
  <w:style w:type="character" w:customStyle="1" w:styleId="BodyTextFirstIndentChar">
    <w:name w:val="Body Text First Indent Char"/>
    <w:basedOn w:val="BodyTextChar"/>
    <w:link w:val="BodyTextFirstIndent"/>
    <w:rsid w:val="00984DE8"/>
    <w:rPr>
      <w:rFonts w:ascii="Arial" w:hAnsi="Arial" w:cs="Arial"/>
      <w:lang w:eastAsia="en-US"/>
    </w:rPr>
  </w:style>
  <w:style w:type="paragraph" w:styleId="BodyTextIndent">
    <w:name w:val="Body Text Indent"/>
    <w:basedOn w:val="Normal"/>
    <w:link w:val="BodyTextIndentChar"/>
    <w:rsid w:val="00984DE8"/>
    <w:pPr>
      <w:spacing w:after="120"/>
      <w:ind w:left="283"/>
    </w:pPr>
  </w:style>
  <w:style w:type="character" w:customStyle="1" w:styleId="BodyTextIndentChar">
    <w:name w:val="Body Text Indent Char"/>
    <w:link w:val="BodyTextIndent"/>
    <w:rsid w:val="00984DE8"/>
    <w:rPr>
      <w:rFonts w:ascii="Arial" w:hAnsi="Arial" w:cs="Arial"/>
      <w:lang w:eastAsia="en-US"/>
    </w:rPr>
  </w:style>
  <w:style w:type="paragraph" w:styleId="BodyTextFirstIndent2">
    <w:name w:val="Body Text First Indent 2"/>
    <w:basedOn w:val="BodyTextIndent"/>
    <w:link w:val="BodyTextFirstIndent2Char"/>
    <w:rsid w:val="00984DE8"/>
    <w:pPr>
      <w:ind w:firstLine="210"/>
    </w:pPr>
  </w:style>
  <w:style w:type="character" w:customStyle="1" w:styleId="BodyTextFirstIndent2Char">
    <w:name w:val="Body Text First Indent 2 Char"/>
    <w:basedOn w:val="BodyTextIndentChar"/>
    <w:link w:val="BodyTextFirstIndent2"/>
    <w:rsid w:val="00984DE8"/>
    <w:rPr>
      <w:rFonts w:ascii="Arial" w:hAnsi="Arial" w:cs="Arial"/>
      <w:lang w:eastAsia="en-US"/>
    </w:rPr>
  </w:style>
  <w:style w:type="paragraph" w:styleId="BodyTextIndent2">
    <w:name w:val="Body Text Indent 2"/>
    <w:basedOn w:val="Normal"/>
    <w:link w:val="BodyTextIndent2Char"/>
    <w:rsid w:val="00984DE8"/>
    <w:pPr>
      <w:spacing w:after="120" w:line="480" w:lineRule="auto"/>
      <w:ind w:left="283"/>
    </w:pPr>
  </w:style>
  <w:style w:type="character" w:customStyle="1" w:styleId="BodyTextIndent2Char">
    <w:name w:val="Body Text Indent 2 Char"/>
    <w:link w:val="BodyTextIndent2"/>
    <w:rsid w:val="00984DE8"/>
    <w:rPr>
      <w:rFonts w:ascii="Arial" w:hAnsi="Arial" w:cs="Arial"/>
      <w:lang w:eastAsia="en-US"/>
    </w:rPr>
  </w:style>
  <w:style w:type="paragraph" w:styleId="BodyTextIndent3">
    <w:name w:val="Body Text Indent 3"/>
    <w:basedOn w:val="Normal"/>
    <w:link w:val="BodyTextIndent3Char"/>
    <w:rsid w:val="00984DE8"/>
    <w:pPr>
      <w:spacing w:after="120"/>
      <w:ind w:left="283"/>
    </w:pPr>
    <w:rPr>
      <w:sz w:val="16"/>
      <w:szCs w:val="16"/>
    </w:rPr>
  </w:style>
  <w:style w:type="character" w:customStyle="1" w:styleId="BodyTextIndent3Char">
    <w:name w:val="Body Text Indent 3 Char"/>
    <w:link w:val="BodyTextIndent3"/>
    <w:rsid w:val="00984DE8"/>
    <w:rPr>
      <w:rFonts w:ascii="Arial" w:hAnsi="Arial" w:cs="Arial"/>
      <w:sz w:val="16"/>
      <w:szCs w:val="16"/>
      <w:lang w:eastAsia="en-US"/>
    </w:rPr>
  </w:style>
  <w:style w:type="character" w:styleId="BookTitle">
    <w:name w:val="Book Title"/>
    <w:uiPriority w:val="33"/>
    <w:qFormat/>
    <w:rsid w:val="00984DE8"/>
    <w:rPr>
      <w:b/>
      <w:bCs/>
      <w:smallCaps/>
      <w:spacing w:val="5"/>
    </w:rPr>
  </w:style>
  <w:style w:type="paragraph" w:styleId="Caption">
    <w:name w:val="caption"/>
    <w:basedOn w:val="Normal"/>
    <w:next w:val="Normal"/>
    <w:unhideWhenUsed/>
    <w:qFormat/>
    <w:rsid w:val="00984DE8"/>
    <w:rPr>
      <w:b/>
      <w:bCs/>
    </w:rPr>
  </w:style>
  <w:style w:type="paragraph" w:styleId="Closing">
    <w:name w:val="Closing"/>
    <w:basedOn w:val="Normal"/>
    <w:link w:val="ClosingChar"/>
    <w:rsid w:val="00984DE8"/>
    <w:pPr>
      <w:ind w:left="4252"/>
    </w:pPr>
  </w:style>
  <w:style w:type="character" w:customStyle="1" w:styleId="ClosingChar">
    <w:name w:val="Closing Char"/>
    <w:link w:val="Closing"/>
    <w:rsid w:val="00984DE8"/>
    <w:rPr>
      <w:rFonts w:ascii="Arial" w:hAnsi="Arial" w:cs="Arial"/>
      <w:lang w:eastAsia="en-US"/>
    </w:rPr>
  </w:style>
  <w:style w:type="table" w:styleId="ColorfulGrid">
    <w:name w:val="Colorful Grid"/>
    <w:basedOn w:val="TableNormal"/>
    <w:uiPriority w:val="73"/>
    <w:rsid w:val="00984DE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84DE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84DE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84DE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84DE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84DE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84DE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84DE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84DE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84DE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84DE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84DE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84DE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84DE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84DE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84DE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84DE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84DE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84DE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84DE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84DE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sid w:val="00984DE8"/>
    <w:rPr>
      <w:sz w:val="16"/>
      <w:szCs w:val="16"/>
    </w:rPr>
  </w:style>
  <w:style w:type="paragraph" w:styleId="CommentText">
    <w:name w:val="annotation text"/>
    <w:basedOn w:val="Normal"/>
    <w:link w:val="CommentTextChar"/>
    <w:uiPriority w:val="99"/>
    <w:rsid w:val="00984DE8"/>
  </w:style>
  <w:style w:type="character" w:customStyle="1" w:styleId="CommentTextChar">
    <w:name w:val="Comment Text Char"/>
    <w:link w:val="CommentText"/>
    <w:uiPriority w:val="99"/>
    <w:rsid w:val="00984DE8"/>
    <w:rPr>
      <w:rFonts w:ascii="Arial" w:hAnsi="Arial" w:cs="Arial"/>
      <w:lang w:eastAsia="en-US"/>
    </w:rPr>
  </w:style>
  <w:style w:type="paragraph" w:styleId="CommentSubject">
    <w:name w:val="annotation subject"/>
    <w:basedOn w:val="CommentText"/>
    <w:next w:val="CommentText"/>
    <w:link w:val="CommentSubjectChar"/>
    <w:rsid w:val="00984DE8"/>
    <w:rPr>
      <w:b/>
      <w:bCs/>
    </w:rPr>
  </w:style>
  <w:style w:type="character" w:customStyle="1" w:styleId="CommentSubjectChar">
    <w:name w:val="Comment Subject Char"/>
    <w:link w:val="CommentSubject"/>
    <w:rsid w:val="00984DE8"/>
    <w:rPr>
      <w:rFonts w:ascii="Arial" w:hAnsi="Arial" w:cs="Arial"/>
      <w:b/>
      <w:bCs/>
      <w:lang w:eastAsia="en-US"/>
    </w:rPr>
  </w:style>
  <w:style w:type="table" w:styleId="DarkList">
    <w:name w:val="Dark List"/>
    <w:basedOn w:val="TableNormal"/>
    <w:uiPriority w:val="70"/>
    <w:rsid w:val="00984DE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84DE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84DE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84DE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84DE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84DE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84DE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984DE8"/>
  </w:style>
  <w:style w:type="character" w:customStyle="1" w:styleId="DateChar">
    <w:name w:val="Date Char"/>
    <w:link w:val="Date"/>
    <w:rsid w:val="00984DE8"/>
    <w:rPr>
      <w:rFonts w:ascii="Arial" w:hAnsi="Arial" w:cs="Arial"/>
      <w:lang w:eastAsia="en-US"/>
    </w:rPr>
  </w:style>
  <w:style w:type="paragraph" w:styleId="DocumentMap">
    <w:name w:val="Document Map"/>
    <w:basedOn w:val="Normal"/>
    <w:link w:val="DocumentMapChar"/>
    <w:rsid w:val="00984DE8"/>
    <w:rPr>
      <w:rFonts w:ascii="Tahoma" w:hAnsi="Tahoma" w:cs="Tahoma"/>
      <w:sz w:val="16"/>
      <w:szCs w:val="16"/>
    </w:rPr>
  </w:style>
  <w:style w:type="character" w:customStyle="1" w:styleId="DocumentMapChar">
    <w:name w:val="Document Map Char"/>
    <w:link w:val="DocumentMap"/>
    <w:rsid w:val="00984DE8"/>
    <w:rPr>
      <w:rFonts w:ascii="Tahoma" w:hAnsi="Tahoma" w:cs="Tahoma"/>
      <w:sz w:val="16"/>
      <w:szCs w:val="16"/>
      <w:lang w:eastAsia="en-US"/>
    </w:rPr>
  </w:style>
  <w:style w:type="paragraph" w:styleId="E-mailSignature">
    <w:name w:val="E-mail Signature"/>
    <w:basedOn w:val="Normal"/>
    <w:link w:val="E-mailSignatureChar"/>
    <w:rsid w:val="00984DE8"/>
  </w:style>
  <w:style w:type="character" w:customStyle="1" w:styleId="E-mailSignatureChar">
    <w:name w:val="E-mail Signature Char"/>
    <w:link w:val="E-mailSignature"/>
    <w:rsid w:val="00984DE8"/>
    <w:rPr>
      <w:rFonts w:ascii="Arial" w:hAnsi="Arial" w:cs="Arial"/>
      <w:lang w:eastAsia="en-US"/>
    </w:rPr>
  </w:style>
  <w:style w:type="character" w:styleId="Emphasis">
    <w:name w:val="Emphasis"/>
    <w:qFormat/>
    <w:rsid w:val="00984DE8"/>
    <w:rPr>
      <w:i/>
      <w:iCs/>
    </w:rPr>
  </w:style>
  <w:style w:type="character" w:styleId="EndnoteReference">
    <w:name w:val="endnote reference"/>
    <w:rsid w:val="00984DE8"/>
    <w:rPr>
      <w:vertAlign w:val="superscript"/>
    </w:rPr>
  </w:style>
  <w:style w:type="paragraph" w:styleId="EndnoteText">
    <w:name w:val="endnote text"/>
    <w:basedOn w:val="Normal"/>
    <w:link w:val="EndnoteTextChar"/>
    <w:rsid w:val="00984DE8"/>
  </w:style>
  <w:style w:type="character" w:customStyle="1" w:styleId="EndnoteTextChar">
    <w:name w:val="Endnote Text Char"/>
    <w:link w:val="EndnoteText"/>
    <w:rsid w:val="00984DE8"/>
    <w:rPr>
      <w:rFonts w:ascii="Arial" w:hAnsi="Arial" w:cs="Arial"/>
      <w:lang w:eastAsia="en-US"/>
    </w:rPr>
  </w:style>
  <w:style w:type="paragraph" w:styleId="EnvelopeAddress">
    <w:name w:val="envelope address"/>
    <w:basedOn w:val="Normal"/>
    <w:rsid w:val="00984DE8"/>
    <w:pPr>
      <w:framePr w:w="7920" w:h="1980" w:hRule="exact" w:hSpace="180" w:wrap="auto" w:hAnchor="page" w:xAlign="center" w:yAlign="bottom"/>
      <w:ind w:left="2880"/>
    </w:pPr>
    <w:rPr>
      <w:rFonts w:ascii="Cambria" w:eastAsia="SimSun" w:hAnsi="Cambria" w:cs="Times New Roman"/>
      <w:sz w:val="24"/>
      <w:szCs w:val="24"/>
    </w:rPr>
  </w:style>
  <w:style w:type="paragraph" w:styleId="EnvelopeReturn">
    <w:name w:val="envelope return"/>
    <w:basedOn w:val="Normal"/>
    <w:rsid w:val="00984DE8"/>
    <w:rPr>
      <w:rFonts w:ascii="Cambria" w:eastAsia="SimSun" w:hAnsi="Cambria" w:cs="Times New Roman"/>
    </w:rPr>
  </w:style>
  <w:style w:type="character" w:styleId="FollowedHyperlink">
    <w:name w:val="FollowedHyperlink"/>
    <w:rsid w:val="00984DE8"/>
    <w:rPr>
      <w:color w:val="800080"/>
      <w:u w:val="single"/>
    </w:rPr>
  </w:style>
  <w:style w:type="character" w:styleId="HTMLAcronym">
    <w:name w:val="HTML Acronym"/>
    <w:rsid w:val="00984DE8"/>
  </w:style>
  <w:style w:type="paragraph" w:styleId="HTMLAddress">
    <w:name w:val="HTML Address"/>
    <w:basedOn w:val="Normal"/>
    <w:link w:val="HTMLAddressChar"/>
    <w:rsid w:val="00984DE8"/>
    <w:rPr>
      <w:i/>
      <w:iCs/>
    </w:rPr>
  </w:style>
  <w:style w:type="character" w:customStyle="1" w:styleId="HTMLAddressChar">
    <w:name w:val="HTML Address Char"/>
    <w:link w:val="HTMLAddress"/>
    <w:rsid w:val="00984DE8"/>
    <w:rPr>
      <w:rFonts w:ascii="Arial" w:hAnsi="Arial" w:cs="Arial"/>
      <w:i/>
      <w:iCs/>
      <w:lang w:eastAsia="en-US"/>
    </w:rPr>
  </w:style>
  <w:style w:type="character" w:styleId="HTMLCite">
    <w:name w:val="HTML Cite"/>
    <w:rsid w:val="00984DE8"/>
    <w:rPr>
      <w:i/>
      <w:iCs/>
    </w:rPr>
  </w:style>
  <w:style w:type="character" w:styleId="HTMLCode">
    <w:name w:val="HTML Code"/>
    <w:rsid w:val="00984DE8"/>
    <w:rPr>
      <w:rFonts w:ascii="Courier New" w:hAnsi="Courier New" w:cs="Courier New"/>
      <w:sz w:val="20"/>
      <w:szCs w:val="20"/>
    </w:rPr>
  </w:style>
  <w:style w:type="character" w:styleId="HTMLDefinition">
    <w:name w:val="HTML Definition"/>
    <w:rsid w:val="00984DE8"/>
    <w:rPr>
      <w:i/>
      <w:iCs/>
    </w:rPr>
  </w:style>
  <w:style w:type="character" w:styleId="HTMLKeyboard">
    <w:name w:val="HTML Keyboard"/>
    <w:rsid w:val="00984DE8"/>
    <w:rPr>
      <w:rFonts w:ascii="Courier New" w:hAnsi="Courier New" w:cs="Courier New"/>
      <w:sz w:val="20"/>
      <w:szCs w:val="20"/>
    </w:rPr>
  </w:style>
  <w:style w:type="paragraph" w:styleId="HTMLPreformatted">
    <w:name w:val="HTML Preformatted"/>
    <w:basedOn w:val="Normal"/>
    <w:link w:val="HTMLPreformattedChar"/>
    <w:rsid w:val="00984DE8"/>
    <w:rPr>
      <w:rFonts w:ascii="Courier New" w:hAnsi="Courier New" w:cs="Courier New"/>
    </w:rPr>
  </w:style>
  <w:style w:type="character" w:customStyle="1" w:styleId="HTMLPreformattedChar">
    <w:name w:val="HTML Preformatted Char"/>
    <w:link w:val="HTMLPreformatted"/>
    <w:rsid w:val="00984DE8"/>
    <w:rPr>
      <w:rFonts w:ascii="Courier New" w:hAnsi="Courier New" w:cs="Courier New"/>
      <w:lang w:eastAsia="en-US"/>
    </w:rPr>
  </w:style>
  <w:style w:type="character" w:styleId="HTMLSample">
    <w:name w:val="HTML Sample"/>
    <w:rsid w:val="00984DE8"/>
    <w:rPr>
      <w:rFonts w:ascii="Courier New" w:hAnsi="Courier New" w:cs="Courier New"/>
    </w:rPr>
  </w:style>
  <w:style w:type="character" w:styleId="HTMLTypewriter">
    <w:name w:val="HTML Typewriter"/>
    <w:rsid w:val="00984DE8"/>
    <w:rPr>
      <w:rFonts w:ascii="Courier New" w:hAnsi="Courier New" w:cs="Courier New"/>
      <w:sz w:val="20"/>
      <w:szCs w:val="20"/>
    </w:rPr>
  </w:style>
  <w:style w:type="character" w:styleId="HTMLVariable">
    <w:name w:val="HTML Variable"/>
    <w:rsid w:val="00984DE8"/>
    <w:rPr>
      <w:i/>
      <w:iCs/>
    </w:rPr>
  </w:style>
  <w:style w:type="character" w:styleId="Hyperlink">
    <w:name w:val="Hyperlink"/>
    <w:uiPriority w:val="99"/>
    <w:rsid w:val="00984DE8"/>
    <w:rPr>
      <w:color w:val="0000FF"/>
      <w:u w:val="single"/>
    </w:rPr>
  </w:style>
  <w:style w:type="paragraph" w:styleId="Index1">
    <w:name w:val="index 1"/>
    <w:basedOn w:val="Normal"/>
    <w:next w:val="Normal"/>
    <w:autoRedefine/>
    <w:rsid w:val="00984DE8"/>
    <w:pPr>
      <w:ind w:left="200" w:hanging="200"/>
    </w:pPr>
  </w:style>
  <w:style w:type="paragraph" w:styleId="Index2">
    <w:name w:val="index 2"/>
    <w:basedOn w:val="Normal"/>
    <w:next w:val="Normal"/>
    <w:autoRedefine/>
    <w:rsid w:val="00984DE8"/>
    <w:pPr>
      <w:ind w:left="400" w:hanging="200"/>
    </w:pPr>
  </w:style>
  <w:style w:type="paragraph" w:styleId="Index3">
    <w:name w:val="index 3"/>
    <w:basedOn w:val="Normal"/>
    <w:next w:val="Normal"/>
    <w:autoRedefine/>
    <w:rsid w:val="00984DE8"/>
    <w:pPr>
      <w:ind w:left="600" w:hanging="200"/>
    </w:pPr>
  </w:style>
  <w:style w:type="paragraph" w:styleId="Index4">
    <w:name w:val="index 4"/>
    <w:basedOn w:val="Normal"/>
    <w:next w:val="Normal"/>
    <w:autoRedefine/>
    <w:rsid w:val="00984DE8"/>
    <w:pPr>
      <w:ind w:left="800" w:hanging="200"/>
    </w:pPr>
  </w:style>
  <w:style w:type="paragraph" w:styleId="Index5">
    <w:name w:val="index 5"/>
    <w:basedOn w:val="Normal"/>
    <w:next w:val="Normal"/>
    <w:autoRedefine/>
    <w:rsid w:val="00984DE8"/>
    <w:pPr>
      <w:ind w:left="1000" w:hanging="200"/>
    </w:pPr>
  </w:style>
  <w:style w:type="paragraph" w:styleId="Index6">
    <w:name w:val="index 6"/>
    <w:basedOn w:val="Normal"/>
    <w:next w:val="Normal"/>
    <w:autoRedefine/>
    <w:rsid w:val="00984DE8"/>
    <w:pPr>
      <w:ind w:left="1200" w:hanging="200"/>
    </w:pPr>
  </w:style>
  <w:style w:type="paragraph" w:styleId="Index7">
    <w:name w:val="index 7"/>
    <w:basedOn w:val="Normal"/>
    <w:next w:val="Normal"/>
    <w:autoRedefine/>
    <w:rsid w:val="00984DE8"/>
    <w:pPr>
      <w:ind w:left="1400" w:hanging="200"/>
    </w:pPr>
  </w:style>
  <w:style w:type="paragraph" w:styleId="Index8">
    <w:name w:val="index 8"/>
    <w:basedOn w:val="Normal"/>
    <w:next w:val="Normal"/>
    <w:autoRedefine/>
    <w:rsid w:val="00984DE8"/>
    <w:pPr>
      <w:ind w:left="1600" w:hanging="200"/>
    </w:pPr>
  </w:style>
  <w:style w:type="paragraph" w:styleId="Index9">
    <w:name w:val="index 9"/>
    <w:basedOn w:val="Normal"/>
    <w:next w:val="Normal"/>
    <w:autoRedefine/>
    <w:rsid w:val="00984DE8"/>
    <w:pPr>
      <w:ind w:left="1800" w:hanging="200"/>
    </w:pPr>
  </w:style>
  <w:style w:type="paragraph" w:styleId="IndexHeading">
    <w:name w:val="index heading"/>
    <w:basedOn w:val="Normal"/>
    <w:next w:val="Index1"/>
    <w:rsid w:val="00984DE8"/>
    <w:rPr>
      <w:rFonts w:ascii="Cambria" w:eastAsia="SimSun" w:hAnsi="Cambria" w:cs="Times New Roman"/>
      <w:b/>
      <w:bCs/>
    </w:rPr>
  </w:style>
  <w:style w:type="character" w:styleId="IntenseEmphasis">
    <w:name w:val="Intense Emphasis"/>
    <w:uiPriority w:val="21"/>
    <w:qFormat/>
    <w:rsid w:val="00984DE8"/>
    <w:rPr>
      <w:b/>
      <w:bCs/>
      <w:i/>
      <w:iCs/>
      <w:color w:val="4F81BD"/>
    </w:rPr>
  </w:style>
  <w:style w:type="paragraph" w:styleId="IntenseQuote">
    <w:name w:val="Intense Quote"/>
    <w:basedOn w:val="Normal"/>
    <w:next w:val="Normal"/>
    <w:link w:val="IntenseQuoteChar"/>
    <w:uiPriority w:val="30"/>
    <w:qFormat/>
    <w:rsid w:val="00984DE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984DE8"/>
    <w:rPr>
      <w:rFonts w:ascii="Arial" w:hAnsi="Arial" w:cs="Arial"/>
      <w:b/>
      <w:bCs/>
      <w:i/>
      <w:iCs/>
      <w:color w:val="4F81BD"/>
      <w:lang w:eastAsia="en-US"/>
    </w:rPr>
  </w:style>
  <w:style w:type="character" w:styleId="IntenseReference">
    <w:name w:val="Intense Reference"/>
    <w:uiPriority w:val="32"/>
    <w:qFormat/>
    <w:rsid w:val="00984DE8"/>
    <w:rPr>
      <w:b/>
      <w:bCs/>
      <w:smallCaps/>
      <w:color w:val="C0504D"/>
      <w:spacing w:val="5"/>
      <w:u w:val="single"/>
    </w:rPr>
  </w:style>
  <w:style w:type="table" w:styleId="LightGrid">
    <w:name w:val="Light Grid"/>
    <w:basedOn w:val="TableNormal"/>
    <w:uiPriority w:val="62"/>
    <w:rsid w:val="00984DE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84DE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84DE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84DE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84DE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84DE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84DE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84DE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84DE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84DE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84DE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84DE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84DE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84DE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84DE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84DE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84DE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84DE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84DE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84DE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84DE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984DE8"/>
  </w:style>
  <w:style w:type="paragraph" w:styleId="List">
    <w:name w:val="List"/>
    <w:basedOn w:val="Normal"/>
    <w:rsid w:val="00984DE8"/>
    <w:pPr>
      <w:ind w:left="283" w:hanging="283"/>
      <w:contextualSpacing/>
    </w:pPr>
  </w:style>
  <w:style w:type="paragraph" w:styleId="List2">
    <w:name w:val="List 2"/>
    <w:basedOn w:val="Normal"/>
    <w:rsid w:val="00984DE8"/>
    <w:pPr>
      <w:ind w:left="566" w:hanging="283"/>
      <w:contextualSpacing/>
    </w:pPr>
  </w:style>
  <w:style w:type="paragraph" w:styleId="List3">
    <w:name w:val="List 3"/>
    <w:basedOn w:val="Normal"/>
    <w:rsid w:val="00984DE8"/>
    <w:pPr>
      <w:ind w:left="849" w:hanging="283"/>
      <w:contextualSpacing/>
    </w:pPr>
  </w:style>
  <w:style w:type="paragraph" w:styleId="List4">
    <w:name w:val="List 4"/>
    <w:basedOn w:val="Normal"/>
    <w:rsid w:val="00984DE8"/>
    <w:pPr>
      <w:ind w:left="1132" w:hanging="283"/>
      <w:contextualSpacing/>
    </w:pPr>
  </w:style>
  <w:style w:type="paragraph" w:styleId="List5">
    <w:name w:val="List 5"/>
    <w:basedOn w:val="Normal"/>
    <w:rsid w:val="00984DE8"/>
    <w:pPr>
      <w:ind w:left="1415" w:hanging="283"/>
      <w:contextualSpacing/>
    </w:pPr>
  </w:style>
  <w:style w:type="paragraph" w:styleId="ListBullet">
    <w:name w:val="List Bullet"/>
    <w:basedOn w:val="Normal"/>
    <w:rsid w:val="00984DE8"/>
    <w:pPr>
      <w:numPr>
        <w:numId w:val="4"/>
      </w:numPr>
      <w:contextualSpacing/>
    </w:pPr>
  </w:style>
  <w:style w:type="paragraph" w:styleId="ListBullet2">
    <w:name w:val="List Bullet 2"/>
    <w:basedOn w:val="Normal"/>
    <w:rsid w:val="00984DE8"/>
    <w:pPr>
      <w:numPr>
        <w:numId w:val="5"/>
      </w:numPr>
      <w:contextualSpacing/>
    </w:pPr>
  </w:style>
  <w:style w:type="paragraph" w:styleId="ListBullet3">
    <w:name w:val="List Bullet 3"/>
    <w:basedOn w:val="Normal"/>
    <w:rsid w:val="00984DE8"/>
    <w:pPr>
      <w:numPr>
        <w:numId w:val="6"/>
      </w:numPr>
      <w:contextualSpacing/>
    </w:pPr>
  </w:style>
  <w:style w:type="paragraph" w:styleId="ListBullet4">
    <w:name w:val="List Bullet 4"/>
    <w:basedOn w:val="Normal"/>
    <w:rsid w:val="00984DE8"/>
    <w:pPr>
      <w:numPr>
        <w:numId w:val="7"/>
      </w:numPr>
      <w:contextualSpacing/>
    </w:pPr>
  </w:style>
  <w:style w:type="paragraph" w:styleId="ListBullet5">
    <w:name w:val="List Bullet 5"/>
    <w:basedOn w:val="Normal"/>
    <w:rsid w:val="00984DE8"/>
    <w:pPr>
      <w:numPr>
        <w:numId w:val="8"/>
      </w:numPr>
      <w:contextualSpacing/>
    </w:pPr>
  </w:style>
  <w:style w:type="paragraph" w:styleId="ListContinue">
    <w:name w:val="List Continue"/>
    <w:basedOn w:val="Normal"/>
    <w:rsid w:val="00984DE8"/>
    <w:pPr>
      <w:spacing w:after="120"/>
      <w:ind w:left="283"/>
      <w:contextualSpacing/>
    </w:pPr>
  </w:style>
  <w:style w:type="paragraph" w:styleId="ListContinue2">
    <w:name w:val="List Continue 2"/>
    <w:basedOn w:val="Normal"/>
    <w:rsid w:val="00984DE8"/>
    <w:pPr>
      <w:spacing w:after="120"/>
      <w:ind w:left="566"/>
      <w:contextualSpacing/>
    </w:pPr>
  </w:style>
  <w:style w:type="paragraph" w:styleId="ListContinue3">
    <w:name w:val="List Continue 3"/>
    <w:basedOn w:val="Normal"/>
    <w:rsid w:val="00984DE8"/>
    <w:pPr>
      <w:spacing w:after="120"/>
      <w:ind w:left="849"/>
      <w:contextualSpacing/>
    </w:pPr>
  </w:style>
  <w:style w:type="paragraph" w:styleId="ListContinue4">
    <w:name w:val="List Continue 4"/>
    <w:basedOn w:val="Normal"/>
    <w:rsid w:val="00984DE8"/>
    <w:pPr>
      <w:spacing w:after="120"/>
      <w:ind w:left="1132"/>
      <w:contextualSpacing/>
    </w:pPr>
  </w:style>
  <w:style w:type="paragraph" w:styleId="ListContinue5">
    <w:name w:val="List Continue 5"/>
    <w:basedOn w:val="Normal"/>
    <w:rsid w:val="00984DE8"/>
    <w:pPr>
      <w:spacing w:after="120"/>
      <w:ind w:left="1415"/>
      <w:contextualSpacing/>
    </w:pPr>
  </w:style>
  <w:style w:type="paragraph" w:styleId="ListNumber">
    <w:name w:val="List Number"/>
    <w:basedOn w:val="Normal"/>
    <w:rsid w:val="00984DE8"/>
    <w:pPr>
      <w:numPr>
        <w:numId w:val="9"/>
      </w:numPr>
      <w:contextualSpacing/>
    </w:pPr>
  </w:style>
  <w:style w:type="paragraph" w:styleId="ListNumber2">
    <w:name w:val="List Number 2"/>
    <w:basedOn w:val="Normal"/>
    <w:rsid w:val="00984DE8"/>
    <w:pPr>
      <w:numPr>
        <w:numId w:val="10"/>
      </w:numPr>
      <w:contextualSpacing/>
    </w:pPr>
  </w:style>
  <w:style w:type="paragraph" w:styleId="ListNumber3">
    <w:name w:val="List Number 3"/>
    <w:basedOn w:val="Normal"/>
    <w:rsid w:val="00984DE8"/>
    <w:pPr>
      <w:numPr>
        <w:numId w:val="11"/>
      </w:numPr>
      <w:contextualSpacing/>
    </w:pPr>
  </w:style>
  <w:style w:type="paragraph" w:styleId="ListNumber4">
    <w:name w:val="List Number 4"/>
    <w:basedOn w:val="Normal"/>
    <w:rsid w:val="00984DE8"/>
    <w:pPr>
      <w:numPr>
        <w:numId w:val="12"/>
      </w:numPr>
      <w:contextualSpacing/>
    </w:pPr>
  </w:style>
  <w:style w:type="paragraph" w:styleId="ListNumber5">
    <w:name w:val="List Number 5"/>
    <w:basedOn w:val="Normal"/>
    <w:rsid w:val="00984DE8"/>
    <w:pPr>
      <w:numPr>
        <w:numId w:val="13"/>
      </w:numPr>
      <w:contextualSpacing/>
    </w:pPr>
  </w:style>
  <w:style w:type="paragraph" w:styleId="ListParagraph">
    <w:name w:val="List Paragraph"/>
    <w:basedOn w:val="Normal"/>
    <w:link w:val="ListParagraphChar"/>
    <w:uiPriority w:val="34"/>
    <w:qFormat/>
    <w:rsid w:val="00984DE8"/>
    <w:pPr>
      <w:ind w:left="720"/>
    </w:pPr>
  </w:style>
  <w:style w:type="paragraph" w:styleId="MacroText">
    <w:name w:val="macro"/>
    <w:link w:val="MacroTextChar"/>
    <w:rsid w:val="00984DE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rsid w:val="00984DE8"/>
    <w:rPr>
      <w:rFonts w:ascii="Courier New" w:hAnsi="Courier New" w:cs="Courier New"/>
      <w:lang w:eastAsia="en-US"/>
    </w:rPr>
  </w:style>
  <w:style w:type="table" w:styleId="MediumGrid1">
    <w:name w:val="Medium Grid 1"/>
    <w:basedOn w:val="TableNormal"/>
    <w:uiPriority w:val="67"/>
    <w:rsid w:val="00984DE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84DE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84DE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84DE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84DE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84DE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84DE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84DE8"/>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84DE8"/>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84DE8"/>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84DE8"/>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84DE8"/>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84DE8"/>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84DE8"/>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84DE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84DE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84DE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84DE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84DE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84DE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84DE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84DE8"/>
    <w:rPr>
      <w:color w:val="000000"/>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84DE8"/>
    <w:rPr>
      <w:color w:val="000000"/>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84DE8"/>
    <w:rPr>
      <w:color w:val="000000"/>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84DE8"/>
    <w:rPr>
      <w:color w:val="000000"/>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84DE8"/>
    <w:rPr>
      <w:color w:val="000000"/>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84DE8"/>
    <w:rPr>
      <w:color w:val="000000"/>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84DE8"/>
    <w:rPr>
      <w:color w:val="000000"/>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84DE8"/>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84DE8"/>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84DE8"/>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84DE8"/>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84DE8"/>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84DE8"/>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84DE8"/>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84DE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84DE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84DE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84DE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84DE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84DE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84DE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84D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84D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84D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84D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84D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84D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84D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984DE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character" w:customStyle="1" w:styleId="MessageHeaderChar">
    <w:name w:val="Message Header Char"/>
    <w:link w:val="MessageHeader"/>
    <w:rsid w:val="00984DE8"/>
    <w:rPr>
      <w:rFonts w:ascii="Cambria" w:eastAsia="SimSun" w:hAnsi="Cambria"/>
      <w:sz w:val="24"/>
      <w:szCs w:val="24"/>
      <w:shd w:val="pct20" w:color="auto" w:fill="auto"/>
      <w:lang w:eastAsia="en-US"/>
    </w:rPr>
  </w:style>
  <w:style w:type="paragraph" w:styleId="NoSpacing">
    <w:name w:val="No Spacing"/>
    <w:uiPriority w:val="1"/>
    <w:qFormat/>
    <w:rsid w:val="00984DE8"/>
    <w:rPr>
      <w:rFonts w:ascii="Arial" w:hAnsi="Arial" w:cs="Arial"/>
      <w:lang w:eastAsia="en-US"/>
    </w:rPr>
  </w:style>
  <w:style w:type="paragraph" w:styleId="NormalWeb">
    <w:name w:val="Normal (Web)"/>
    <w:basedOn w:val="Normal"/>
    <w:rsid w:val="00984DE8"/>
    <w:rPr>
      <w:sz w:val="24"/>
      <w:szCs w:val="24"/>
    </w:rPr>
  </w:style>
  <w:style w:type="paragraph" w:styleId="NormalIndent">
    <w:name w:val="Normal Indent"/>
    <w:basedOn w:val="Normal"/>
    <w:rsid w:val="00984DE8"/>
    <w:pPr>
      <w:ind w:left="720"/>
    </w:pPr>
  </w:style>
  <w:style w:type="paragraph" w:styleId="NoteHeading">
    <w:name w:val="Note Heading"/>
    <w:basedOn w:val="Normal"/>
    <w:next w:val="Normal"/>
    <w:link w:val="NoteHeadingChar"/>
    <w:rsid w:val="00984DE8"/>
  </w:style>
  <w:style w:type="character" w:customStyle="1" w:styleId="NoteHeadingChar">
    <w:name w:val="Note Heading Char"/>
    <w:link w:val="NoteHeading"/>
    <w:rsid w:val="00984DE8"/>
    <w:rPr>
      <w:rFonts w:ascii="Arial" w:hAnsi="Arial" w:cs="Arial"/>
      <w:lang w:eastAsia="en-US"/>
    </w:rPr>
  </w:style>
  <w:style w:type="character" w:styleId="PlaceholderText">
    <w:name w:val="Placeholder Text"/>
    <w:uiPriority w:val="99"/>
    <w:semiHidden/>
    <w:rsid w:val="00984DE8"/>
    <w:rPr>
      <w:color w:val="808080"/>
    </w:rPr>
  </w:style>
  <w:style w:type="paragraph" w:styleId="PlainText">
    <w:name w:val="Plain Text"/>
    <w:basedOn w:val="Normal"/>
    <w:link w:val="PlainTextChar"/>
    <w:rsid w:val="00984DE8"/>
    <w:rPr>
      <w:rFonts w:ascii="Courier New" w:hAnsi="Courier New" w:cs="Courier New"/>
    </w:rPr>
  </w:style>
  <w:style w:type="character" w:customStyle="1" w:styleId="PlainTextChar">
    <w:name w:val="Plain Text Char"/>
    <w:link w:val="PlainText"/>
    <w:rsid w:val="00984DE8"/>
    <w:rPr>
      <w:rFonts w:ascii="Courier New" w:hAnsi="Courier New" w:cs="Courier New"/>
      <w:lang w:eastAsia="en-US"/>
    </w:rPr>
  </w:style>
  <w:style w:type="paragraph" w:styleId="Quote">
    <w:name w:val="Quote"/>
    <w:basedOn w:val="Normal"/>
    <w:next w:val="Normal"/>
    <w:link w:val="QuoteChar"/>
    <w:uiPriority w:val="29"/>
    <w:qFormat/>
    <w:rsid w:val="00984DE8"/>
    <w:rPr>
      <w:i/>
      <w:iCs/>
      <w:color w:val="000000"/>
    </w:rPr>
  </w:style>
  <w:style w:type="character" w:customStyle="1" w:styleId="QuoteChar">
    <w:name w:val="Quote Char"/>
    <w:link w:val="Quote"/>
    <w:uiPriority w:val="29"/>
    <w:rsid w:val="00984DE8"/>
    <w:rPr>
      <w:rFonts w:ascii="Arial" w:hAnsi="Arial" w:cs="Arial"/>
      <w:i/>
      <w:iCs/>
      <w:color w:val="000000"/>
      <w:lang w:eastAsia="en-US"/>
    </w:rPr>
  </w:style>
  <w:style w:type="paragraph" w:styleId="Salutation">
    <w:name w:val="Salutation"/>
    <w:basedOn w:val="Normal"/>
    <w:next w:val="Normal"/>
    <w:link w:val="SalutationChar"/>
    <w:rsid w:val="00984DE8"/>
  </w:style>
  <w:style w:type="character" w:customStyle="1" w:styleId="SalutationChar">
    <w:name w:val="Salutation Char"/>
    <w:link w:val="Salutation"/>
    <w:rsid w:val="00984DE8"/>
    <w:rPr>
      <w:rFonts w:ascii="Arial" w:hAnsi="Arial" w:cs="Arial"/>
      <w:lang w:eastAsia="en-US"/>
    </w:rPr>
  </w:style>
  <w:style w:type="paragraph" w:styleId="Signature">
    <w:name w:val="Signature"/>
    <w:basedOn w:val="Normal"/>
    <w:link w:val="SignatureChar"/>
    <w:rsid w:val="00984DE8"/>
    <w:pPr>
      <w:ind w:left="4252"/>
    </w:pPr>
  </w:style>
  <w:style w:type="character" w:customStyle="1" w:styleId="SignatureChar">
    <w:name w:val="Signature Char"/>
    <w:link w:val="Signature"/>
    <w:rsid w:val="00984DE8"/>
    <w:rPr>
      <w:rFonts w:ascii="Arial" w:hAnsi="Arial" w:cs="Arial"/>
      <w:lang w:eastAsia="en-US"/>
    </w:rPr>
  </w:style>
  <w:style w:type="character" w:styleId="Strong">
    <w:name w:val="Strong"/>
    <w:qFormat/>
    <w:rsid w:val="00984DE8"/>
    <w:rPr>
      <w:b/>
      <w:bCs/>
    </w:rPr>
  </w:style>
  <w:style w:type="paragraph" w:styleId="Subtitle">
    <w:name w:val="Subtitle"/>
    <w:basedOn w:val="Normal"/>
    <w:next w:val="Normal"/>
    <w:link w:val="SubtitleChar"/>
    <w:qFormat/>
    <w:rsid w:val="00984DE8"/>
    <w:pPr>
      <w:spacing w:after="60"/>
      <w:jc w:val="center"/>
      <w:outlineLvl w:val="1"/>
    </w:pPr>
    <w:rPr>
      <w:rFonts w:ascii="Cambria" w:eastAsia="SimSun" w:hAnsi="Cambria" w:cs="Times New Roman"/>
      <w:sz w:val="24"/>
      <w:szCs w:val="24"/>
    </w:rPr>
  </w:style>
  <w:style w:type="character" w:customStyle="1" w:styleId="SubtitleChar">
    <w:name w:val="Subtitle Char"/>
    <w:link w:val="Subtitle"/>
    <w:rsid w:val="00984DE8"/>
    <w:rPr>
      <w:rFonts w:ascii="Cambria" w:eastAsia="SimSun" w:hAnsi="Cambria"/>
      <w:sz w:val="24"/>
      <w:szCs w:val="24"/>
      <w:lang w:eastAsia="en-US"/>
    </w:rPr>
  </w:style>
  <w:style w:type="character" w:styleId="SubtleEmphasis">
    <w:name w:val="Subtle Emphasis"/>
    <w:uiPriority w:val="19"/>
    <w:qFormat/>
    <w:rsid w:val="00984DE8"/>
    <w:rPr>
      <w:i/>
      <w:iCs/>
      <w:color w:val="808080"/>
    </w:rPr>
  </w:style>
  <w:style w:type="character" w:styleId="SubtleReference">
    <w:name w:val="Subtle Reference"/>
    <w:uiPriority w:val="31"/>
    <w:qFormat/>
    <w:rsid w:val="00984DE8"/>
    <w:rPr>
      <w:smallCaps/>
      <w:color w:val="C0504D"/>
      <w:u w:val="single"/>
    </w:rPr>
  </w:style>
  <w:style w:type="table" w:styleId="Table3Deffects1">
    <w:name w:val="Table 3D effects 1"/>
    <w:basedOn w:val="TableNormal"/>
    <w:rsid w:val="00984DE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84DE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84DE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84DE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84DE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84DE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84DE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84DE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84DE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84DE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84DE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84DE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84DE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84DE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84DE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84DE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84DE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aliases w:val="_KJR Table Style,none,EP Table Grid,ICB Table,EY Question Table,CV table,EY Table,EYTable,CV1,new tab,Equifax table,Header Table,Format for the table,Header Table Grid,McLL Table General Text,PB Table,1TableGrid,~Tender Table,Attendance"/>
    <w:basedOn w:val="TableNormal"/>
    <w:rsid w:val="00984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984DE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84DE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84DE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84DE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84DE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84DE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84DE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84DE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84DE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84DE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84DE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84DE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84DE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84DE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84DE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84DE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984DE8"/>
    <w:pPr>
      <w:ind w:left="200" w:hanging="200"/>
    </w:pPr>
  </w:style>
  <w:style w:type="paragraph" w:styleId="TableofFigures">
    <w:name w:val="table of figures"/>
    <w:basedOn w:val="Normal"/>
    <w:next w:val="Normal"/>
    <w:rsid w:val="00984DE8"/>
  </w:style>
  <w:style w:type="table" w:styleId="TableProfessional">
    <w:name w:val="Table Professional"/>
    <w:basedOn w:val="TableNormal"/>
    <w:rsid w:val="00984DE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84DE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84DE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84DE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84DE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84DE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84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84DE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84DE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84DE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984DE8"/>
    <w:pPr>
      <w:spacing w:before="240" w:after="60"/>
      <w:jc w:val="center"/>
      <w:outlineLvl w:val="0"/>
    </w:pPr>
    <w:rPr>
      <w:rFonts w:ascii="Cambria" w:eastAsia="SimSun" w:hAnsi="Cambria" w:cs="Times New Roman"/>
      <w:b/>
      <w:bCs/>
      <w:kern w:val="28"/>
      <w:sz w:val="32"/>
      <w:szCs w:val="32"/>
    </w:rPr>
  </w:style>
  <w:style w:type="character" w:customStyle="1" w:styleId="TitleChar">
    <w:name w:val="Title Char"/>
    <w:link w:val="Title"/>
    <w:rsid w:val="00984DE8"/>
    <w:rPr>
      <w:rFonts w:ascii="Cambria" w:eastAsia="SimSun" w:hAnsi="Cambria"/>
      <w:b/>
      <w:bCs/>
      <w:kern w:val="28"/>
      <w:sz w:val="32"/>
      <w:szCs w:val="32"/>
      <w:lang w:eastAsia="en-US"/>
    </w:rPr>
  </w:style>
  <w:style w:type="paragraph" w:styleId="TOAHeading">
    <w:name w:val="toa heading"/>
    <w:basedOn w:val="Normal"/>
    <w:next w:val="Normal"/>
    <w:rsid w:val="00984DE8"/>
    <w:pPr>
      <w:spacing w:before="120"/>
    </w:pPr>
    <w:rPr>
      <w:rFonts w:ascii="Cambria" w:eastAsia="SimSun" w:hAnsi="Cambria" w:cs="Times New Roman"/>
      <w:b/>
      <w:bCs/>
      <w:sz w:val="24"/>
      <w:szCs w:val="24"/>
    </w:rPr>
  </w:style>
  <w:style w:type="paragraph" w:styleId="TOC4">
    <w:name w:val="toc 4"/>
    <w:basedOn w:val="Normal"/>
    <w:next w:val="Normal"/>
    <w:autoRedefine/>
    <w:uiPriority w:val="39"/>
    <w:rsid w:val="00984DE8"/>
    <w:pPr>
      <w:ind w:left="600"/>
    </w:pPr>
  </w:style>
  <w:style w:type="paragraph" w:styleId="TOC5">
    <w:name w:val="toc 5"/>
    <w:basedOn w:val="Normal"/>
    <w:next w:val="Normal"/>
    <w:autoRedefine/>
    <w:uiPriority w:val="39"/>
    <w:rsid w:val="00984DE8"/>
    <w:pPr>
      <w:ind w:left="800"/>
    </w:pPr>
  </w:style>
  <w:style w:type="paragraph" w:styleId="TOC6">
    <w:name w:val="toc 6"/>
    <w:basedOn w:val="Normal"/>
    <w:next w:val="Normal"/>
    <w:autoRedefine/>
    <w:uiPriority w:val="39"/>
    <w:rsid w:val="00984DE8"/>
    <w:pPr>
      <w:ind w:left="1000"/>
    </w:pPr>
  </w:style>
  <w:style w:type="paragraph" w:styleId="TOC7">
    <w:name w:val="toc 7"/>
    <w:basedOn w:val="Normal"/>
    <w:next w:val="Normal"/>
    <w:autoRedefine/>
    <w:uiPriority w:val="39"/>
    <w:rsid w:val="00984DE8"/>
    <w:pPr>
      <w:ind w:left="1200"/>
    </w:pPr>
  </w:style>
  <w:style w:type="paragraph" w:styleId="TOC8">
    <w:name w:val="toc 8"/>
    <w:basedOn w:val="Normal"/>
    <w:next w:val="Normal"/>
    <w:autoRedefine/>
    <w:uiPriority w:val="39"/>
    <w:rsid w:val="00984DE8"/>
    <w:pPr>
      <w:ind w:left="1400"/>
    </w:pPr>
  </w:style>
  <w:style w:type="paragraph" w:styleId="TOC9">
    <w:name w:val="toc 9"/>
    <w:basedOn w:val="Normal"/>
    <w:next w:val="Normal"/>
    <w:autoRedefine/>
    <w:uiPriority w:val="39"/>
    <w:rsid w:val="00984DE8"/>
    <w:pPr>
      <w:ind w:left="1600"/>
    </w:pPr>
  </w:style>
  <w:style w:type="paragraph" w:styleId="TOCHeading">
    <w:name w:val="TOC Heading"/>
    <w:basedOn w:val="Heading1"/>
    <w:next w:val="Normal"/>
    <w:uiPriority w:val="39"/>
    <w:semiHidden/>
    <w:unhideWhenUsed/>
    <w:qFormat/>
    <w:rsid w:val="00984DE8"/>
    <w:pPr>
      <w:numPr>
        <w:numId w:val="0"/>
      </w:numPr>
      <w:pBdr>
        <w:top w:val="none" w:sz="0" w:space="0" w:color="auto"/>
      </w:pBdr>
      <w:spacing w:after="60"/>
      <w:outlineLvl w:val="9"/>
    </w:pPr>
    <w:rPr>
      <w:rFonts w:ascii="Cambria" w:eastAsia="SimSun" w:hAnsi="Cambria" w:cs="Times New Roman"/>
      <w:bCs/>
      <w:kern w:val="32"/>
      <w:sz w:val="32"/>
      <w:szCs w:val="32"/>
    </w:rPr>
  </w:style>
  <w:style w:type="character" w:customStyle="1" w:styleId="FooterChar">
    <w:name w:val="Footer Char"/>
    <w:basedOn w:val="DefaultParagraphFont"/>
    <w:link w:val="Footer"/>
    <w:uiPriority w:val="99"/>
    <w:rsid w:val="00984DE8"/>
    <w:rPr>
      <w:rFonts w:ascii="Arial" w:hAnsi="Arial" w:cs="Arial"/>
      <w:sz w:val="16"/>
      <w:lang w:eastAsia="en-US"/>
    </w:rPr>
  </w:style>
  <w:style w:type="numbering" w:customStyle="1" w:styleId="AnnexureListNumbers">
    <w:name w:val="Annexure List Numbers"/>
    <w:basedOn w:val="NoList"/>
    <w:uiPriority w:val="99"/>
    <w:rsid w:val="00984DE8"/>
    <w:pPr>
      <w:numPr>
        <w:numId w:val="14"/>
      </w:numPr>
    </w:pPr>
  </w:style>
  <w:style w:type="paragraph" w:customStyle="1" w:styleId="AnnexurePageHeading">
    <w:name w:val="Annexure Page Heading"/>
    <w:basedOn w:val="Normal"/>
    <w:next w:val="BodyText"/>
    <w:uiPriority w:val="2"/>
    <w:qFormat/>
    <w:rsid w:val="00984DE8"/>
    <w:pPr>
      <w:numPr>
        <w:numId w:val="14"/>
      </w:numPr>
      <w:spacing w:after="1240"/>
    </w:pPr>
    <w:rPr>
      <w:sz w:val="36"/>
    </w:rPr>
  </w:style>
  <w:style w:type="numbering" w:customStyle="1" w:styleId="ScheduleListNumbers">
    <w:name w:val="Schedule List Numbers"/>
    <w:basedOn w:val="NoList"/>
    <w:uiPriority w:val="99"/>
    <w:rsid w:val="00984DE8"/>
    <w:pPr>
      <w:numPr>
        <w:numId w:val="91"/>
      </w:numPr>
    </w:pPr>
  </w:style>
  <w:style w:type="paragraph" w:customStyle="1" w:styleId="SchedulePageHeading">
    <w:name w:val="Schedule Page Heading"/>
    <w:basedOn w:val="Normal"/>
    <w:next w:val="SchedH1"/>
    <w:uiPriority w:val="2"/>
    <w:qFormat/>
    <w:rsid w:val="00984DE8"/>
    <w:pPr>
      <w:numPr>
        <w:numId w:val="56"/>
      </w:numPr>
      <w:spacing w:after="1240"/>
    </w:pPr>
    <w:rPr>
      <w:sz w:val="36"/>
    </w:rPr>
  </w:style>
  <w:style w:type="paragraph" w:customStyle="1" w:styleId="Parties">
    <w:name w:val="Parties"/>
    <w:basedOn w:val="Normal"/>
    <w:uiPriority w:val="2"/>
    <w:qFormat/>
    <w:rsid w:val="00984DE8"/>
    <w:pPr>
      <w:numPr>
        <w:numId w:val="15"/>
      </w:numPr>
      <w:spacing w:before="120" w:after="120" w:line="260" w:lineRule="atLeast"/>
    </w:pPr>
  </w:style>
  <w:style w:type="numbering" w:customStyle="1" w:styleId="PartiesListHeading">
    <w:name w:val="Parties List Heading"/>
    <w:uiPriority w:val="99"/>
    <w:rsid w:val="00984DE8"/>
    <w:pPr>
      <w:numPr>
        <w:numId w:val="15"/>
      </w:numPr>
    </w:pPr>
  </w:style>
  <w:style w:type="numbering" w:customStyle="1" w:styleId="PartHeadingNumbering">
    <w:name w:val="Part Heading Numbering"/>
    <w:uiPriority w:val="99"/>
    <w:rsid w:val="00984DE8"/>
    <w:pPr>
      <w:numPr>
        <w:numId w:val="55"/>
      </w:numPr>
    </w:pPr>
  </w:style>
  <w:style w:type="paragraph" w:customStyle="1" w:styleId="Recitals">
    <w:name w:val="Recitals"/>
    <w:basedOn w:val="Normal"/>
    <w:uiPriority w:val="2"/>
    <w:rsid w:val="00984DE8"/>
    <w:pPr>
      <w:numPr>
        <w:numId w:val="16"/>
      </w:numPr>
      <w:spacing w:before="120" w:after="120" w:line="260" w:lineRule="atLeast"/>
    </w:pPr>
  </w:style>
  <w:style w:type="paragraph" w:customStyle="1" w:styleId="Item">
    <w:name w:val="Item"/>
    <w:basedOn w:val="Normal"/>
    <w:next w:val="BodyText"/>
    <w:qFormat/>
    <w:rsid w:val="00984DE8"/>
    <w:pPr>
      <w:numPr>
        <w:numId w:val="17"/>
      </w:numPr>
      <w:spacing w:before="120"/>
    </w:pPr>
    <w:rPr>
      <w:b/>
    </w:rPr>
  </w:style>
  <w:style w:type="paragraph" w:customStyle="1" w:styleId="ItemSub">
    <w:name w:val="ItemSub"/>
    <w:basedOn w:val="Item"/>
    <w:next w:val="BodyText"/>
    <w:qFormat/>
    <w:rsid w:val="00984DE8"/>
    <w:pPr>
      <w:numPr>
        <w:ilvl w:val="1"/>
      </w:numPr>
    </w:pPr>
  </w:style>
  <w:style w:type="character" w:customStyle="1" w:styleId="FootnoteTextChar">
    <w:name w:val="Footnote Text Char"/>
    <w:aliases w:val="Car Char"/>
    <w:basedOn w:val="DefaultParagraphFont"/>
    <w:link w:val="FootnoteText"/>
    <w:rsid w:val="00984DE8"/>
    <w:rPr>
      <w:rFonts w:ascii="Arial" w:hAnsi="Arial" w:cs="Arial"/>
      <w:sz w:val="18"/>
      <w:lang w:eastAsia="en-US"/>
    </w:rPr>
  </w:style>
  <w:style w:type="character" w:customStyle="1" w:styleId="Indent2Char">
    <w:name w:val="Indent 2 Char"/>
    <w:link w:val="Indent2"/>
    <w:rsid w:val="00984DE8"/>
    <w:rPr>
      <w:rFonts w:ascii="Arial" w:hAnsi="Arial" w:cs="Arial"/>
      <w:lang w:eastAsia="en-US"/>
    </w:rPr>
  </w:style>
  <w:style w:type="paragraph" w:customStyle="1" w:styleId="AttachmentHeading">
    <w:name w:val="Attachment Heading"/>
    <w:basedOn w:val="Normal"/>
    <w:next w:val="Normal"/>
    <w:rsid w:val="00E3627A"/>
    <w:pPr>
      <w:pageBreakBefore/>
      <w:numPr>
        <w:numId w:val="18"/>
      </w:numPr>
      <w:spacing w:after="240"/>
    </w:pPr>
    <w:rPr>
      <w:rFonts w:cs="Times New Roman"/>
      <w:b/>
      <w:sz w:val="24"/>
      <w:szCs w:val="22"/>
    </w:rPr>
  </w:style>
  <w:style w:type="paragraph" w:customStyle="1" w:styleId="GeneralHeading">
    <w:name w:val="General Heading"/>
    <w:basedOn w:val="Normal"/>
    <w:next w:val="Normal"/>
    <w:rsid w:val="00C71024"/>
    <w:pPr>
      <w:keepNext/>
      <w:spacing w:before="200" w:line="312" w:lineRule="auto"/>
    </w:pPr>
    <w:rPr>
      <w:rFonts w:cs="Times New Roman"/>
      <w:b/>
    </w:rPr>
  </w:style>
  <w:style w:type="paragraph" w:customStyle="1" w:styleId="ListNumberTable">
    <w:name w:val="List Number Table"/>
    <w:basedOn w:val="Normal"/>
    <w:rsid w:val="007D10D3"/>
    <w:pPr>
      <w:numPr>
        <w:numId w:val="20"/>
      </w:numPr>
      <w:spacing w:after="120"/>
    </w:pPr>
    <w:rPr>
      <w:rFonts w:eastAsia="Arial"/>
      <w:sz w:val="18"/>
      <w:szCs w:val="18"/>
      <w:lang w:eastAsia="en-AU"/>
    </w:rPr>
  </w:style>
  <w:style w:type="paragraph" w:customStyle="1" w:styleId="NoTOCHdg1">
    <w:name w:val="NoTOCHdg 1"/>
    <w:basedOn w:val="Normal"/>
    <w:next w:val="BodyText"/>
    <w:uiPriority w:val="10"/>
    <w:qFormat/>
    <w:rsid w:val="00A45FF6"/>
    <w:pPr>
      <w:keepNext/>
      <w:numPr>
        <w:numId w:val="21"/>
      </w:numPr>
      <w:pBdr>
        <w:bottom w:val="single" w:sz="8" w:space="4" w:color="auto"/>
      </w:pBdr>
      <w:spacing w:before="600" w:after="240"/>
    </w:pPr>
    <w:rPr>
      <w:rFonts w:eastAsia="Arial"/>
      <w:sz w:val="28"/>
      <w:szCs w:val="28"/>
      <w:lang w:eastAsia="en-AU"/>
    </w:rPr>
  </w:style>
  <w:style w:type="paragraph" w:customStyle="1" w:styleId="NoTOCHdg2">
    <w:name w:val="NoTOCHdg 2"/>
    <w:basedOn w:val="Normal"/>
    <w:next w:val="BodyText"/>
    <w:uiPriority w:val="11"/>
    <w:qFormat/>
    <w:rsid w:val="00A45FF6"/>
    <w:pPr>
      <w:keepNext/>
      <w:numPr>
        <w:ilvl w:val="1"/>
        <w:numId w:val="21"/>
      </w:numPr>
      <w:spacing w:before="240" w:after="240"/>
    </w:pPr>
    <w:rPr>
      <w:rFonts w:eastAsia="Arial"/>
      <w:b/>
      <w:sz w:val="24"/>
      <w:szCs w:val="24"/>
      <w:lang w:eastAsia="en-AU"/>
    </w:rPr>
  </w:style>
  <w:style w:type="paragraph" w:customStyle="1" w:styleId="NoTOCHdg3">
    <w:name w:val="NoTOCHdg 3"/>
    <w:basedOn w:val="Normal"/>
    <w:next w:val="BodyTextIndent"/>
    <w:uiPriority w:val="12"/>
    <w:qFormat/>
    <w:rsid w:val="00A45FF6"/>
    <w:pPr>
      <w:numPr>
        <w:ilvl w:val="2"/>
        <w:numId w:val="21"/>
      </w:numPr>
      <w:spacing w:before="120" w:after="120"/>
      <w:ind w:left="1800" w:hanging="180"/>
    </w:pPr>
    <w:rPr>
      <w:rFonts w:eastAsia="Arial"/>
      <w:lang w:eastAsia="en-AU"/>
    </w:rPr>
  </w:style>
  <w:style w:type="paragraph" w:customStyle="1" w:styleId="NoTOCHdg4">
    <w:name w:val="NoTOCHdg 4"/>
    <w:basedOn w:val="Normal"/>
    <w:next w:val="BodyTextIndent2"/>
    <w:uiPriority w:val="13"/>
    <w:qFormat/>
    <w:rsid w:val="00A45FF6"/>
    <w:pPr>
      <w:numPr>
        <w:ilvl w:val="3"/>
        <w:numId w:val="21"/>
      </w:numPr>
      <w:spacing w:before="120" w:after="120"/>
    </w:pPr>
    <w:rPr>
      <w:rFonts w:eastAsia="Arial"/>
      <w:lang w:eastAsia="en-AU"/>
    </w:rPr>
  </w:style>
  <w:style w:type="paragraph" w:customStyle="1" w:styleId="NoTOCHdg5">
    <w:name w:val="NoTOCHdg 5"/>
    <w:basedOn w:val="Normal"/>
    <w:next w:val="BodyTextIndent3"/>
    <w:semiHidden/>
    <w:locked/>
    <w:rsid w:val="00A45FF6"/>
    <w:pPr>
      <w:numPr>
        <w:ilvl w:val="4"/>
        <w:numId w:val="21"/>
      </w:numPr>
      <w:spacing w:after="120"/>
    </w:pPr>
    <w:rPr>
      <w:rFonts w:eastAsia="Arial"/>
      <w:lang w:eastAsia="en-AU"/>
    </w:rPr>
  </w:style>
  <w:style w:type="table" w:customStyle="1" w:styleId="TableStyle3">
    <w:name w:val="Table Style3"/>
    <w:basedOn w:val="TableNormal"/>
    <w:rsid w:val="00A45FF6"/>
    <w:pPr>
      <w:spacing w:after="120"/>
    </w:pPr>
    <w:rPr>
      <w:rFonts w:ascii="Arial" w:eastAsia="Arial" w:hAnsi="Arial" w:cs="Arial"/>
      <w:sz w:val="18"/>
      <w:lang w:val="en-US" w:eastAsia="en-US"/>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paragraph" w:customStyle="1" w:styleId="ListNumberTable2">
    <w:name w:val="List Number Table 2"/>
    <w:basedOn w:val="Normal"/>
    <w:semiHidden/>
    <w:rsid w:val="007D62D5"/>
    <w:pPr>
      <w:numPr>
        <w:numId w:val="22"/>
      </w:numPr>
      <w:spacing w:after="120"/>
    </w:pPr>
    <w:rPr>
      <w:rFonts w:eastAsia="Arial"/>
      <w:lang w:eastAsia="en-AU"/>
    </w:rPr>
  </w:style>
  <w:style w:type="paragraph" w:customStyle="1" w:styleId="CharChar1Char">
    <w:name w:val="Char Char1 Char"/>
    <w:basedOn w:val="Normal"/>
    <w:rsid w:val="002B3BFC"/>
    <w:pPr>
      <w:spacing w:after="160" w:line="240" w:lineRule="exact"/>
    </w:pPr>
    <w:rPr>
      <w:rFonts w:ascii="Verdana" w:hAnsi="Verdana" w:cs="Times New Roman"/>
      <w:lang w:val="en-GB"/>
    </w:rPr>
  </w:style>
  <w:style w:type="paragraph" w:customStyle="1" w:styleId="CharChar1Char3">
    <w:name w:val="Char Char1 Char3"/>
    <w:basedOn w:val="Normal"/>
    <w:rsid w:val="00E67CB7"/>
    <w:pPr>
      <w:spacing w:after="160" w:line="240" w:lineRule="exact"/>
    </w:pPr>
    <w:rPr>
      <w:rFonts w:ascii="Verdana" w:hAnsi="Verdana" w:cs="Times New Roman"/>
      <w:lang w:val="en-GB"/>
    </w:rPr>
  </w:style>
  <w:style w:type="paragraph" w:customStyle="1" w:styleId="CharChar1Char2">
    <w:name w:val="Char Char1 Char2"/>
    <w:basedOn w:val="Normal"/>
    <w:rsid w:val="003B46B9"/>
    <w:pPr>
      <w:spacing w:after="160" w:line="240" w:lineRule="exact"/>
    </w:pPr>
    <w:rPr>
      <w:rFonts w:ascii="Verdana" w:hAnsi="Verdana" w:cs="Times New Roman"/>
      <w:lang w:val="en-GB"/>
    </w:rPr>
  </w:style>
  <w:style w:type="character" w:customStyle="1" w:styleId="Heading7Char">
    <w:name w:val="Heading 7 Char"/>
    <w:aliases w:val="H7 Char,i. Char,Legal Level 1.1. Char,Indented hyphen Char,(1) Char,Lev 7 Char,Heading 7(unused) Char,Body Text 6 Char,ap Char,i.1 Char,not Kinhill1 Char,square GS Char,level1noheading Char,L2 PIP Char,Level 1.1 Char,heading 7 Char,7 Char"/>
    <w:link w:val="Heading7"/>
    <w:uiPriority w:val="9"/>
    <w:rsid w:val="00F573D5"/>
    <w:rPr>
      <w:rFonts w:ascii="Arial" w:hAnsi="Arial" w:cs="Arial"/>
      <w:lang w:eastAsia="en-US"/>
    </w:rPr>
  </w:style>
  <w:style w:type="character" w:customStyle="1" w:styleId="Heading8Char">
    <w:name w:val="Heading 8 Char"/>
    <w:aliases w:val="8 Char,Annex Char,Appendix Level 2 Char,Body Text 7 Char,Bullet 1 Char,H8 Char,Heading 8(unused) Char,L3 PIP Char,Legal Level 1.1.1. Char,Lev 8 Char,Level 1.1.1 Char,ad Char,h8 Char,level2(a) Char,rp_Heading 8 Char,(Sub-section Nos) Char"/>
    <w:link w:val="Heading8"/>
    <w:uiPriority w:val="9"/>
    <w:rsid w:val="00F573D5"/>
    <w:rPr>
      <w:rFonts w:ascii="Arial" w:hAnsi="Arial" w:cs="Arial"/>
      <w:lang w:eastAsia="en-US"/>
    </w:rPr>
  </w:style>
  <w:style w:type="character" w:customStyle="1" w:styleId="Heading2Char">
    <w:name w:val="Heading 2 Char"/>
    <w:aliases w:val="2 Char,Attribute Heading 2 Char,B Sub/Bold Char,B Sub/Bold1 Char,B Sub/Bold11 Char,B Sub/Bold2 Char,Centerhead Char,H2 Char,Head 2 Char,Header 2 Char,List level 2 Char,Para2 Char,Reset numbering Char,body Char,h2 Char,h2 main heading Char"/>
    <w:link w:val="Heading2"/>
    <w:rsid w:val="0058045D"/>
    <w:rPr>
      <w:rFonts w:ascii="Arial" w:hAnsi="Arial" w:cs="Arial"/>
      <w:b/>
      <w:sz w:val="22"/>
      <w:lang w:eastAsia="en-US"/>
    </w:rPr>
  </w:style>
  <w:style w:type="paragraph" w:customStyle="1" w:styleId="Definition">
    <w:name w:val="Definition"/>
    <w:basedOn w:val="Normal"/>
    <w:rsid w:val="007812BC"/>
    <w:pPr>
      <w:numPr>
        <w:numId w:val="24"/>
      </w:numPr>
      <w:spacing w:after="240"/>
    </w:pPr>
    <w:rPr>
      <w:rFonts w:cs="Times New Roman"/>
      <w:szCs w:val="22"/>
    </w:rPr>
  </w:style>
  <w:style w:type="paragraph" w:customStyle="1" w:styleId="DefinitionNum2">
    <w:name w:val="DefinitionNum2"/>
    <w:basedOn w:val="Normal"/>
    <w:rsid w:val="007812BC"/>
    <w:pPr>
      <w:numPr>
        <w:ilvl w:val="1"/>
        <w:numId w:val="24"/>
      </w:numPr>
      <w:spacing w:after="240"/>
    </w:pPr>
    <w:rPr>
      <w:rFonts w:cs="Times New Roman"/>
      <w:szCs w:val="24"/>
    </w:rPr>
  </w:style>
  <w:style w:type="paragraph" w:customStyle="1" w:styleId="DefinitionNum3">
    <w:name w:val="DefinitionNum3"/>
    <w:basedOn w:val="Normal"/>
    <w:rsid w:val="007812BC"/>
    <w:pPr>
      <w:numPr>
        <w:ilvl w:val="2"/>
        <w:numId w:val="24"/>
      </w:numPr>
      <w:spacing w:after="240"/>
      <w:outlineLvl w:val="2"/>
    </w:pPr>
    <w:rPr>
      <w:rFonts w:cs="Times New Roman"/>
      <w:szCs w:val="22"/>
    </w:rPr>
  </w:style>
  <w:style w:type="paragraph" w:customStyle="1" w:styleId="DefinitionNum4">
    <w:name w:val="DefinitionNum4"/>
    <w:basedOn w:val="Normal"/>
    <w:rsid w:val="007812BC"/>
    <w:pPr>
      <w:numPr>
        <w:ilvl w:val="3"/>
        <w:numId w:val="24"/>
      </w:numPr>
      <w:spacing w:after="240"/>
    </w:pPr>
    <w:rPr>
      <w:rFonts w:cs="Times New Roman"/>
      <w:szCs w:val="24"/>
    </w:rPr>
  </w:style>
  <w:style w:type="numbering" w:customStyle="1" w:styleId="Definitions">
    <w:name w:val="Definitions"/>
    <w:rsid w:val="007812BC"/>
    <w:pPr>
      <w:numPr>
        <w:numId w:val="23"/>
      </w:numPr>
    </w:pPr>
  </w:style>
  <w:style w:type="paragraph" w:customStyle="1" w:styleId="CharChar1Char1">
    <w:name w:val="Char Char1 Char1"/>
    <w:basedOn w:val="Normal"/>
    <w:rsid w:val="006A27E0"/>
    <w:pPr>
      <w:spacing w:after="160" w:line="240" w:lineRule="exact"/>
    </w:pPr>
    <w:rPr>
      <w:rFonts w:ascii="Verdana" w:hAnsi="Verdana" w:cs="Times New Roman"/>
      <w:lang w:val="en-GB"/>
    </w:rPr>
  </w:style>
  <w:style w:type="paragraph" w:customStyle="1" w:styleId="Meaning">
    <w:name w:val="Meaning"/>
    <w:basedOn w:val="Normal"/>
    <w:rsid w:val="008864F4"/>
    <w:pPr>
      <w:spacing w:after="120"/>
    </w:pPr>
    <w:rPr>
      <w:rFonts w:eastAsia="Arial"/>
      <w:sz w:val="18"/>
      <w:lang w:eastAsia="en-AU"/>
    </w:rPr>
  </w:style>
  <w:style w:type="character" w:customStyle="1" w:styleId="DefinedTerm">
    <w:name w:val="Defined Term"/>
    <w:basedOn w:val="DefaultParagraphFont"/>
    <w:uiPriority w:val="99"/>
    <w:rsid w:val="008864F4"/>
    <w:rPr>
      <w:rFonts w:ascii="Arial" w:hAnsi="Arial" w:cs="Arial" w:hint="default"/>
      <w:b/>
      <w:bCs/>
    </w:rPr>
  </w:style>
  <w:style w:type="character" w:customStyle="1" w:styleId="Heading1Char">
    <w:name w:val="Heading 1 Char"/>
    <w:aliases w:val="1. Char,1. Level 1 Heading Char,69% Char,Attribute Heading 1 Char,Chapter Char,H-1 Char,H1 Char,Head1 Char,Heading 1 St.George Char,Heading apps Char,Lev 1 Char,MAIN HEADING Char,Main Heading Char,NEWS GOTHIC B Char,No numbers Char"/>
    <w:basedOn w:val="DefaultParagraphFont"/>
    <w:link w:val="Heading1"/>
    <w:locked/>
    <w:rsid w:val="0058045D"/>
    <w:rPr>
      <w:rFonts w:ascii="Arial" w:hAnsi="Arial" w:cs="Arial"/>
      <w:b/>
      <w:sz w:val="28"/>
      <w:lang w:eastAsia="en-US"/>
    </w:rPr>
  </w:style>
  <w:style w:type="character" w:customStyle="1" w:styleId="Heading3Char">
    <w:name w:val="Heading 3 Char"/>
    <w:aliases w:val="(Alt+3) Char,(Alt+3)1 Char,(Alt+3)10 Char,(Alt+3)11 Char,(Alt+3)12 Char,(Alt+3)13 Char,(Alt+3)14 Char,(Alt+3)2 Char,(Alt+3)21 Char,(Alt+3)22 Char,(Alt+3)23 Char,(Alt+3)3 Char,(Alt+3)31 Char,(Alt+3)32 Char,(Alt+3)33 Char,(Alt+3)4 Char"/>
    <w:basedOn w:val="DefaultParagraphFont"/>
    <w:link w:val="Heading3"/>
    <w:locked/>
    <w:rsid w:val="0058045D"/>
    <w:rPr>
      <w:rFonts w:ascii="Arial" w:hAnsi="Arial" w:cs="Arial"/>
      <w:lang w:eastAsia="en-US"/>
    </w:rPr>
  </w:style>
  <w:style w:type="paragraph" w:styleId="Revision">
    <w:name w:val="Revision"/>
    <w:hidden/>
    <w:uiPriority w:val="99"/>
    <w:semiHidden/>
    <w:rsid w:val="00E5478C"/>
    <w:rPr>
      <w:rFonts w:ascii="Arial" w:hAnsi="Arial" w:cs="Arial"/>
      <w:lang w:eastAsia="en-US"/>
    </w:rPr>
  </w:style>
  <w:style w:type="paragraph" w:customStyle="1" w:styleId="GHdg1">
    <w:name w:val="G Hdg 1"/>
    <w:basedOn w:val="Normal"/>
    <w:next w:val="BodyText"/>
    <w:locked/>
    <w:rsid w:val="00107EC8"/>
    <w:pPr>
      <w:keepNext/>
      <w:numPr>
        <w:numId w:val="25"/>
      </w:numPr>
      <w:pBdr>
        <w:bottom w:val="single" w:sz="8" w:space="4" w:color="auto"/>
      </w:pBdr>
      <w:spacing w:before="240" w:after="160"/>
      <w:outlineLvl w:val="0"/>
    </w:pPr>
    <w:rPr>
      <w:rFonts w:eastAsia="Arial"/>
      <w:sz w:val="22"/>
      <w:szCs w:val="28"/>
      <w:lang w:eastAsia="en-AU"/>
    </w:rPr>
  </w:style>
  <w:style w:type="paragraph" w:customStyle="1" w:styleId="GHdg2">
    <w:name w:val="G Hdg 2"/>
    <w:basedOn w:val="Normal"/>
    <w:next w:val="BodyText"/>
    <w:locked/>
    <w:rsid w:val="00107EC8"/>
    <w:pPr>
      <w:keepNext/>
      <w:numPr>
        <w:ilvl w:val="1"/>
        <w:numId w:val="25"/>
      </w:numPr>
      <w:spacing w:before="120" w:after="120"/>
      <w:outlineLvl w:val="1"/>
    </w:pPr>
    <w:rPr>
      <w:rFonts w:eastAsia="Arial"/>
      <w:sz w:val="18"/>
      <w:szCs w:val="24"/>
      <w:lang w:eastAsia="en-AU"/>
    </w:rPr>
  </w:style>
  <w:style w:type="paragraph" w:customStyle="1" w:styleId="GHdg3">
    <w:name w:val="G Hdg 3"/>
    <w:basedOn w:val="Normal"/>
    <w:next w:val="BodyTextIndent"/>
    <w:locked/>
    <w:rsid w:val="00107EC8"/>
    <w:pPr>
      <w:numPr>
        <w:ilvl w:val="2"/>
        <w:numId w:val="25"/>
      </w:numPr>
      <w:spacing w:before="120" w:after="120"/>
      <w:outlineLvl w:val="2"/>
    </w:pPr>
    <w:rPr>
      <w:rFonts w:eastAsia="Arial"/>
      <w:sz w:val="18"/>
      <w:lang w:eastAsia="en-AU"/>
    </w:rPr>
  </w:style>
  <w:style w:type="paragraph" w:customStyle="1" w:styleId="GHdg4">
    <w:name w:val="G Hdg 4"/>
    <w:basedOn w:val="Normal"/>
    <w:next w:val="BodyTextIndent2"/>
    <w:locked/>
    <w:rsid w:val="00107EC8"/>
    <w:pPr>
      <w:numPr>
        <w:ilvl w:val="3"/>
        <w:numId w:val="25"/>
      </w:numPr>
      <w:spacing w:before="120" w:after="120"/>
      <w:outlineLvl w:val="3"/>
    </w:pPr>
    <w:rPr>
      <w:rFonts w:eastAsia="Arial"/>
      <w:sz w:val="18"/>
      <w:lang w:eastAsia="en-AU"/>
    </w:rPr>
  </w:style>
  <w:style w:type="numbering" w:customStyle="1" w:styleId="GHdgNumbering">
    <w:name w:val="GHdgNumbering"/>
    <w:rsid w:val="00107EC8"/>
    <w:pPr>
      <w:numPr>
        <w:numId w:val="26"/>
      </w:numPr>
    </w:pPr>
  </w:style>
  <w:style w:type="paragraph" w:customStyle="1" w:styleId="RedHeading1">
    <w:name w:val="Red Heading 1"/>
    <w:basedOn w:val="Normal"/>
    <w:semiHidden/>
    <w:rsid w:val="00E00A5A"/>
    <w:pPr>
      <w:numPr>
        <w:numId w:val="27"/>
      </w:numPr>
      <w:spacing w:after="240"/>
    </w:pPr>
    <w:rPr>
      <w:rFonts w:cs="Times New Roman"/>
      <w:sz w:val="19"/>
      <w:lang w:eastAsia="en-AU"/>
    </w:rPr>
  </w:style>
  <w:style w:type="paragraph" w:customStyle="1" w:styleId="RedHeading2">
    <w:name w:val="Red Heading 2"/>
    <w:basedOn w:val="Normal"/>
    <w:semiHidden/>
    <w:rsid w:val="00E00A5A"/>
    <w:pPr>
      <w:numPr>
        <w:ilvl w:val="1"/>
        <w:numId w:val="27"/>
      </w:numPr>
      <w:spacing w:after="240"/>
    </w:pPr>
    <w:rPr>
      <w:rFonts w:cs="Times New Roman"/>
      <w:sz w:val="19"/>
      <w:lang w:eastAsia="en-AU"/>
    </w:rPr>
  </w:style>
  <w:style w:type="paragraph" w:customStyle="1" w:styleId="RedHeading3">
    <w:name w:val="Red Heading 3"/>
    <w:basedOn w:val="Normal"/>
    <w:semiHidden/>
    <w:rsid w:val="00E00A5A"/>
    <w:pPr>
      <w:numPr>
        <w:ilvl w:val="2"/>
        <w:numId w:val="27"/>
      </w:numPr>
      <w:spacing w:after="240"/>
    </w:pPr>
    <w:rPr>
      <w:rFonts w:cs="Times New Roman"/>
      <w:sz w:val="19"/>
      <w:lang w:eastAsia="en-AU"/>
    </w:rPr>
  </w:style>
  <w:style w:type="paragraph" w:customStyle="1" w:styleId="RedHeading4">
    <w:name w:val="Red Heading 4"/>
    <w:basedOn w:val="Normal"/>
    <w:semiHidden/>
    <w:rsid w:val="00E00A5A"/>
    <w:pPr>
      <w:numPr>
        <w:ilvl w:val="3"/>
        <w:numId w:val="27"/>
      </w:numPr>
      <w:spacing w:after="240"/>
    </w:pPr>
    <w:rPr>
      <w:rFonts w:cs="Times New Roman"/>
      <w:sz w:val="19"/>
      <w:lang w:eastAsia="en-AU"/>
    </w:rPr>
  </w:style>
  <w:style w:type="paragraph" w:customStyle="1" w:styleId="RedHeading5">
    <w:name w:val="Red Heading 5"/>
    <w:basedOn w:val="Normal"/>
    <w:semiHidden/>
    <w:rsid w:val="00E00A5A"/>
    <w:pPr>
      <w:numPr>
        <w:ilvl w:val="4"/>
        <w:numId w:val="27"/>
      </w:numPr>
      <w:spacing w:after="240"/>
    </w:pPr>
    <w:rPr>
      <w:rFonts w:cs="Times New Roman"/>
      <w:sz w:val="19"/>
      <w:lang w:eastAsia="en-AU"/>
    </w:rPr>
  </w:style>
  <w:style w:type="paragraph" w:customStyle="1" w:styleId="RedHeading6">
    <w:name w:val="Red Heading 6"/>
    <w:basedOn w:val="Normal"/>
    <w:semiHidden/>
    <w:rsid w:val="00E00A5A"/>
    <w:pPr>
      <w:numPr>
        <w:ilvl w:val="5"/>
        <w:numId w:val="27"/>
      </w:numPr>
      <w:spacing w:after="240"/>
    </w:pPr>
    <w:rPr>
      <w:rFonts w:cs="Times New Roman"/>
      <w:sz w:val="19"/>
      <w:lang w:eastAsia="en-AU"/>
    </w:rPr>
  </w:style>
  <w:style w:type="paragraph" w:customStyle="1" w:styleId="RedHeading7">
    <w:name w:val="Red Heading 7"/>
    <w:basedOn w:val="Normal"/>
    <w:semiHidden/>
    <w:rsid w:val="00E00A5A"/>
    <w:pPr>
      <w:numPr>
        <w:ilvl w:val="6"/>
        <w:numId w:val="27"/>
      </w:numPr>
      <w:spacing w:after="240"/>
    </w:pPr>
    <w:rPr>
      <w:rFonts w:cs="Times New Roman"/>
      <w:sz w:val="19"/>
      <w:lang w:eastAsia="en-AU"/>
    </w:rPr>
  </w:style>
  <w:style w:type="paragraph" w:customStyle="1" w:styleId="RedHeading8">
    <w:name w:val="Red Heading 8"/>
    <w:basedOn w:val="Normal"/>
    <w:semiHidden/>
    <w:rsid w:val="00E00A5A"/>
    <w:pPr>
      <w:numPr>
        <w:ilvl w:val="7"/>
        <w:numId w:val="27"/>
      </w:numPr>
      <w:spacing w:after="240"/>
    </w:pPr>
    <w:rPr>
      <w:rFonts w:cs="Times New Roman"/>
      <w:sz w:val="19"/>
      <w:lang w:eastAsia="en-AU"/>
    </w:rPr>
  </w:style>
  <w:style w:type="paragraph" w:customStyle="1" w:styleId="RedHeading9">
    <w:name w:val="Red Heading 9"/>
    <w:basedOn w:val="Normal"/>
    <w:semiHidden/>
    <w:rsid w:val="00E00A5A"/>
    <w:pPr>
      <w:numPr>
        <w:ilvl w:val="8"/>
        <w:numId w:val="27"/>
      </w:numPr>
      <w:spacing w:after="240"/>
    </w:pPr>
    <w:rPr>
      <w:rFonts w:cs="Times New Roman"/>
      <w:sz w:val="19"/>
      <w:lang w:eastAsia="en-AU"/>
    </w:rPr>
  </w:style>
  <w:style w:type="character" w:customStyle="1" w:styleId="Indent2Char1">
    <w:name w:val="Indent 2 Char1"/>
    <w:rsid w:val="00E00A5A"/>
    <w:rPr>
      <w:rFonts w:ascii="Arial" w:eastAsia="Times New Roman" w:hAnsi="Arial" w:cs="Times New Roman"/>
      <w:sz w:val="19"/>
      <w:szCs w:val="20"/>
    </w:rPr>
  </w:style>
  <w:style w:type="character" w:customStyle="1" w:styleId="EItalic">
    <w:name w:val="EItalic"/>
    <w:basedOn w:val="DefaultParagraphFont"/>
    <w:uiPriority w:val="99"/>
    <w:rsid w:val="0037093C"/>
    <w:rPr>
      <w:i/>
      <w:iCs/>
    </w:rPr>
  </w:style>
  <w:style w:type="table" w:customStyle="1" w:styleId="TableStyle">
    <w:name w:val="Table Style"/>
    <w:basedOn w:val="TableNormal"/>
    <w:rsid w:val="00B441B7"/>
    <w:pPr>
      <w:spacing w:after="120"/>
    </w:pPr>
    <w:rPr>
      <w:rFonts w:ascii="Arial" w:eastAsia="Arial" w:hAnsi="Arial" w:cs="Arial"/>
      <w:sz w:val="18"/>
      <w:lang w:val="en-US" w:eastAsia="en-US"/>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paragraph" w:customStyle="1" w:styleId="ListBulletTable">
    <w:name w:val="List Bullet Table"/>
    <w:basedOn w:val="Normal"/>
    <w:rsid w:val="00606874"/>
    <w:pPr>
      <w:numPr>
        <w:numId w:val="28"/>
      </w:numPr>
      <w:spacing w:after="120"/>
    </w:pPr>
    <w:rPr>
      <w:rFonts w:eastAsia="Arial"/>
      <w:sz w:val="18"/>
      <w:szCs w:val="18"/>
      <w:lang w:eastAsia="en-AU"/>
    </w:rPr>
  </w:style>
  <w:style w:type="paragraph" w:customStyle="1" w:styleId="Schedule5">
    <w:name w:val="Schedule 5"/>
    <w:basedOn w:val="Normal"/>
    <w:qFormat/>
    <w:rsid w:val="00BF430B"/>
    <w:pPr>
      <w:numPr>
        <w:ilvl w:val="5"/>
        <w:numId w:val="29"/>
      </w:numPr>
      <w:spacing w:before="100" w:line="288" w:lineRule="auto"/>
    </w:pPr>
    <w:rPr>
      <w:rFonts w:cs="Times New Roman"/>
    </w:rPr>
  </w:style>
  <w:style w:type="character" w:customStyle="1" w:styleId="Heading4Char">
    <w:name w:val="Heading 4 Char"/>
    <w:aliases w:val="(Alt+4) Char,(Alt+4)1 Char,(Alt+4)11 Char,(Alt+4)12 Char,(Alt+4)2 Char,(Alt+4)21 Char,(Alt+4)3 Char,(Alt+4)31 Char,(Alt+4)4 Char,(Alt+4)5 Char,(Alt+4)6 Char,(i) Char,4 Char,H4 Char,H41 Char,H411 Char,H412 Char,H42 Char,H421 Char,H422 Char"/>
    <w:basedOn w:val="DefaultParagraphFont"/>
    <w:link w:val="Heading4"/>
    <w:rsid w:val="0058045D"/>
    <w:rPr>
      <w:rFonts w:ascii="Arial" w:hAnsi="Arial" w:cs="Arial"/>
      <w:lang w:eastAsia="en-US"/>
    </w:rPr>
  </w:style>
  <w:style w:type="character" w:customStyle="1" w:styleId="UnresolvedMention1">
    <w:name w:val="Unresolved Mention1"/>
    <w:basedOn w:val="DefaultParagraphFont"/>
    <w:uiPriority w:val="99"/>
    <w:semiHidden/>
    <w:unhideWhenUsed/>
    <w:rsid w:val="005B4B73"/>
    <w:rPr>
      <w:color w:val="808080"/>
      <w:shd w:val="clear" w:color="auto" w:fill="E6E6E6"/>
    </w:rPr>
  </w:style>
  <w:style w:type="paragraph" w:customStyle="1" w:styleId="NumSch1LDS">
    <w:name w:val="Num_Sch1_LDS"/>
    <w:basedOn w:val="Normal"/>
    <w:next w:val="NumSch2LDS"/>
    <w:uiPriority w:val="1"/>
    <w:qFormat/>
    <w:rsid w:val="007A7876"/>
    <w:pPr>
      <w:keepNext/>
      <w:numPr>
        <w:numId w:val="30"/>
      </w:numPr>
      <w:tabs>
        <w:tab w:val="left" w:pos="851"/>
        <w:tab w:val="left" w:pos="2268"/>
        <w:tab w:val="left" w:pos="3119"/>
      </w:tabs>
      <w:spacing w:before="440" w:after="220" w:line="276" w:lineRule="auto"/>
      <w:outlineLvl w:val="0"/>
    </w:pPr>
    <w:rPr>
      <w:rFonts w:asciiTheme="minorHAnsi" w:eastAsiaTheme="minorHAnsi" w:hAnsiTheme="minorHAnsi" w:cstheme="minorBidi"/>
      <w:b/>
      <w:sz w:val="28"/>
      <w:szCs w:val="22"/>
    </w:rPr>
  </w:style>
  <w:style w:type="paragraph" w:customStyle="1" w:styleId="NumSch2LDS">
    <w:name w:val="Num_Sch2_LDS"/>
    <w:basedOn w:val="Normal"/>
    <w:next w:val="Normal"/>
    <w:uiPriority w:val="1"/>
    <w:qFormat/>
    <w:rsid w:val="007A7876"/>
    <w:pPr>
      <w:keepNext/>
      <w:numPr>
        <w:ilvl w:val="1"/>
        <w:numId w:val="30"/>
      </w:numPr>
      <w:tabs>
        <w:tab w:val="left" w:pos="851"/>
        <w:tab w:val="left" w:pos="2268"/>
        <w:tab w:val="left" w:pos="3119"/>
      </w:tabs>
      <w:spacing w:before="220" w:after="120" w:line="276" w:lineRule="auto"/>
      <w:outlineLvl w:val="1"/>
    </w:pPr>
    <w:rPr>
      <w:rFonts w:asciiTheme="minorHAnsi" w:eastAsiaTheme="minorHAnsi" w:hAnsiTheme="minorHAnsi" w:cstheme="minorBidi"/>
      <w:b/>
      <w:sz w:val="22"/>
      <w:szCs w:val="22"/>
    </w:rPr>
  </w:style>
  <w:style w:type="paragraph" w:customStyle="1" w:styleId="NumSch3LDS">
    <w:name w:val="Num_Sch3_LDS"/>
    <w:basedOn w:val="Normal"/>
    <w:uiPriority w:val="1"/>
    <w:qFormat/>
    <w:rsid w:val="007A7876"/>
    <w:pPr>
      <w:numPr>
        <w:ilvl w:val="2"/>
        <w:numId w:val="30"/>
      </w:numPr>
      <w:tabs>
        <w:tab w:val="left" w:pos="851"/>
        <w:tab w:val="left" w:pos="2268"/>
        <w:tab w:val="left" w:pos="3119"/>
      </w:tabs>
      <w:spacing w:after="220" w:line="276" w:lineRule="auto"/>
      <w:outlineLvl w:val="2"/>
    </w:pPr>
    <w:rPr>
      <w:rFonts w:asciiTheme="minorHAnsi" w:eastAsiaTheme="minorHAnsi" w:hAnsiTheme="minorHAnsi" w:cstheme="minorBidi"/>
      <w:szCs w:val="22"/>
    </w:rPr>
  </w:style>
  <w:style w:type="paragraph" w:customStyle="1" w:styleId="NumSch4LDS">
    <w:name w:val="Num_Sch4_LDS"/>
    <w:basedOn w:val="Normal"/>
    <w:uiPriority w:val="1"/>
    <w:qFormat/>
    <w:rsid w:val="007A7876"/>
    <w:pPr>
      <w:numPr>
        <w:ilvl w:val="3"/>
        <w:numId w:val="30"/>
      </w:numPr>
      <w:tabs>
        <w:tab w:val="left" w:pos="851"/>
        <w:tab w:val="left" w:pos="2268"/>
        <w:tab w:val="left" w:pos="3119"/>
      </w:tabs>
      <w:spacing w:after="220" w:line="276" w:lineRule="auto"/>
      <w:outlineLvl w:val="3"/>
    </w:pPr>
    <w:rPr>
      <w:rFonts w:asciiTheme="minorHAnsi" w:eastAsiaTheme="minorHAnsi" w:hAnsiTheme="minorHAnsi" w:cstheme="minorBidi"/>
      <w:szCs w:val="22"/>
    </w:rPr>
  </w:style>
  <w:style w:type="paragraph" w:customStyle="1" w:styleId="NumSch5LDS">
    <w:name w:val="Num_Sch5_LDS"/>
    <w:basedOn w:val="Normal"/>
    <w:uiPriority w:val="1"/>
    <w:qFormat/>
    <w:rsid w:val="007A7876"/>
    <w:pPr>
      <w:numPr>
        <w:ilvl w:val="4"/>
        <w:numId w:val="30"/>
      </w:numPr>
      <w:tabs>
        <w:tab w:val="left" w:pos="851"/>
        <w:tab w:val="left" w:pos="3119"/>
      </w:tabs>
      <w:spacing w:after="220" w:line="276" w:lineRule="auto"/>
      <w:outlineLvl w:val="4"/>
    </w:pPr>
    <w:rPr>
      <w:rFonts w:asciiTheme="minorHAnsi" w:eastAsiaTheme="minorHAnsi" w:hAnsiTheme="minorHAnsi" w:cstheme="minorBidi"/>
      <w:szCs w:val="22"/>
    </w:rPr>
  </w:style>
  <w:style w:type="character" w:customStyle="1" w:styleId="Heading5Char">
    <w:name w:val="Heading 5 Char"/>
    <w:aliases w:val="(A) Char,1.1.1.1.1 Char,3rd sub-clause Char,5 Char,A Char,Appendix Char,Body Text (R) Char,Document Title 2 Char,Dot GS Char,H5 Char,Heading 5 Interstar Char,Heading 5 StGeorge Char,Heading 5(unused) Char,L5 Char,Lev 5 Char,Level 5 Char"/>
    <w:basedOn w:val="DefaultParagraphFont"/>
    <w:link w:val="Heading5"/>
    <w:rsid w:val="0058045D"/>
    <w:rPr>
      <w:rFonts w:ascii="Arial" w:hAnsi="Arial" w:cs="Arial"/>
      <w:lang w:eastAsia="en-US"/>
    </w:rPr>
  </w:style>
  <w:style w:type="character" w:customStyle="1" w:styleId="Heading6Char">
    <w:name w:val="Heading 6 Char"/>
    <w:aliases w:val="not Kinhill Char,(I) Char,6 Char,Body Text 5 Char,H6 Char,Heading 6  Appendix Y &amp; Z Char,Heading 6 Interstar Char,Heading 6(unused) Char,I Char,L1 PIP Char,Legal Level 1. Char,Lev 6 Char,Level Char,Level 1 Char,Level 6 Char,Sub5Para Char"/>
    <w:basedOn w:val="DefaultParagraphFont"/>
    <w:link w:val="Heading6"/>
    <w:uiPriority w:val="9"/>
    <w:rsid w:val="003A24AE"/>
    <w:rPr>
      <w:rFonts w:ascii="Arial" w:hAnsi="Arial" w:cs="Arial"/>
      <w:lang w:eastAsia="en-US"/>
    </w:rPr>
  </w:style>
  <w:style w:type="character" w:customStyle="1" w:styleId="Heading9Char">
    <w:name w:val="Heading 9 Char"/>
    <w:aliases w:val="Appen 1 Char,9 Char,Annex1 Char,Appendix Level 3 Char,Body Text 8 Char,Bullet 2 Char,H9 Char,Heading 9(unused) Char,Legal Level 1.1.1.1. Char,Lev 9 Char,Level (a) Char,aat Char,h9 Char,level3(i) Char,number Char,rp_Heading 9 Char,Com Char"/>
    <w:basedOn w:val="DefaultParagraphFont"/>
    <w:link w:val="Heading9"/>
    <w:uiPriority w:val="9"/>
    <w:rsid w:val="007A7876"/>
    <w:rPr>
      <w:rFonts w:ascii="Arial" w:hAnsi="Arial" w:cs="Arial"/>
      <w:lang w:eastAsia="en-US"/>
    </w:rPr>
  </w:style>
  <w:style w:type="character" w:customStyle="1" w:styleId="HeaderChar">
    <w:name w:val="Header Char"/>
    <w:basedOn w:val="DefaultParagraphFont"/>
    <w:link w:val="Header"/>
    <w:rsid w:val="007A7876"/>
    <w:rPr>
      <w:rFonts w:ascii="Arial" w:hAnsi="Arial" w:cs="Arial"/>
      <w:b/>
      <w:sz w:val="36"/>
      <w:lang w:eastAsia="en-US"/>
    </w:rPr>
  </w:style>
  <w:style w:type="character" w:customStyle="1" w:styleId="NormalDeedChar">
    <w:name w:val="Normal Deed Char"/>
    <w:link w:val="NormalDeed"/>
    <w:rsid w:val="007A7876"/>
    <w:rPr>
      <w:rFonts w:ascii="Arial" w:hAnsi="Arial" w:cs="Arial"/>
      <w:lang w:eastAsia="en-US"/>
    </w:rPr>
  </w:style>
  <w:style w:type="paragraph" w:customStyle="1" w:styleId="DefaultParagraphFontParaChar">
    <w:name w:val="Default Paragraph Font Para Char"/>
    <w:basedOn w:val="Normal"/>
    <w:next w:val="Normal"/>
    <w:rsid w:val="007A7876"/>
    <w:pPr>
      <w:spacing w:after="240"/>
    </w:pPr>
    <w:rPr>
      <w:lang w:val="en-US"/>
    </w:rPr>
  </w:style>
  <w:style w:type="paragraph" w:customStyle="1" w:styleId="Char3">
    <w:name w:val="Char3"/>
    <w:basedOn w:val="Normal"/>
    <w:rsid w:val="007A7876"/>
    <w:pPr>
      <w:spacing w:after="160" w:line="240" w:lineRule="exact"/>
    </w:pPr>
    <w:rPr>
      <w:rFonts w:ascii="Verdana" w:hAnsi="Verdana"/>
      <w:lang w:val="en-GB"/>
    </w:rPr>
  </w:style>
  <w:style w:type="numbering" w:customStyle="1" w:styleId="1111111">
    <w:name w:val="1 / 1.1 / 1.1.11"/>
    <w:basedOn w:val="NoList"/>
    <w:next w:val="111111"/>
    <w:rsid w:val="007A7876"/>
    <w:pPr>
      <w:numPr>
        <w:numId w:val="31"/>
      </w:numPr>
    </w:pPr>
  </w:style>
  <w:style w:type="numbering" w:customStyle="1" w:styleId="1ai1">
    <w:name w:val="1 / a / i1"/>
    <w:basedOn w:val="NoList"/>
    <w:next w:val="1ai"/>
    <w:rsid w:val="007A7876"/>
    <w:pPr>
      <w:numPr>
        <w:numId w:val="32"/>
      </w:numPr>
    </w:pPr>
  </w:style>
  <w:style w:type="numbering" w:customStyle="1" w:styleId="ArticleSection1">
    <w:name w:val="Article / Section1"/>
    <w:basedOn w:val="NoList"/>
    <w:next w:val="ArticleSection"/>
    <w:rsid w:val="007A7876"/>
    <w:pPr>
      <w:numPr>
        <w:numId w:val="33"/>
      </w:numPr>
    </w:pPr>
  </w:style>
  <w:style w:type="table" w:customStyle="1" w:styleId="Table3Deffects11">
    <w:name w:val="Table 3D effects 11"/>
    <w:basedOn w:val="TableNormal"/>
    <w:next w:val="Table3Deffects1"/>
    <w:rsid w:val="007A787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7A787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7A787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7A787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7A787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7A787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7A787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7A787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7A787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7A787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7A787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7A787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7A787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7A787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7A787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7A787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7A787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0">
    <w:name w:val="Table Grid1"/>
    <w:basedOn w:val="TableNormal"/>
    <w:next w:val="TableGrid"/>
    <w:rsid w:val="007A7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
    <w:rsid w:val="007A787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7A787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7A787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7A787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7A787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7A787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7A787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7A787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7A787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7A787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7A787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7A787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7A787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7A787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7A787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7A787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7A787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7A787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7A787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7A787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7A787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7A787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7A7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7A787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7A787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7A787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umLgl1LDS">
    <w:name w:val="Num_Lgl1_LDS"/>
    <w:basedOn w:val="Normal"/>
    <w:next w:val="NumLgl2LDS"/>
    <w:link w:val="NumLgl1LDSChar"/>
    <w:uiPriority w:val="1"/>
    <w:qFormat/>
    <w:rsid w:val="007A7876"/>
    <w:pPr>
      <w:keepNext/>
      <w:numPr>
        <w:numId w:val="34"/>
      </w:numPr>
      <w:tabs>
        <w:tab w:val="left" w:pos="851"/>
        <w:tab w:val="left" w:pos="1418"/>
        <w:tab w:val="left" w:pos="2268"/>
        <w:tab w:val="left" w:pos="3119"/>
      </w:tabs>
      <w:spacing w:before="440" w:after="220" w:line="276" w:lineRule="auto"/>
      <w:outlineLvl w:val="0"/>
    </w:pPr>
    <w:rPr>
      <w:rFonts w:ascii="Trebuchet MS" w:hAnsi="Trebuchet MS"/>
      <w:b/>
      <w:sz w:val="28"/>
      <w:lang w:eastAsia="en-AU"/>
    </w:rPr>
  </w:style>
  <w:style w:type="paragraph" w:customStyle="1" w:styleId="NumLgl2LDS">
    <w:name w:val="Num_Lgl2_LDS"/>
    <w:basedOn w:val="Normal"/>
    <w:next w:val="Normal"/>
    <w:link w:val="NumLgl2LDSChar"/>
    <w:uiPriority w:val="1"/>
    <w:qFormat/>
    <w:rsid w:val="007A7876"/>
    <w:pPr>
      <w:keepNext/>
      <w:numPr>
        <w:ilvl w:val="1"/>
        <w:numId w:val="34"/>
      </w:numPr>
      <w:tabs>
        <w:tab w:val="left" w:pos="851"/>
      </w:tabs>
      <w:spacing w:before="220" w:after="120" w:line="276" w:lineRule="auto"/>
      <w:outlineLvl w:val="1"/>
    </w:pPr>
    <w:rPr>
      <w:rFonts w:ascii="Trebuchet MS" w:hAnsi="Trebuchet MS"/>
      <w:b/>
      <w:lang w:eastAsia="en-AU"/>
    </w:rPr>
  </w:style>
  <w:style w:type="paragraph" w:customStyle="1" w:styleId="NumLgl3LDS">
    <w:name w:val="Num_Lgl3_LDS"/>
    <w:basedOn w:val="Normal"/>
    <w:link w:val="NumLgl3LDSChar"/>
    <w:uiPriority w:val="1"/>
    <w:qFormat/>
    <w:rsid w:val="007A7876"/>
    <w:pPr>
      <w:numPr>
        <w:ilvl w:val="2"/>
        <w:numId w:val="34"/>
      </w:numPr>
      <w:spacing w:after="220" w:line="276" w:lineRule="auto"/>
      <w:outlineLvl w:val="2"/>
    </w:pPr>
    <w:rPr>
      <w:rFonts w:ascii="Trebuchet MS" w:hAnsi="Trebuchet MS"/>
      <w:lang w:eastAsia="en-AU"/>
    </w:rPr>
  </w:style>
  <w:style w:type="paragraph" w:customStyle="1" w:styleId="NumLgl4LDS">
    <w:name w:val="Num_Lgl4_LDS"/>
    <w:basedOn w:val="Normal"/>
    <w:link w:val="NumLgl4LDSChar"/>
    <w:uiPriority w:val="1"/>
    <w:qFormat/>
    <w:rsid w:val="007A7876"/>
    <w:pPr>
      <w:numPr>
        <w:ilvl w:val="3"/>
        <w:numId w:val="34"/>
      </w:numPr>
      <w:spacing w:after="220" w:line="276" w:lineRule="auto"/>
      <w:outlineLvl w:val="3"/>
    </w:pPr>
    <w:rPr>
      <w:rFonts w:ascii="Trebuchet MS" w:hAnsi="Trebuchet MS"/>
      <w:lang w:eastAsia="en-AU"/>
    </w:rPr>
  </w:style>
  <w:style w:type="paragraph" w:customStyle="1" w:styleId="NumLgl5LDS">
    <w:name w:val="Num_Lgl5_LDS"/>
    <w:basedOn w:val="Normal"/>
    <w:uiPriority w:val="1"/>
    <w:rsid w:val="007A7876"/>
    <w:pPr>
      <w:numPr>
        <w:ilvl w:val="4"/>
        <w:numId w:val="34"/>
      </w:numPr>
      <w:tabs>
        <w:tab w:val="left" w:pos="851"/>
        <w:tab w:val="left" w:pos="1418"/>
        <w:tab w:val="left" w:pos="3119"/>
      </w:tabs>
      <w:spacing w:after="220" w:line="276" w:lineRule="auto"/>
      <w:outlineLvl w:val="4"/>
    </w:pPr>
    <w:rPr>
      <w:rFonts w:ascii="Trebuchet MS" w:hAnsi="Trebuchet MS"/>
      <w:lang w:eastAsia="en-AU"/>
    </w:rPr>
  </w:style>
  <w:style w:type="numbering" w:customStyle="1" w:styleId="ListLgl">
    <w:name w:val="List_Lgl"/>
    <w:uiPriority w:val="99"/>
    <w:rsid w:val="007A7876"/>
    <w:pPr>
      <w:numPr>
        <w:numId w:val="37"/>
      </w:numPr>
    </w:pPr>
  </w:style>
  <w:style w:type="character" w:customStyle="1" w:styleId="NumLgl3LDSChar">
    <w:name w:val="Num_Lgl3_LDS Char"/>
    <w:link w:val="NumLgl3LDS"/>
    <w:uiPriority w:val="1"/>
    <w:rsid w:val="007A7876"/>
    <w:rPr>
      <w:rFonts w:ascii="Trebuchet MS" w:hAnsi="Trebuchet MS" w:cs="Arial"/>
    </w:rPr>
  </w:style>
  <w:style w:type="character" w:customStyle="1" w:styleId="NumLgl4LDSChar">
    <w:name w:val="Num_Lgl4_LDS Char"/>
    <w:link w:val="NumLgl4LDS"/>
    <w:uiPriority w:val="1"/>
    <w:locked/>
    <w:rsid w:val="007A7876"/>
    <w:rPr>
      <w:rFonts w:ascii="Trebuchet MS" w:hAnsi="Trebuchet MS" w:cs="Arial"/>
    </w:rPr>
  </w:style>
  <w:style w:type="character" w:customStyle="1" w:styleId="NumLgl2LDSChar">
    <w:name w:val="Num_Lgl2_LDS Char"/>
    <w:link w:val="NumLgl2LDS"/>
    <w:uiPriority w:val="1"/>
    <w:locked/>
    <w:rsid w:val="007A7876"/>
    <w:rPr>
      <w:rFonts w:ascii="Trebuchet MS" w:hAnsi="Trebuchet MS" w:cs="Arial"/>
      <w:b/>
    </w:rPr>
  </w:style>
  <w:style w:type="numbering" w:customStyle="1" w:styleId="ListItemsLDS">
    <w:name w:val="List_Items_LDS"/>
    <w:uiPriority w:val="99"/>
    <w:rsid w:val="007A7876"/>
    <w:pPr>
      <w:numPr>
        <w:numId w:val="35"/>
      </w:numPr>
    </w:pPr>
  </w:style>
  <w:style w:type="paragraph" w:customStyle="1" w:styleId="Indent1LDS">
    <w:name w:val="Indent1_LDS"/>
    <w:basedOn w:val="Normal"/>
    <w:qFormat/>
    <w:rsid w:val="007A7876"/>
    <w:pPr>
      <w:tabs>
        <w:tab w:val="left" w:pos="851"/>
        <w:tab w:val="left" w:pos="1418"/>
        <w:tab w:val="left" w:pos="2268"/>
        <w:tab w:val="left" w:pos="3119"/>
      </w:tabs>
      <w:spacing w:after="220" w:line="276" w:lineRule="auto"/>
      <w:ind w:left="851"/>
    </w:pPr>
    <w:rPr>
      <w:rFonts w:ascii="Trebuchet MS" w:hAnsi="Trebuchet MS"/>
      <w:lang w:eastAsia="en-AU"/>
    </w:rPr>
  </w:style>
  <w:style w:type="table" w:customStyle="1" w:styleId="ColorfulGrid1">
    <w:name w:val="Colorful Grid1"/>
    <w:basedOn w:val="TableNormal"/>
    <w:next w:val="ColorfulGrid"/>
    <w:uiPriority w:val="73"/>
    <w:rsid w:val="007A7876"/>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rsid w:val="007A787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rsid w:val="007A7876"/>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73"/>
    <w:rsid w:val="007A7876"/>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73"/>
    <w:rsid w:val="007A7876"/>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73"/>
    <w:rsid w:val="007A7876"/>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73"/>
    <w:rsid w:val="007A7876"/>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next w:val="ColorfulList"/>
    <w:uiPriority w:val="72"/>
    <w:rsid w:val="007A7876"/>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rsid w:val="007A7876"/>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rfulList-Accent2"/>
    <w:uiPriority w:val="72"/>
    <w:rsid w:val="007A7876"/>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rfulList-Accent3"/>
    <w:uiPriority w:val="72"/>
    <w:rsid w:val="007A7876"/>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rfulList-Accent4"/>
    <w:uiPriority w:val="72"/>
    <w:rsid w:val="007A7876"/>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rfulList-Accent5"/>
    <w:uiPriority w:val="72"/>
    <w:rsid w:val="007A7876"/>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72"/>
    <w:rsid w:val="007A7876"/>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next w:val="ColorfulShading"/>
    <w:uiPriority w:val="71"/>
    <w:rsid w:val="007A7876"/>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rsid w:val="007A7876"/>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7A7876"/>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7A7876"/>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71"/>
    <w:rsid w:val="007A7876"/>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7A7876"/>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7A7876"/>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rsid w:val="007A7876"/>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7A7876"/>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rsid w:val="007A7876"/>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rsid w:val="007A7876"/>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rsid w:val="007A7876"/>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rsid w:val="007A7876"/>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rsid w:val="007A7876"/>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LightGrid1">
    <w:name w:val="Light Grid1"/>
    <w:basedOn w:val="TableNormal"/>
    <w:next w:val="LightGrid"/>
    <w:uiPriority w:val="62"/>
    <w:rsid w:val="007A787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MT" w:eastAsia="SimSun" w:hAnsi="ArialM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MT" w:eastAsia="SimSun" w:hAnsi="ArialM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MT" w:eastAsia="SimSun" w:hAnsi="ArialMT" w:cs="Times New Roman"/>
        <w:b/>
        <w:bCs/>
      </w:rPr>
    </w:tblStylePr>
    <w:tblStylePr w:type="lastCol">
      <w:rPr>
        <w:rFonts w:ascii="ArialMT" w:eastAsia="SimSun" w:hAnsi="ArialM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sid w:val="007A7876"/>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rialMT" w:eastAsia="SimSun" w:hAnsi="ArialM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MT" w:eastAsia="SimSun" w:hAnsi="ArialM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MT" w:eastAsia="SimSun" w:hAnsi="ArialMT" w:cs="Times New Roman"/>
        <w:b/>
        <w:bCs/>
      </w:rPr>
    </w:tblStylePr>
    <w:tblStylePr w:type="lastCol">
      <w:rPr>
        <w:rFonts w:ascii="ArialMT" w:eastAsia="SimSun" w:hAnsi="ArialM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next w:val="LightGrid-Accent2"/>
    <w:uiPriority w:val="62"/>
    <w:rsid w:val="007A7876"/>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ArialMT" w:eastAsia="SimSun" w:hAnsi="ArialM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ArialMT" w:eastAsia="SimSun" w:hAnsi="ArialM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ArialMT" w:eastAsia="SimSun" w:hAnsi="ArialMT" w:cs="Times New Roman"/>
        <w:b/>
        <w:bCs/>
      </w:rPr>
    </w:tblStylePr>
    <w:tblStylePr w:type="lastCol">
      <w:rPr>
        <w:rFonts w:ascii="ArialMT" w:eastAsia="SimSun" w:hAnsi="ArialM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rsid w:val="007A7876"/>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SimSu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SimSu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SimSun" w:hAnsi="ArialMT" w:cs="Times New Roman"/>
        <w:b/>
        <w:bCs/>
      </w:rPr>
    </w:tblStylePr>
    <w:tblStylePr w:type="lastCol">
      <w:rPr>
        <w:rFonts w:ascii="ArialMT" w:eastAsia="SimSu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rsid w:val="007A7876"/>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ArialMT" w:eastAsia="SimSun" w:hAnsi="ArialM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ArialMT" w:eastAsia="SimSun" w:hAnsi="ArialM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ArialMT" w:eastAsia="SimSun" w:hAnsi="ArialMT" w:cs="Times New Roman"/>
        <w:b/>
        <w:bCs/>
      </w:rPr>
    </w:tblStylePr>
    <w:tblStylePr w:type="lastCol">
      <w:rPr>
        <w:rFonts w:ascii="ArialMT" w:eastAsia="SimSun" w:hAnsi="ArialM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rsid w:val="007A7876"/>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MT" w:eastAsia="SimSun" w:hAnsi="ArialM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MT" w:eastAsia="SimSun" w:hAnsi="ArialM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MT" w:eastAsia="SimSun" w:hAnsi="ArialMT" w:cs="Times New Roman"/>
        <w:b/>
        <w:bCs/>
      </w:rPr>
    </w:tblStylePr>
    <w:tblStylePr w:type="lastCol">
      <w:rPr>
        <w:rFonts w:ascii="ArialMT" w:eastAsia="SimSun" w:hAnsi="ArialM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62"/>
    <w:rsid w:val="007A7876"/>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ArialMT" w:eastAsia="SimSun" w:hAnsi="ArialM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ArialMT" w:eastAsia="SimSun" w:hAnsi="ArialM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ArialMT" w:eastAsia="SimSun" w:hAnsi="ArialMT" w:cs="Times New Roman"/>
        <w:b/>
        <w:bCs/>
      </w:rPr>
    </w:tblStylePr>
    <w:tblStylePr w:type="lastCol">
      <w:rPr>
        <w:rFonts w:ascii="ArialMT" w:eastAsia="SimSun" w:hAnsi="ArialM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next w:val="LightList"/>
    <w:uiPriority w:val="61"/>
    <w:rsid w:val="007A787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7A787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rsid w:val="007A787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rsid w:val="007A787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rsid w:val="007A787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rsid w:val="007A787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7A7876"/>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next w:val="LightShading"/>
    <w:uiPriority w:val="60"/>
    <w:rsid w:val="007A787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7A787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7A787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7A787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7A7876"/>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7A787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sid w:val="007A7876"/>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Grid11">
    <w:name w:val="Medium Grid 11"/>
    <w:basedOn w:val="TableNormal"/>
    <w:next w:val="MediumGrid1"/>
    <w:uiPriority w:val="67"/>
    <w:rsid w:val="007A787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7A787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rsid w:val="007A787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rsid w:val="007A787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rsid w:val="007A787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rsid w:val="007A787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rsid w:val="007A787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next w:val="MediumGrid2"/>
    <w:uiPriority w:val="68"/>
    <w:rsid w:val="007A7876"/>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7A7876"/>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7A7876"/>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7A7876"/>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7A7876"/>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7A7876"/>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7A7876"/>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next w:val="MediumGrid3"/>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next w:val="MediumList1"/>
    <w:uiPriority w:val="65"/>
    <w:rsid w:val="007A7876"/>
    <w:rPr>
      <w:color w:val="000000"/>
    </w:rPr>
    <w:tblPr>
      <w:tblStyleRowBandSize w:val="1"/>
      <w:tblStyleColBandSize w:val="1"/>
      <w:tblBorders>
        <w:top w:val="single" w:sz="8" w:space="0" w:color="000000"/>
        <w:bottom w:val="single" w:sz="8" w:space="0" w:color="000000"/>
      </w:tblBorders>
    </w:tblPr>
    <w:tblStylePr w:type="firstRow">
      <w:rPr>
        <w:rFonts w:ascii="ArialMT" w:eastAsia="SimSun" w:hAnsi="ArialM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7A7876"/>
    <w:rPr>
      <w:color w:val="000000"/>
    </w:rPr>
    <w:tblPr>
      <w:tblStyleRowBandSize w:val="1"/>
      <w:tblStyleColBandSize w:val="1"/>
      <w:tblBorders>
        <w:top w:val="single" w:sz="8" w:space="0" w:color="4F81BD"/>
        <w:bottom w:val="single" w:sz="8" w:space="0" w:color="4F81BD"/>
      </w:tblBorders>
    </w:tblPr>
    <w:tblStylePr w:type="firstRow">
      <w:rPr>
        <w:rFonts w:ascii="ArialMT" w:eastAsia="SimSun" w:hAnsi="ArialM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rsid w:val="007A7876"/>
    <w:rPr>
      <w:color w:val="000000"/>
    </w:rPr>
    <w:tblPr>
      <w:tblStyleRowBandSize w:val="1"/>
      <w:tblStyleColBandSize w:val="1"/>
      <w:tblBorders>
        <w:top w:val="single" w:sz="8" w:space="0" w:color="C0504D"/>
        <w:bottom w:val="single" w:sz="8" w:space="0" w:color="C0504D"/>
      </w:tblBorders>
    </w:tblPr>
    <w:tblStylePr w:type="firstRow">
      <w:rPr>
        <w:rFonts w:ascii="ArialMT" w:eastAsia="SimSun" w:hAnsi="ArialM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rsid w:val="007A7876"/>
    <w:rPr>
      <w:color w:val="000000"/>
    </w:rPr>
    <w:tblPr>
      <w:tblStyleRowBandSize w:val="1"/>
      <w:tblStyleColBandSize w:val="1"/>
      <w:tblBorders>
        <w:top w:val="single" w:sz="8" w:space="0" w:color="9BBB59"/>
        <w:bottom w:val="single" w:sz="8" w:space="0" w:color="9BBB59"/>
      </w:tblBorders>
    </w:tblPr>
    <w:tblStylePr w:type="firstRow">
      <w:rPr>
        <w:rFonts w:ascii="ArialMT" w:eastAsia="SimSun" w:hAnsi="ArialM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rsid w:val="007A7876"/>
    <w:rPr>
      <w:color w:val="000000"/>
    </w:rPr>
    <w:tblPr>
      <w:tblStyleRowBandSize w:val="1"/>
      <w:tblStyleColBandSize w:val="1"/>
      <w:tblBorders>
        <w:top w:val="single" w:sz="8" w:space="0" w:color="8064A2"/>
        <w:bottom w:val="single" w:sz="8" w:space="0" w:color="8064A2"/>
      </w:tblBorders>
    </w:tblPr>
    <w:tblStylePr w:type="firstRow">
      <w:rPr>
        <w:rFonts w:ascii="ArialMT" w:eastAsia="SimSun" w:hAnsi="ArialM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rsid w:val="007A7876"/>
    <w:rPr>
      <w:color w:val="000000"/>
    </w:rPr>
    <w:tblPr>
      <w:tblStyleRowBandSize w:val="1"/>
      <w:tblStyleColBandSize w:val="1"/>
      <w:tblBorders>
        <w:top w:val="single" w:sz="8" w:space="0" w:color="4BACC6"/>
        <w:bottom w:val="single" w:sz="8" w:space="0" w:color="4BACC6"/>
      </w:tblBorders>
    </w:tblPr>
    <w:tblStylePr w:type="firstRow">
      <w:rPr>
        <w:rFonts w:ascii="ArialMT" w:eastAsia="SimSun" w:hAnsi="ArialM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rsid w:val="007A7876"/>
    <w:rPr>
      <w:color w:val="000000"/>
    </w:rPr>
    <w:tblPr>
      <w:tblStyleRowBandSize w:val="1"/>
      <w:tblStyleColBandSize w:val="1"/>
      <w:tblBorders>
        <w:top w:val="single" w:sz="8" w:space="0" w:color="F79646"/>
        <w:bottom w:val="single" w:sz="8" w:space="0" w:color="F79646"/>
      </w:tblBorders>
    </w:tblPr>
    <w:tblStylePr w:type="firstRow">
      <w:rPr>
        <w:rFonts w:ascii="ArialMT" w:eastAsia="SimSun" w:hAnsi="ArialM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next w:val="MediumList2"/>
    <w:uiPriority w:val="66"/>
    <w:rsid w:val="007A7876"/>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7A7876"/>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7A7876"/>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7A7876"/>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7A7876"/>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7A7876"/>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7A7876"/>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rsid w:val="007A787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7A787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7A787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7A787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7A787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7A787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7A787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PartiesListHeading1">
    <w:name w:val="Parties List Heading1"/>
    <w:uiPriority w:val="99"/>
    <w:rsid w:val="007A7876"/>
  </w:style>
  <w:style w:type="numbering" w:customStyle="1" w:styleId="PartHeadingNumbering1">
    <w:name w:val="Part Heading Numbering1"/>
    <w:uiPriority w:val="99"/>
    <w:rsid w:val="007A7876"/>
    <w:pPr>
      <w:numPr>
        <w:numId w:val="18"/>
      </w:numPr>
    </w:pPr>
  </w:style>
  <w:style w:type="numbering" w:customStyle="1" w:styleId="RecitalsListHeading1">
    <w:name w:val="Recitals List Heading1"/>
    <w:uiPriority w:val="99"/>
    <w:rsid w:val="007A7876"/>
    <w:pPr>
      <w:numPr>
        <w:numId w:val="19"/>
      </w:numPr>
    </w:pPr>
  </w:style>
  <w:style w:type="numbering" w:customStyle="1" w:styleId="ItemListHeading1">
    <w:name w:val="Item List Heading1"/>
    <w:uiPriority w:val="99"/>
    <w:rsid w:val="007A7876"/>
    <w:pPr>
      <w:numPr>
        <w:numId w:val="20"/>
      </w:numPr>
    </w:pPr>
  </w:style>
  <w:style w:type="table" w:customStyle="1" w:styleId="GridTable1Light1">
    <w:name w:val="Grid Table 1 Light1"/>
    <w:basedOn w:val="TableNormal"/>
    <w:uiPriority w:val="46"/>
    <w:rsid w:val="007A7876"/>
    <w:rPr>
      <w:lang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7A7876"/>
    <w:rPr>
      <w:lang w:eastAsia="zh-C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7A7876"/>
    <w:rPr>
      <w:lang w:eastAsia="zh-C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7A7876"/>
    <w:rPr>
      <w:lang w:eastAsia="zh-C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7A7876"/>
    <w:rPr>
      <w:lang w:eastAsia="zh-C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7A7876"/>
    <w:rPr>
      <w:lang w:eastAsia="zh-C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7A7876"/>
    <w:rPr>
      <w:lang w:eastAsia="zh-C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7A7876"/>
    <w:rPr>
      <w:lang w:eastAsia="zh-C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uiPriority w:val="47"/>
    <w:rsid w:val="007A7876"/>
    <w:rPr>
      <w:lang w:eastAsia="zh-C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21">
    <w:name w:val="Grid Table 2 - Accent 21"/>
    <w:basedOn w:val="TableNormal"/>
    <w:uiPriority w:val="47"/>
    <w:rsid w:val="007A7876"/>
    <w:rPr>
      <w:lang w:eastAsia="zh-C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2-Accent31">
    <w:name w:val="Grid Table 2 - Accent 31"/>
    <w:basedOn w:val="TableNormal"/>
    <w:uiPriority w:val="47"/>
    <w:rsid w:val="007A7876"/>
    <w:rPr>
      <w:lang w:eastAsia="zh-C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41">
    <w:name w:val="Grid Table 2 - Accent 41"/>
    <w:basedOn w:val="TableNormal"/>
    <w:uiPriority w:val="47"/>
    <w:rsid w:val="007A7876"/>
    <w:rPr>
      <w:lang w:eastAsia="zh-C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2-Accent51">
    <w:name w:val="Grid Table 2 - Accent 51"/>
    <w:basedOn w:val="TableNormal"/>
    <w:uiPriority w:val="47"/>
    <w:rsid w:val="007A7876"/>
    <w:rPr>
      <w:lang w:eastAsia="zh-C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61">
    <w:name w:val="Grid Table 2 - Accent 61"/>
    <w:basedOn w:val="TableNormal"/>
    <w:uiPriority w:val="47"/>
    <w:rsid w:val="007A7876"/>
    <w:rPr>
      <w:lang w:eastAsia="zh-CN"/>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31">
    <w:name w:val="Grid Table 31"/>
    <w:basedOn w:val="TableNormal"/>
    <w:uiPriority w:val="48"/>
    <w:rsid w:val="007A7876"/>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uiPriority w:val="48"/>
    <w:rsid w:val="007A7876"/>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3-Accent21">
    <w:name w:val="Grid Table 3 - Accent 21"/>
    <w:basedOn w:val="TableNormal"/>
    <w:uiPriority w:val="48"/>
    <w:rsid w:val="007A7876"/>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3-Accent31">
    <w:name w:val="Grid Table 3 - Accent 31"/>
    <w:basedOn w:val="TableNormal"/>
    <w:uiPriority w:val="48"/>
    <w:rsid w:val="007A7876"/>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3-Accent41">
    <w:name w:val="Grid Table 3 - Accent 41"/>
    <w:basedOn w:val="TableNormal"/>
    <w:uiPriority w:val="48"/>
    <w:rsid w:val="007A7876"/>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51">
    <w:name w:val="Grid Table 3 - Accent 51"/>
    <w:basedOn w:val="TableNormal"/>
    <w:uiPriority w:val="48"/>
    <w:rsid w:val="007A7876"/>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3-Accent61">
    <w:name w:val="Grid Table 3 - Accent 61"/>
    <w:basedOn w:val="TableNormal"/>
    <w:uiPriority w:val="48"/>
    <w:rsid w:val="007A7876"/>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41">
    <w:name w:val="Grid Table 41"/>
    <w:basedOn w:val="TableNormal"/>
    <w:uiPriority w:val="49"/>
    <w:rsid w:val="007A7876"/>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uiPriority w:val="49"/>
    <w:rsid w:val="007A7876"/>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21">
    <w:name w:val="Grid Table 4 - Accent 21"/>
    <w:basedOn w:val="TableNormal"/>
    <w:uiPriority w:val="49"/>
    <w:rsid w:val="007A7876"/>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31">
    <w:name w:val="Grid Table 4 - Accent 31"/>
    <w:basedOn w:val="TableNormal"/>
    <w:uiPriority w:val="49"/>
    <w:rsid w:val="007A7876"/>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1">
    <w:name w:val="Grid Table 4 - Accent 41"/>
    <w:basedOn w:val="TableNormal"/>
    <w:uiPriority w:val="49"/>
    <w:rsid w:val="007A7876"/>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51">
    <w:name w:val="Grid Table 4 - Accent 51"/>
    <w:basedOn w:val="TableNormal"/>
    <w:uiPriority w:val="49"/>
    <w:rsid w:val="007A7876"/>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61">
    <w:name w:val="Grid Table 4 - Accent 61"/>
    <w:basedOn w:val="TableNormal"/>
    <w:uiPriority w:val="49"/>
    <w:rsid w:val="007A7876"/>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5Dark1">
    <w:name w:val="Grid Table 5 Dark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21">
    <w:name w:val="Grid Table 5 Dark - Accent 2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5Dark-Accent31">
    <w:name w:val="Grid Table 5 Dark - Accent 3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GridTable5Dark-Accent41">
    <w:name w:val="Grid Table 5 Dark - Accent 4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GridTable5Dark-Accent51">
    <w:name w:val="Grid Table 5 Dark - Accent 5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61">
    <w:name w:val="Grid Table 5 Dark - Accent 6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6Colorful1">
    <w:name w:val="Grid Table 6 Colorful1"/>
    <w:basedOn w:val="TableNormal"/>
    <w:uiPriority w:val="51"/>
    <w:rsid w:val="007A7876"/>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uiPriority w:val="51"/>
    <w:rsid w:val="007A7876"/>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21">
    <w:name w:val="Grid Table 6 Colorful - Accent 21"/>
    <w:basedOn w:val="TableNormal"/>
    <w:uiPriority w:val="51"/>
    <w:rsid w:val="007A7876"/>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6Colorful-Accent31">
    <w:name w:val="Grid Table 6 Colorful - Accent 31"/>
    <w:basedOn w:val="TableNormal"/>
    <w:uiPriority w:val="51"/>
    <w:rsid w:val="007A7876"/>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41">
    <w:name w:val="Grid Table 6 Colorful - Accent 41"/>
    <w:basedOn w:val="TableNormal"/>
    <w:uiPriority w:val="51"/>
    <w:rsid w:val="007A7876"/>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6Colorful-Accent51">
    <w:name w:val="Grid Table 6 Colorful - Accent 51"/>
    <w:basedOn w:val="TableNormal"/>
    <w:uiPriority w:val="51"/>
    <w:rsid w:val="007A7876"/>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61">
    <w:name w:val="Grid Table 6 Colorful - Accent 61"/>
    <w:basedOn w:val="TableNormal"/>
    <w:uiPriority w:val="51"/>
    <w:rsid w:val="007A7876"/>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7Colorful1">
    <w:name w:val="Grid Table 7 Colorful1"/>
    <w:basedOn w:val="TableNormal"/>
    <w:uiPriority w:val="52"/>
    <w:rsid w:val="007A7876"/>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uiPriority w:val="52"/>
    <w:rsid w:val="007A7876"/>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7Colorful-Accent21">
    <w:name w:val="Grid Table 7 Colorful - Accent 21"/>
    <w:basedOn w:val="TableNormal"/>
    <w:uiPriority w:val="52"/>
    <w:rsid w:val="007A7876"/>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7Colorful-Accent31">
    <w:name w:val="Grid Table 7 Colorful - Accent 31"/>
    <w:basedOn w:val="TableNormal"/>
    <w:uiPriority w:val="52"/>
    <w:rsid w:val="007A7876"/>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7Colorful-Accent41">
    <w:name w:val="Grid Table 7 Colorful - Accent 41"/>
    <w:basedOn w:val="TableNormal"/>
    <w:uiPriority w:val="52"/>
    <w:rsid w:val="007A7876"/>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7Colorful-Accent51">
    <w:name w:val="Grid Table 7 Colorful - Accent 51"/>
    <w:basedOn w:val="TableNormal"/>
    <w:uiPriority w:val="52"/>
    <w:rsid w:val="007A7876"/>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7Colorful-Accent61">
    <w:name w:val="Grid Table 7 Colorful - Accent 61"/>
    <w:basedOn w:val="TableNormal"/>
    <w:uiPriority w:val="52"/>
    <w:rsid w:val="007A7876"/>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ListTable1Light1">
    <w:name w:val="List Table 1 Light1"/>
    <w:basedOn w:val="TableNormal"/>
    <w:uiPriority w:val="46"/>
    <w:rsid w:val="007A7876"/>
    <w:rPr>
      <w:lang w:eastAsia="zh-C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uiPriority w:val="46"/>
    <w:rsid w:val="007A7876"/>
    <w:rPr>
      <w:lang w:eastAsia="zh-CN"/>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1Light-Accent21">
    <w:name w:val="List Table 1 Light - Accent 21"/>
    <w:basedOn w:val="TableNormal"/>
    <w:uiPriority w:val="46"/>
    <w:rsid w:val="007A7876"/>
    <w:rPr>
      <w:lang w:eastAsia="zh-CN"/>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1Light-Accent31">
    <w:name w:val="List Table 1 Light - Accent 31"/>
    <w:basedOn w:val="TableNormal"/>
    <w:uiPriority w:val="46"/>
    <w:rsid w:val="007A7876"/>
    <w:rPr>
      <w:lang w:eastAsia="zh-CN"/>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1Light-Accent41">
    <w:name w:val="List Table 1 Light - Accent 41"/>
    <w:basedOn w:val="TableNormal"/>
    <w:uiPriority w:val="46"/>
    <w:rsid w:val="007A7876"/>
    <w:rPr>
      <w:lang w:eastAsia="zh-CN"/>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1Light-Accent51">
    <w:name w:val="List Table 1 Light - Accent 51"/>
    <w:basedOn w:val="TableNormal"/>
    <w:uiPriority w:val="46"/>
    <w:rsid w:val="007A7876"/>
    <w:rPr>
      <w:lang w:eastAsia="zh-CN"/>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1Light-Accent61">
    <w:name w:val="List Table 1 Light - Accent 61"/>
    <w:basedOn w:val="TableNormal"/>
    <w:uiPriority w:val="46"/>
    <w:rsid w:val="007A7876"/>
    <w:rPr>
      <w:lang w:eastAsia="zh-CN"/>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21">
    <w:name w:val="List Table 21"/>
    <w:basedOn w:val="TableNormal"/>
    <w:uiPriority w:val="47"/>
    <w:rsid w:val="007A7876"/>
    <w:rPr>
      <w:lang w:eastAsia="zh-C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uiPriority w:val="47"/>
    <w:rsid w:val="007A7876"/>
    <w:rPr>
      <w:lang w:eastAsia="zh-CN"/>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2-Accent21">
    <w:name w:val="List Table 2 - Accent 21"/>
    <w:basedOn w:val="TableNormal"/>
    <w:uiPriority w:val="47"/>
    <w:rsid w:val="007A7876"/>
    <w:rPr>
      <w:lang w:eastAsia="zh-C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2-Accent31">
    <w:name w:val="List Table 2 - Accent 31"/>
    <w:basedOn w:val="TableNormal"/>
    <w:uiPriority w:val="47"/>
    <w:rsid w:val="007A7876"/>
    <w:rPr>
      <w:lang w:eastAsia="zh-CN"/>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2-Accent41">
    <w:name w:val="List Table 2 - Accent 41"/>
    <w:basedOn w:val="TableNormal"/>
    <w:uiPriority w:val="47"/>
    <w:rsid w:val="007A7876"/>
    <w:rPr>
      <w:lang w:eastAsia="zh-CN"/>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2-Accent51">
    <w:name w:val="List Table 2 - Accent 51"/>
    <w:basedOn w:val="TableNormal"/>
    <w:uiPriority w:val="47"/>
    <w:rsid w:val="007A7876"/>
    <w:rPr>
      <w:lang w:eastAsia="zh-CN"/>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2-Accent61">
    <w:name w:val="List Table 2 - Accent 61"/>
    <w:basedOn w:val="TableNormal"/>
    <w:uiPriority w:val="47"/>
    <w:rsid w:val="007A7876"/>
    <w:rPr>
      <w:lang w:eastAsia="zh-C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1">
    <w:name w:val="List Table 31"/>
    <w:basedOn w:val="TableNormal"/>
    <w:uiPriority w:val="48"/>
    <w:rsid w:val="007A7876"/>
    <w:rPr>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uiPriority w:val="48"/>
    <w:rsid w:val="007A7876"/>
    <w:rPr>
      <w:lang w:eastAsia="zh-C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21">
    <w:name w:val="List Table 3 - Accent 21"/>
    <w:basedOn w:val="TableNormal"/>
    <w:uiPriority w:val="48"/>
    <w:rsid w:val="007A7876"/>
    <w:rPr>
      <w:lang w:eastAsia="zh-CN"/>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ListTable3-Accent31">
    <w:name w:val="List Table 3 - Accent 31"/>
    <w:basedOn w:val="TableNormal"/>
    <w:uiPriority w:val="48"/>
    <w:rsid w:val="007A7876"/>
    <w:rPr>
      <w:lang w:eastAsia="zh-CN"/>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stTable3-Accent41">
    <w:name w:val="List Table 3 - Accent 41"/>
    <w:basedOn w:val="TableNormal"/>
    <w:uiPriority w:val="48"/>
    <w:rsid w:val="007A7876"/>
    <w:rPr>
      <w:lang w:eastAsia="zh-C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ListTable3-Accent51">
    <w:name w:val="List Table 3 - Accent 51"/>
    <w:basedOn w:val="TableNormal"/>
    <w:uiPriority w:val="48"/>
    <w:rsid w:val="007A7876"/>
    <w:rPr>
      <w:lang w:eastAsia="zh-C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Accent61">
    <w:name w:val="List Table 3 - Accent 61"/>
    <w:basedOn w:val="TableNormal"/>
    <w:uiPriority w:val="48"/>
    <w:rsid w:val="007A7876"/>
    <w:rPr>
      <w:lang w:eastAsia="zh-C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ListTable41">
    <w:name w:val="List Table 41"/>
    <w:basedOn w:val="TableNormal"/>
    <w:uiPriority w:val="49"/>
    <w:rsid w:val="007A7876"/>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uiPriority w:val="49"/>
    <w:rsid w:val="007A7876"/>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4-Accent21">
    <w:name w:val="List Table 4 - Accent 21"/>
    <w:basedOn w:val="TableNormal"/>
    <w:uiPriority w:val="49"/>
    <w:rsid w:val="007A7876"/>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4-Accent31">
    <w:name w:val="List Table 4 - Accent 31"/>
    <w:basedOn w:val="TableNormal"/>
    <w:uiPriority w:val="49"/>
    <w:rsid w:val="007A7876"/>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4-Accent41">
    <w:name w:val="List Table 4 - Accent 41"/>
    <w:basedOn w:val="TableNormal"/>
    <w:uiPriority w:val="49"/>
    <w:rsid w:val="007A7876"/>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4-Accent51">
    <w:name w:val="List Table 4 - Accent 51"/>
    <w:basedOn w:val="TableNormal"/>
    <w:uiPriority w:val="49"/>
    <w:rsid w:val="007A7876"/>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61">
    <w:name w:val="List Table 4 - Accent 61"/>
    <w:basedOn w:val="TableNormal"/>
    <w:uiPriority w:val="49"/>
    <w:rsid w:val="007A7876"/>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5Dark1">
    <w:name w:val="List Table 5 Dark1"/>
    <w:basedOn w:val="TableNormal"/>
    <w:uiPriority w:val="50"/>
    <w:rsid w:val="007A7876"/>
    <w:rPr>
      <w:color w:val="FFFFFF"/>
      <w:lang w:eastAsia="zh-CN"/>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7A7876"/>
    <w:rPr>
      <w:color w:val="FFFFFF"/>
      <w:lang w:eastAsia="zh-CN"/>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7A7876"/>
    <w:rPr>
      <w:color w:val="FFFFFF"/>
      <w:lang w:eastAsia="zh-CN"/>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7A7876"/>
    <w:rPr>
      <w:color w:val="FFFFFF"/>
      <w:lang w:eastAsia="zh-CN"/>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7A7876"/>
    <w:rPr>
      <w:color w:val="FFFFFF"/>
      <w:lang w:eastAsia="zh-CN"/>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7A7876"/>
    <w:rPr>
      <w:color w:val="FFFFFF"/>
      <w:lang w:eastAsia="zh-CN"/>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7A7876"/>
    <w:rPr>
      <w:color w:val="FFFFFF"/>
      <w:lang w:eastAsia="zh-CN"/>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7A7876"/>
    <w:rPr>
      <w:color w:val="000000"/>
      <w:lang w:eastAsia="zh-CN"/>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uiPriority w:val="51"/>
    <w:rsid w:val="007A7876"/>
    <w:rPr>
      <w:color w:val="2E74B5"/>
      <w:lang w:eastAsia="zh-CN"/>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6Colorful-Accent21">
    <w:name w:val="List Table 6 Colorful - Accent 21"/>
    <w:basedOn w:val="TableNormal"/>
    <w:uiPriority w:val="51"/>
    <w:rsid w:val="007A7876"/>
    <w:rPr>
      <w:color w:val="C45911"/>
      <w:lang w:eastAsia="zh-CN"/>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6Colorful-Accent31">
    <w:name w:val="List Table 6 Colorful - Accent 31"/>
    <w:basedOn w:val="TableNormal"/>
    <w:uiPriority w:val="51"/>
    <w:rsid w:val="007A7876"/>
    <w:rPr>
      <w:color w:val="7B7B7B"/>
      <w:lang w:eastAsia="zh-CN"/>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6Colorful-Accent41">
    <w:name w:val="List Table 6 Colorful - Accent 41"/>
    <w:basedOn w:val="TableNormal"/>
    <w:uiPriority w:val="51"/>
    <w:rsid w:val="007A7876"/>
    <w:rPr>
      <w:color w:val="BF8F00"/>
      <w:lang w:eastAsia="zh-CN"/>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6Colorful-Accent51">
    <w:name w:val="List Table 6 Colorful - Accent 51"/>
    <w:basedOn w:val="TableNormal"/>
    <w:uiPriority w:val="51"/>
    <w:rsid w:val="007A7876"/>
    <w:rPr>
      <w:color w:val="2F5496"/>
      <w:lang w:eastAsia="zh-CN"/>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61">
    <w:name w:val="List Table 6 Colorful - Accent 61"/>
    <w:basedOn w:val="TableNormal"/>
    <w:uiPriority w:val="51"/>
    <w:rsid w:val="007A7876"/>
    <w:rPr>
      <w:color w:val="538135"/>
      <w:lang w:eastAsia="zh-CN"/>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7Colorful1">
    <w:name w:val="List Table 7 Colorful1"/>
    <w:basedOn w:val="TableNormal"/>
    <w:uiPriority w:val="52"/>
    <w:rsid w:val="007A7876"/>
    <w:rPr>
      <w:color w:val="0000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7A7876"/>
    <w:rPr>
      <w:color w:val="2E74B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7A7876"/>
    <w:rPr>
      <w:color w:val="C45911"/>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7A7876"/>
    <w:rPr>
      <w:color w:val="7B7B7B"/>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7A7876"/>
    <w:rPr>
      <w:color w:val="BF8F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7A7876"/>
    <w:rPr>
      <w:color w:val="2F5496"/>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7A7876"/>
    <w:rPr>
      <w:color w:val="53813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7A7876"/>
    <w:rPr>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sid w:val="007A7876"/>
    <w:rPr>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7A7876"/>
    <w:rPr>
      <w:lang w:eastAsia="zh-C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7A7876"/>
    <w:rPr>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7A7876"/>
    <w:rPr>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7A7876"/>
    <w:rPr>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umLgl1LDSChar">
    <w:name w:val="Num_Lgl1_LDS Char"/>
    <w:link w:val="NumLgl1LDS"/>
    <w:uiPriority w:val="1"/>
    <w:locked/>
    <w:rsid w:val="007A7876"/>
    <w:rPr>
      <w:rFonts w:ascii="Trebuchet MS" w:hAnsi="Trebuchet MS" w:cs="Arial"/>
      <w:b/>
      <w:sz w:val="28"/>
    </w:rPr>
  </w:style>
  <w:style w:type="character" w:customStyle="1" w:styleId="tgc">
    <w:name w:val="_tgc"/>
    <w:rsid w:val="007A7876"/>
  </w:style>
  <w:style w:type="character" w:customStyle="1" w:styleId="st1">
    <w:name w:val="st1"/>
    <w:rsid w:val="007A7876"/>
  </w:style>
  <w:style w:type="paragraph" w:customStyle="1" w:styleId="level2">
    <w:name w:val="level2"/>
    <w:basedOn w:val="Normal"/>
    <w:rsid w:val="007A7876"/>
    <w:pPr>
      <w:numPr>
        <w:ilvl w:val="1"/>
        <w:numId w:val="36"/>
      </w:numPr>
      <w:tabs>
        <w:tab w:val="left" w:pos="360"/>
      </w:tabs>
      <w:spacing w:before="100" w:after="60" w:line="312" w:lineRule="auto"/>
      <w:jc w:val="both"/>
    </w:pPr>
    <w:rPr>
      <w:rFonts w:cs="Times New Roman"/>
    </w:rPr>
  </w:style>
  <w:style w:type="paragraph" w:customStyle="1" w:styleId="level3">
    <w:name w:val="level3"/>
    <w:basedOn w:val="Normal"/>
    <w:rsid w:val="007A7876"/>
    <w:pPr>
      <w:numPr>
        <w:ilvl w:val="2"/>
        <w:numId w:val="36"/>
      </w:numPr>
      <w:tabs>
        <w:tab w:val="left" w:pos="360"/>
      </w:tabs>
      <w:spacing w:before="100" w:after="60" w:line="312" w:lineRule="auto"/>
      <w:jc w:val="both"/>
    </w:pPr>
    <w:rPr>
      <w:rFonts w:cs="Times New Roman"/>
    </w:rPr>
  </w:style>
  <w:style w:type="paragraph" w:customStyle="1" w:styleId="level4">
    <w:name w:val="level4"/>
    <w:basedOn w:val="Normal"/>
    <w:rsid w:val="007A7876"/>
    <w:pPr>
      <w:numPr>
        <w:ilvl w:val="3"/>
        <w:numId w:val="36"/>
      </w:numPr>
      <w:tabs>
        <w:tab w:val="left" w:pos="360"/>
      </w:tabs>
      <w:spacing w:before="100" w:after="60" w:line="312" w:lineRule="auto"/>
      <w:jc w:val="both"/>
    </w:pPr>
    <w:rPr>
      <w:rFonts w:cs="Times New Roman"/>
    </w:rPr>
  </w:style>
  <w:style w:type="paragraph" w:customStyle="1" w:styleId="Schedule">
    <w:name w:val="Schedule"/>
    <w:basedOn w:val="Normal"/>
    <w:next w:val="ScheduleHeading"/>
    <w:qFormat/>
    <w:rsid w:val="007A7876"/>
    <w:pPr>
      <w:keepNext/>
      <w:spacing w:before="200" w:line="288" w:lineRule="auto"/>
    </w:pPr>
    <w:rPr>
      <w:rFonts w:cs="Times New Roman"/>
      <w:b/>
      <w:sz w:val="22"/>
    </w:rPr>
  </w:style>
  <w:style w:type="paragraph" w:customStyle="1" w:styleId="ScheduleHeading">
    <w:name w:val="Schedule Heading"/>
    <w:basedOn w:val="Normal"/>
    <w:next w:val="Schedule1"/>
    <w:qFormat/>
    <w:rsid w:val="007A7876"/>
    <w:pPr>
      <w:keepNext/>
      <w:spacing w:before="160" w:line="288" w:lineRule="auto"/>
      <w:outlineLvl w:val="1"/>
    </w:pPr>
    <w:rPr>
      <w:rFonts w:cs="Times New Roman"/>
      <w:b/>
      <w:sz w:val="22"/>
    </w:rPr>
  </w:style>
  <w:style w:type="paragraph" w:customStyle="1" w:styleId="Schedule1">
    <w:name w:val="Schedule 1"/>
    <w:basedOn w:val="Normal"/>
    <w:next w:val="Schedule2"/>
    <w:qFormat/>
    <w:rsid w:val="007A7876"/>
    <w:pPr>
      <w:keepNext/>
      <w:tabs>
        <w:tab w:val="num" w:pos="709"/>
      </w:tabs>
      <w:spacing w:before="200" w:line="288" w:lineRule="auto"/>
      <w:ind w:left="709" w:hanging="709"/>
    </w:pPr>
    <w:rPr>
      <w:rFonts w:cs="Times New Roman"/>
      <w:b/>
      <w:sz w:val="22"/>
    </w:rPr>
  </w:style>
  <w:style w:type="paragraph" w:customStyle="1" w:styleId="Schedule2">
    <w:name w:val="Schedule 2"/>
    <w:basedOn w:val="Normal"/>
    <w:next w:val="NormalIndent"/>
    <w:rsid w:val="007A7876"/>
    <w:pPr>
      <w:keepNext/>
      <w:tabs>
        <w:tab w:val="num" w:pos="709"/>
      </w:tabs>
      <w:spacing w:before="160" w:line="288" w:lineRule="auto"/>
      <w:ind w:left="709" w:hanging="709"/>
    </w:pPr>
    <w:rPr>
      <w:rFonts w:cs="Times New Roman"/>
      <w:b/>
      <w:sz w:val="21"/>
    </w:rPr>
  </w:style>
  <w:style w:type="paragraph" w:customStyle="1" w:styleId="Schedule3">
    <w:name w:val="Schedule 3"/>
    <w:basedOn w:val="Normal"/>
    <w:rsid w:val="007A7876"/>
    <w:pPr>
      <w:tabs>
        <w:tab w:val="num" w:pos="1418"/>
      </w:tabs>
      <w:spacing w:before="100" w:line="288" w:lineRule="auto"/>
      <w:ind w:left="1418" w:hanging="709"/>
    </w:pPr>
    <w:rPr>
      <w:rFonts w:cs="Times New Roman"/>
    </w:rPr>
  </w:style>
  <w:style w:type="paragraph" w:customStyle="1" w:styleId="Schedule4">
    <w:name w:val="Schedule 4"/>
    <w:basedOn w:val="Normal"/>
    <w:qFormat/>
    <w:rsid w:val="007A7876"/>
    <w:pPr>
      <w:tabs>
        <w:tab w:val="num" w:pos="2126"/>
      </w:tabs>
      <w:spacing w:before="100" w:line="288" w:lineRule="auto"/>
      <w:ind w:left="2126" w:hanging="708"/>
    </w:pPr>
    <w:rPr>
      <w:rFonts w:cs="Times New Roman"/>
    </w:rPr>
  </w:style>
  <w:style w:type="paragraph" w:customStyle="1" w:styleId="Schedule6">
    <w:name w:val="Schedule 6"/>
    <w:basedOn w:val="Normal"/>
    <w:qFormat/>
    <w:rsid w:val="007A7876"/>
    <w:pPr>
      <w:tabs>
        <w:tab w:val="num" w:pos="3544"/>
      </w:tabs>
      <w:spacing w:before="100" w:line="288" w:lineRule="auto"/>
      <w:ind w:left="3544" w:hanging="709"/>
    </w:pPr>
    <w:rPr>
      <w:rFonts w:cs="Times New Roman"/>
    </w:rPr>
  </w:style>
  <w:style w:type="paragraph" w:customStyle="1" w:styleId="FSHeader">
    <w:name w:val="FSHeader"/>
    <w:basedOn w:val="Normal"/>
    <w:rsid w:val="007A7876"/>
    <w:pPr>
      <w:ind w:left="737"/>
    </w:pPr>
    <w:rPr>
      <w:rFonts w:cs="Times New Roman"/>
      <w:b/>
      <w:sz w:val="36"/>
    </w:rPr>
  </w:style>
  <w:style w:type="character" w:customStyle="1" w:styleId="UnresolvedMention2">
    <w:name w:val="Unresolved Mention2"/>
    <w:basedOn w:val="DefaultParagraphFont"/>
    <w:uiPriority w:val="99"/>
    <w:semiHidden/>
    <w:unhideWhenUsed/>
    <w:rsid w:val="00B969C0"/>
    <w:rPr>
      <w:color w:val="808080"/>
      <w:shd w:val="clear" w:color="auto" w:fill="E6E6E6"/>
    </w:rPr>
  </w:style>
  <w:style w:type="table" w:styleId="GridTable1Light">
    <w:name w:val="Grid Table 1 Light"/>
    <w:basedOn w:val="TableNormal"/>
    <w:uiPriority w:val="46"/>
    <w:rsid w:val="00B969C0"/>
    <w:rPr>
      <w:lang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969C0"/>
    <w:rPr>
      <w:lang w:eastAsia="zh-C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969C0"/>
    <w:rPr>
      <w:lang w:eastAsia="zh-C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969C0"/>
    <w:rPr>
      <w:lang w:eastAsia="zh-C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969C0"/>
    <w:rPr>
      <w:lang w:eastAsia="zh-C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969C0"/>
    <w:rPr>
      <w:lang w:eastAsia="zh-C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969C0"/>
    <w:rPr>
      <w:lang w:eastAsia="zh-C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B969C0"/>
    <w:rPr>
      <w:lang w:eastAsia="zh-C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B969C0"/>
    <w:rPr>
      <w:lang w:eastAsia="zh-C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2">
    <w:name w:val="Grid Table 2 Accent 2"/>
    <w:basedOn w:val="TableNormal"/>
    <w:uiPriority w:val="47"/>
    <w:rsid w:val="00B969C0"/>
    <w:rPr>
      <w:lang w:eastAsia="zh-C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B969C0"/>
    <w:rPr>
      <w:lang w:eastAsia="zh-C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B969C0"/>
    <w:rPr>
      <w:lang w:eastAsia="zh-C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B969C0"/>
    <w:rPr>
      <w:lang w:eastAsia="zh-C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6">
    <w:name w:val="Grid Table 2 Accent 6"/>
    <w:basedOn w:val="TableNormal"/>
    <w:uiPriority w:val="47"/>
    <w:rsid w:val="00B969C0"/>
    <w:rPr>
      <w:lang w:eastAsia="zh-CN"/>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B969C0"/>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B969C0"/>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2">
    <w:name w:val="Grid Table 3 Accent 2"/>
    <w:basedOn w:val="TableNormal"/>
    <w:uiPriority w:val="48"/>
    <w:rsid w:val="00B969C0"/>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B969C0"/>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B969C0"/>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B969C0"/>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6">
    <w:name w:val="Grid Table 3 Accent 6"/>
    <w:basedOn w:val="TableNormal"/>
    <w:uiPriority w:val="48"/>
    <w:rsid w:val="00B969C0"/>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B969C0"/>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B969C0"/>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rsid w:val="00B969C0"/>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B969C0"/>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B969C0"/>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B969C0"/>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B969C0"/>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2">
    <w:name w:val="Grid Table 5 Dark Accent 2"/>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6">
    <w:name w:val="Grid Table 5 Dark Accent 6"/>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B969C0"/>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B969C0"/>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rsid w:val="00B969C0"/>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B969C0"/>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B969C0"/>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B969C0"/>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6">
    <w:name w:val="Grid Table 6 Colorful Accent 6"/>
    <w:basedOn w:val="TableNormal"/>
    <w:uiPriority w:val="51"/>
    <w:rsid w:val="00B969C0"/>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B969C0"/>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B969C0"/>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2">
    <w:name w:val="Grid Table 7 Colorful Accent 2"/>
    <w:basedOn w:val="TableNormal"/>
    <w:uiPriority w:val="52"/>
    <w:rsid w:val="00B969C0"/>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B969C0"/>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B969C0"/>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B969C0"/>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6">
    <w:name w:val="Grid Table 7 Colorful Accent 6"/>
    <w:basedOn w:val="TableNormal"/>
    <w:uiPriority w:val="52"/>
    <w:rsid w:val="00B969C0"/>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ListTable1Light">
    <w:name w:val="List Table 1 Light"/>
    <w:basedOn w:val="TableNormal"/>
    <w:uiPriority w:val="46"/>
    <w:rsid w:val="00B969C0"/>
    <w:rPr>
      <w:lang w:eastAsia="zh-C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B969C0"/>
    <w:rPr>
      <w:lang w:eastAsia="zh-CN"/>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2">
    <w:name w:val="List Table 1 Light Accent 2"/>
    <w:basedOn w:val="TableNormal"/>
    <w:uiPriority w:val="46"/>
    <w:rsid w:val="00B969C0"/>
    <w:rPr>
      <w:lang w:eastAsia="zh-CN"/>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B969C0"/>
    <w:rPr>
      <w:lang w:eastAsia="zh-CN"/>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B969C0"/>
    <w:rPr>
      <w:lang w:eastAsia="zh-CN"/>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B969C0"/>
    <w:rPr>
      <w:lang w:eastAsia="zh-CN"/>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6">
    <w:name w:val="List Table 1 Light Accent 6"/>
    <w:basedOn w:val="TableNormal"/>
    <w:uiPriority w:val="46"/>
    <w:rsid w:val="00B969C0"/>
    <w:rPr>
      <w:lang w:eastAsia="zh-CN"/>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B969C0"/>
    <w:rPr>
      <w:lang w:eastAsia="zh-C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B969C0"/>
    <w:rPr>
      <w:lang w:eastAsia="zh-CN"/>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2">
    <w:name w:val="List Table 2 Accent 2"/>
    <w:basedOn w:val="TableNormal"/>
    <w:uiPriority w:val="47"/>
    <w:rsid w:val="00B969C0"/>
    <w:rPr>
      <w:lang w:eastAsia="zh-C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B969C0"/>
    <w:rPr>
      <w:lang w:eastAsia="zh-CN"/>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B969C0"/>
    <w:rPr>
      <w:lang w:eastAsia="zh-CN"/>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B969C0"/>
    <w:rPr>
      <w:lang w:eastAsia="zh-CN"/>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6">
    <w:name w:val="List Table 2 Accent 6"/>
    <w:basedOn w:val="TableNormal"/>
    <w:uiPriority w:val="47"/>
    <w:rsid w:val="00B969C0"/>
    <w:rPr>
      <w:lang w:eastAsia="zh-C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B969C0"/>
    <w:rPr>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B969C0"/>
    <w:rPr>
      <w:lang w:eastAsia="zh-C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2">
    <w:name w:val="List Table 3 Accent 2"/>
    <w:basedOn w:val="TableNormal"/>
    <w:uiPriority w:val="48"/>
    <w:rsid w:val="00B969C0"/>
    <w:rPr>
      <w:lang w:eastAsia="zh-CN"/>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B969C0"/>
    <w:rPr>
      <w:lang w:eastAsia="zh-CN"/>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B969C0"/>
    <w:rPr>
      <w:lang w:eastAsia="zh-C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B969C0"/>
    <w:rPr>
      <w:lang w:eastAsia="zh-C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6">
    <w:name w:val="List Table 3 Accent 6"/>
    <w:basedOn w:val="TableNormal"/>
    <w:uiPriority w:val="48"/>
    <w:rsid w:val="00B969C0"/>
    <w:rPr>
      <w:lang w:eastAsia="zh-C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B969C0"/>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B969C0"/>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2">
    <w:name w:val="List Table 4 Accent 2"/>
    <w:basedOn w:val="TableNormal"/>
    <w:uiPriority w:val="49"/>
    <w:rsid w:val="00B969C0"/>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B969C0"/>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B969C0"/>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B969C0"/>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6">
    <w:name w:val="List Table 4 Accent 6"/>
    <w:basedOn w:val="TableNormal"/>
    <w:uiPriority w:val="49"/>
    <w:rsid w:val="00B969C0"/>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B969C0"/>
    <w:rPr>
      <w:color w:val="FFFFFF"/>
      <w:lang w:eastAsia="zh-CN"/>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969C0"/>
    <w:rPr>
      <w:color w:val="FFFFFF"/>
      <w:lang w:eastAsia="zh-CN"/>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969C0"/>
    <w:rPr>
      <w:color w:val="FFFFFF"/>
      <w:lang w:eastAsia="zh-CN"/>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969C0"/>
    <w:rPr>
      <w:color w:val="FFFFFF"/>
      <w:lang w:eastAsia="zh-CN"/>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969C0"/>
    <w:rPr>
      <w:color w:val="FFFFFF"/>
      <w:lang w:eastAsia="zh-CN"/>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969C0"/>
    <w:rPr>
      <w:color w:val="FFFFFF"/>
      <w:lang w:eastAsia="zh-CN"/>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969C0"/>
    <w:rPr>
      <w:color w:val="FFFFFF"/>
      <w:lang w:eastAsia="zh-CN"/>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969C0"/>
    <w:rPr>
      <w:color w:val="000000"/>
      <w:lang w:eastAsia="zh-CN"/>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B969C0"/>
    <w:rPr>
      <w:color w:val="2E74B5"/>
      <w:lang w:eastAsia="zh-CN"/>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2">
    <w:name w:val="List Table 6 Colorful Accent 2"/>
    <w:basedOn w:val="TableNormal"/>
    <w:uiPriority w:val="51"/>
    <w:rsid w:val="00B969C0"/>
    <w:rPr>
      <w:color w:val="C45911"/>
      <w:lang w:eastAsia="zh-CN"/>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B969C0"/>
    <w:rPr>
      <w:color w:val="7B7B7B"/>
      <w:lang w:eastAsia="zh-CN"/>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B969C0"/>
    <w:rPr>
      <w:color w:val="BF8F00"/>
      <w:lang w:eastAsia="zh-CN"/>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B969C0"/>
    <w:rPr>
      <w:color w:val="2F5496"/>
      <w:lang w:eastAsia="zh-CN"/>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6">
    <w:name w:val="List Table 6 Colorful Accent 6"/>
    <w:basedOn w:val="TableNormal"/>
    <w:uiPriority w:val="51"/>
    <w:rsid w:val="00B969C0"/>
    <w:rPr>
      <w:color w:val="538135"/>
      <w:lang w:eastAsia="zh-CN"/>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B969C0"/>
    <w:rPr>
      <w:color w:val="0000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969C0"/>
    <w:rPr>
      <w:color w:val="2E74B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969C0"/>
    <w:rPr>
      <w:color w:val="C45911"/>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969C0"/>
    <w:rPr>
      <w:color w:val="7B7B7B"/>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969C0"/>
    <w:rPr>
      <w:color w:val="BF8F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969C0"/>
    <w:rPr>
      <w:color w:val="2F5496"/>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969C0"/>
    <w:rPr>
      <w:color w:val="53813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B969C0"/>
    <w:rPr>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B969C0"/>
    <w:rPr>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B969C0"/>
    <w:rPr>
      <w:lang w:eastAsia="zh-C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969C0"/>
    <w:rPr>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B969C0"/>
    <w:rPr>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B969C0"/>
    <w:rPr>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teHeading1">
    <w:name w:val="Note Heading1"/>
    <w:basedOn w:val="Normal"/>
    <w:next w:val="Normal"/>
    <w:rsid w:val="00E05CF6"/>
  </w:style>
  <w:style w:type="paragraph" w:customStyle="1" w:styleId="Definition1">
    <w:name w:val="Definition 1"/>
    <w:basedOn w:val="Normal"/>
    <w:uiPriority w:val="2"/>
    <w:qFormat/>
    <w:rsid w:val="00E05CF6"/>
    <w:pPr>
      <w:spacing w:after="180"/>
      <w:ind w:left="720"/>
      <w:jc w:val="both"/>
    </w:pPr>
    <w:rPr>
      <w:rFonts w:ascii="Times New Roman" w:eastAsia="MS Mincho" w:hAnsi="Times New Roman" w:cs="Times New Roman"/>
      <w:sz w:val="22"/>
      <w:szCs w:val="22"/>
      <w:lang w:val="en-GB"/>
    </w:rPr>
  </w:style>
  <w:style w:type="paragraph" w:customStyle="1" w:styleId="Definition2">
    <w:name w:val="Definition 2"/>
    <w:basedOn w:val="Normal"/>
    <w:uiPriority w:val="2"/>
    <w:qFormat/>
    <w:rsid w:val="00E05CF6"/>
    <w:pPr>
      <w:tabs>
        <w:tab w:val="num" w:pos="1440"/>
      </w:tabs>
      <w:spacing w:after="180"/>
      <w:ind w:left="1440" w:hanging="720"/>
      <w:jc w:val="both"/>
    </w:pPr>
    <w:rPr>
      <w:rFonts w:ascii="Times New Roman" w:eastAsia="MS Mincho" w:hAnsi="Times New Roman" w:cs="Times New Roman"/>
      <w:sz w:val="22"/>
      <w:szCs w:val="22"/>
      <w:lang w:val="en-GB"/>
    </w:rPr>
  </w:style>
  <w:style w:type="paragraph" w:customStyle="1" w:styleId="Definition3">
    <w:name w:val="Definition 3"/>
    <w:basedOn w:val="Normal"/>
    <w:uiPriority w:val="2"/>
    <w:qFormat/>
    <w:rsid w:val="00E05CF6"/>
    <w:pPr>
      <w:tabs>
        <w:tab w:val="num" w:pos="2160"/>
      </w:tabs>
      <w:spacing w:after="180"/>
      <w:ind w:left="2160" w:hanging="720"/>
      <w:jc w:val="both"/>
    </w:pPr>
    <w:rPr>
      <w:rFonts w:ascii="Times New Roman" w:eastAsia="MS Mincho" w:hAnsi="Times New Roman" w:cs="Times New Roman"/>
      <w:sz w:val="22"/>
      <w:szCs w:val="22"/>
      <w:lang w:val="en-GB"/>
    </w:rPr>
  </w:style>
  <w:style w:type="paragraph" w:customStyle="1" w:styleId="Definition4">
    <w:name w:val="Definition 4"/>
    <w:basedOn w:val="Normal"/>
    <w:uiPriority w:val="2"/>
    <w:qFormat/>
    <w:rsid w:val="00E05CF6"/>
    <w:pPr>
      <w:tabs>
        <w:tab w:val="num" w:pos="2880"/>
      </w:tabs>
      <w:spacing w:after="180"/>
      <w:ind w:left="2880" w:hanging="720"/>
      <w:jc w:val="both"/>
    </w:pPr>
    <w:rPr>
      <w:rFonts w:ascii="Times New Roman" w:eastAsia="MS Mincho" w:hAnsi="Times New Roman" w:cs="Times New Roman"/>
      <w:sz w:val="22"/>
      <w:szCs w:val="22"/>
      <w:lang w:val="en-GB"/>
    </w:rPr>
  </w:style>
  <w:style w:type="paragraph" w:customStyle="1" w:styleId="Definition5">
    <w:name w:val="Definition 5"/>
    <w:basedOn w:val="Normal"/>
    <w:uiPriority w:val="2"/>
    <w:qFormat/>
    <w:rsid w:val="00E05CF6"/>
    <w:pPr>
      <w:tabs>
        <w:tab w:val="num" w:pos="3600"/>
      </w:tabs>
      <w:spacing w:after="180"/>
      <w:ind w:left="3600" w:hanging="720"/>
      <w:jc w:val="both"/>
    </w:pPr>
    <w:rPr>
      <w:rFonts w:ascii="Times New Roman" w:eastAsia="MS Mincho" w:hAnsi="Times New Roman" w:cs="Times New Roman"/>
      <w:sz w:val="22"/>
      <w:szCs w:val="22"/>
      <w:lang w:val="en-GB"/>
    </w:rPr>
  </w:style>
  <w:style w:type="paragraph" w:customStyle="1" w:styleId="Definition6">
    <w:name w:val="Definition 6"/>
    <w:basedOn w:val="Normal"/>
    <w:uiPriority w:val="2"/>
    <w:qFormat/>
    <w:rsid w:val="00E05CF6"/>
    <w:pPr>
      <w:tabs>
        <w:tab w:val="num" w:pos="4320"/>
      </w:tabs>
      <w:spacing w:after="180"/>
      <w:ind w:left="4320" w:hanging="720"/>
      <w:jc w:val="both"/>
    </w:pPr>
    <w:rPr>
      <w:rFonts w:ascii="Times New Roman" w:eastAsia="MS Mincho" w:hAnsi="Times New Roman" w:cs="Times New Roman"/>
      <w:sz w:val="22"/>
      <w:szCs w:val="22"/>
      <w:lang w:val="en-GB"/>
    </w:rPr>
  </w:style>
  <w:style w:type="paragraph" w:customStyle="1" w:styleId="Definition7">
    <w:name w:val="Definition 7"/>
    <w:basedOn w:val="Normal"/>
    <w:uiPriority w:val="2"/>
    <w:qFormat/>
    <w:rsid w:val="00E05CF6"/>
    <w:pPr>
      <w:tabs>
        <w:tab w:val="num" w:pos="5040"/>
      </w:tabs>
      <w:spacing w:after="180"/>
      <w:ind w:left="5040" w:hanging="720"/>
      <w:jc w:val="both"/>
    </w:pPr>
    <w:rPr>
      <w:rFonts w:ascii="Times New Roman" w:eastAsia="MS Mincho" w:hAnsi="Times New Roman" w:cs="Times New Roman"/>
      <w:sz w:val="22"/>
      <w:szCs w:val="22"/>
      <w:lang w:val="en-GB"/>
    </w:rPr>
  </w:style>
  <w:style w:type="character" w:customStyle="1" w:styleId="DefinitionsCharChar">
    <w:name w:val="Definitions Char Char"/>
    <w:rsid w:val="00E05CF6"/>
    <w:rPr>
      <w:rFonts w:ascii="Arial" w:hAnsi="Arial"/>
      <w:lang w:eastAsia="en-US"/>
    </w:rPr>
  </w:style>
  <w:style w:type="paragraph" w:customStyle="1" w:styleId="Definitionsa">
    <w:name w:val="Definitions (a)"/>
    <w:basedOn w:val="Normal"/>
    <w:qFormat/>
    <w:rsid w:val="00E05CF6"/>
    <w:pPr>
      <w:tabs>
        <w:tab w:val="num" w:pos="1418"/>
      </w:tabs>
      <w:spacing w:before="100" w:line="288" w:lineRule="auto"/>
      <w:ind w:left="1418" w:hanging="709"/>
    </w:pPr>
    <w:rPr>
      <w:rFonts w:cs="Times New Roman"/>
    </w:rPr>
  </w:style>
  <w:style w:type="paragraph" w:customStyle="1" w:styleId="Definitionsi">
    <w:name w:val="Definitions (i)"/>
    <w:basedOn w:val="Normal"/>
    <w:qFormat/>
    <w:rsid w:val="00E05CF6"/>
    <w:pPr>
      <w:tabs>
        <w:tab w:val="num" w:pos="2126"/>
      </w:tabs>
      <w:spacing w:before="100" w:line="288" w:lineRule="auto"/>
      <w:ind w:left="2126" w:hanging="708"/>
    </w:pPr>
    <w:rPr>
      <w:rFonts w:cs="Times New Roman"/>
    </w:rPr>
  </w:style>
  <w:style w:type="paragraph" w:customStyle="1" w:styleId="wText">
    <w:name w:val="wText"/>
    <w:basedOn w:val="Normal"/>
    <w:link w:val="wTextChar"/>
    <w:uiPriority w:val="2"/>
    <w:qFormat/>
    <w:rsid w:val="00E05CF6"/>
    <w:pPr>
      <w:spacing w:after="180"/>
      <w:jc w:val="both"/>
    </w:pPr>
    <w:rPr>
      <w:rFonts w:ascii="Times New Roman" w:eastAsia="MS Mincho" w:hAnsi="Times New Roman" w:cs="Times New Roman"/>
      <w:sz w:val="22"/>
      <w:szCs w:val="22"/>
      <w:lang w:val="en-GB"/>
    </w:rPr>
  </w:style>
  <w:style w:type="character" w:customStyle="1" w:styleId="wTextChar">
    <w:name w:val="wText Char"/>
    <w:basedOn w:val="DefaultParagraphFont"/>
    <w:link w:val="wText"/>
    <w:uiPriority w:val="2"/>
    <w:rsid w:val="00E05CF6"/>
    <w:rPr>
      <w:rFonts w:ascii="Times New Roman" w:eastAsia="MS Mincho" w:hAnsi="Times New Roman"/>
      <w:sz w:val="22"/>
      <w:szCs w:val="22"/>
      <w:lang w:val="en-GB" w:eastAsia="en-US"/>
    </w:rPr>
  </w:style>
  <w:style w:type="paragraph" w:customStyle="1" w:styleId="wSignName">
    <w:name w:val="wSignName"/>
    <w:basedOn w:val="Normal"/>
    <w:next w:val="wSignNameLine"/>
    <w:uiPriority w:val="11"/>
    <w:qFormat/>
    <w:rsid w:val="00E05CF6"/>
    <w:pPr>
      <w:spacing w:before="600" w:after="60"/>
    </w:pPr>
    <w:rPr>
      <w:rFonts w:ascii="Times New Roman" w:eastAsia="MS Mincho" w:hAnsi="Times New Roman" w:cs="Times New Roman"/>
      <w:sz w:val="22"/>
      <w:szCs w:val="22"/>
      <w:lang w:val="en-GB"/>
    </w:rPr>
  </w:style>
  <w:style w:type="paragraph" w:customStyle="1" w:styleId="wSignNameLine">
    <w:name w:val="wSignNameLine"/>
    <w:basedOn w:val="Normal"/>
    <w:next w:val="Normal"/>
    <w:uiPriority w:val="11"/>
    <w:qFormat/>
    <w:rsid w:val="00E05CF6"/>
    <w:pPr>
      <w:tabs>
        <w:tab w:val="right" w:leader="underscore" w:pos="4253"/>
      </w:tabs>
      <w:spacing w:before="600"/>
    </w:pPr>
    <w:rPr>
      <w:rFonts w:ascii="Times New Roman" w:eastAsia="MS Mincho" w:hAnsi="Times New Roman" w:cs="Times New Roman"/>
      <w:sz w:val="22"/>
      <w:szCs w:val="22"/>
      <w:lang w:val="en-GB"/>
    </w:rPr>
  </w:style>
  <w:style w:type="paragraph" w:customStyle="1" w:styleId="wExecution">
    <w:name w:val="wExecution"/>
    <w:basedOn w:val="Normal"/>
    <w:uiPriority w:val="13"/>
    <w:qFormat/>
    <w:rsid w:val="00E05CF6"/>
    <w:pPr>
      <w:tabs>
        <w:tab w:val="left" w:pos="567"/>
      </w:tabs>
      <w:ind w:left="56"/>
    </w:pPr>
    <w:rPr>
      <w:rFonts w:ascii="Times New Roman" w:eastAsia="MS Mincho" w:hAnsi="Times New Roman" w:cs="Times New Roman"/>
      <w:sz w:val="22"/>
      <w:szCs w:val="22"/>
      <w:lang w:val="en-GB"/>
    </w:rPr>
  </w:style>
  <w:style w:type="paragraph" w:customStyle="1" w:styleId="Tablebullet">
    <w:name w:val="Table bullet"/>
    <w:basedOn w:val="BodyText"/>
    <w:uiPriority w:val="11"/>
    <w:rsid w:val="008A3693"/>
    <w:pPr>
      <w:numPr>
        <w:numId w:val="38"/>
      </w:numPr>
      <w:spacing w:after="180" w:line="260" w:lineRule="atLeast"/>
    </w:pPr>
    <w:rPr>
      <w:rFonts w:asciiTheme="minorHAnsi" w:eastAsiaTheme="minorEastAsia" w:hAnsiTheme="minorHAnsi" w:cstheme="minorBidi"/>
      <w:sz w:val="22"/>
      <w:szCs w:val="28"/>
      <w:lang w:eastAsia="zh-CN"/>
    </w:rPr>
  </w:style>
  <w:style w:type="paragraph" w:customStyle="1" w:styleId="Tablebullet2">
    <w:name w:val="Table bullet 2"/>
    <w:basedOn w:val="BodyText"/>
    <w:uiPriority w:val="11"/>
    <w:rsid w:val="008A3693"/>
    <w:pPr>
      <w:numPr>
        <w:ilvl w:val="1"/>
        <w:numId w:val="38"/>
      </w:numPr>
      <w:spacing w:after="180" w:line="260" w:lineRule="atLeast"/>
      <w:ind w:left="851" w:hanging="425"/>
    </w:pPr>
    <w:rPr>
      <w:rFonts w:asciiTheme="minorHAnsi" w:eastAsiaTheme="minorEastAsia" w:hAnsiTheme="minorHAnsi" w:cstheme="minorBidi"/>
      <w:sz w:val="22"/>
      <w:szCs w:val="28"/>
      <w:lang w:eastAsia="zh-CN"/>
    </w:rPr>
  </w:style>
  <w:style w:type="paragraph" w:customStyle="1" w:styleId="Default">
    <w:name w:val="Default"/>
    <w:rsid w:val="005365AF"/>
    <w:pPr>
      <w:autoSpaceDE w:val="0"/>
      <w:autoSpaceDN w:val="0"/>
      <w:adjustRightInd w:val="0"/>
    </w:pPr>
    <w:rPr>
      <w:rFonts w:ascii="Arial" w:hAnsi="Arial" w:cs="Arial"/>
      <w:color w:val="000000"/>
      <w:sz w:val="24"/>
      <w:szCs w:val="24"/>
    </w:rPr>
  </w:style>
  <w:style w:type="paragraph" w:customStyle="1" w:styleId="Bullets">
    <w:name w:val="Bullets"/>
    <w:basedOn w:val="ListParagraph"/>
    <w:uiPriority w:val="3"/>
    <w:qFormat/>
    <w:rsid w:val="005F388B"/>
    <w:pPr>
      <w:numPr>
        <w:numId w:val="39"/>
      </w:numPr>
      <w:tabs>
        <w:tab w:val="num" w:pos="360"/>
      </w:tabs>
      <w:spacing w:before="120" w:after="120" w:line="260" w:lineRule="atLeast"/>
      <w:ind w:left="720" w:firstLine="0"/>
    </w:pPr>
    <w:rPr>
      <w:rFonts w:eastAsia="SimSun" w:cs="Times New Roman"/>
      <w:color w:val="434244"/>
      <w:lang w:eastAsia="zh-CN"/>
    </w:rPr>
  </w:style>
  <w:style w:type="character" w:customStyle="1" w:styleId="UnresolvedMention3">
    <w:name w:val="Unresolved Mention3"/>
    <w:basedOn w:val="DefaultParagraphFont"/>
    <w:uiPriority w:val="99"/>
    <w:semiHidden/>
    <w:unhideWhenUsed/>
    <w:rsid w:val="00A45075"/>
    <w:rPr>
      <w:color w:val="605E5C"/>
      <w:shd w:val="clear" w:color="auto" w:fill="E1DFDD"/>
    </w:rPr>
  </w:style>
  <w:style w:type="character" w:customStyle="1" w:styleId="Char-Boldctrlb">
    <w:name w:val="Char - Bold (ctrl + b)"/>
    <w:uiPriority w:val="1"/>
    <w:qFormat/>
    <w:rsid w:val="00546CA6"/>
    <w:rPr>
      <w:rFonts w:asciiTheme="minorHAnsi" w:hAnsiTheme="minorHAnsi" w:cs="Segoe UI Semibold"/>
      <w:b/>
    </w:rPr>
  </w:style>
  <w:style w:type="paragraph" w:customStyle="1" w:styleId="ListBulletlvl1">
    <w:name w:val="List Bullet lvl1"/>
    <w:basedOn w:val="Normal"/>
    <w:uiPriority w:val="3"/>
    <w:qFormat/>
    <w:rsid w:val="00546CA6"/>
    <w:pPr>
      <w:numPr>
        <w:numId w:val="40"/>
      </w:numPr>
      <w:spacing w:after="120" w:line="264" w:lineRule="auto"/>
    </w:pPr>
    <w:rPr>
      <w:rFonts w:asciiTheme="minorHAnsi" w:eastAsiaTheme="minorHAnsi" w:hAnsiTheme="minorHAnsi" w:cstheme="minorBidi"/>
      <w:color w:val="000000" w:themeColor="text1"/>
    </w:rPr>
  </w:style>
  <w:style w:type="paragraph" w:customStyle="1" w:styleId="ListBulletlvl2">
    <w:name w:val="List Bullet lvl2"/>
    <w:basedOn w:val="ListBulletlvl1"/>
    <w:uiPriority w:val="3"/>
    <w:qFormat/>
    <w:rsid w:val="00546CA6"/>
    <w:pPr>
      <w:numPr>
        <w:ilvl w:val="1"/>
      </w:numPr>
    </w:pPr>
  </w:style>
  <w:style w:type="paragraph" w:customStyle="1" w:styleId="ListBulletlvl3">
    <w:name w:val="List Bullet lvl3"/>
    <w:basedOn w:val="ListBulletlvl2"/>
    <w:uiPriority w:val="3"/>
    <w:qFormat/>
    <w:rsid w:val="00546CA6"/>
    <w:pPr>
      <w:numPr>
        <w:ilvl w:val="2"/>
      </w:numPr>
    </w:pPr>
  </w:style>
  <w:style w:type="paragraph" w:customStyle="1" w:styleId="LegalBody">
    <w:name w:val="Legal Body"/>
    <w:basedOn w:val="Normal"/>
    <w:uiPriority w:val="8"/>
    <w:qFormat/>
    <w:rsid w:val="00546CA6"/>
    <w:pPr>
      <w:spacing w:before="240" w:after="240"/>
      <w:ind w:left="567"/>
    </w:pPr>
    <w:rPr>
      <w:rFonts w:asciiTheme="minorHAnsi" w:eastAsiaTheme="minorHAnsi" w:hAnsiTheme="minorHAnsi" w:cstheme="minorBidi"/>
      <w:color w:val="000000" w:themeColor="text1"/>
      <w:sz w:val="18"/>
    </w:rPr>
  </w:style>
  <w:style w:type="character" w:customStyle="1" w:styleId="Char-Italicctrli">
    <w:name w:val="Char - Italic (ctrl + i)"/>
    <w:uiPriority w:val="1"/>
    <w:qFormat/>
    <w:rsid w:val="009135B6"/>
    <w:rPr>
      <w:i/>
    </w:rPr>
  </w:style>
  <w:style w:type="character" w:customStyle="1" w:styleId="UnresolvedMention4">
    <w:name w:val="Unresolved Mention4"/>
    <w:basedOn w:val="DefaultParagraphFont"/>
    <w:uiPriority w:val="99"/>
    <w:semiHidden/>
    <w:unhideWhenUsed/>
    <w:rsid w:val="00F57777"/>
    <w:rPr>
      <w:color w:val="605E5C"/>
      <w:shd w:val="clear" w:color="auto" w:fill="E1DFDD"/>
    </w:rPr>
  </w:style>
  <w:style w:type="paragraph" w:customStyle="1" w:styleId="sch5">
    <w:name w:val="sch5"/>
    <w:basedOn w:val="Normal"/>
    <w:next w:val="Normal"/>
    <w:rsid w:val="00E03054"/>
    <w:pPr>
      <w:numPr>
        <w:ilvl w:val="4"/>
        <w:numId w:val="41"/>
      </w:numPr>
      <w:spacing w:before="200" w:line="240" w:lineRule="atLeast"/>
    </w:pPr>
    <w:rPr>
      <w:rFonts w:eastAsia="SimSun" w:cs="Times New Roman"/>
      <w:lang w:eastAsia="zh-CN"/>
    </w:rPr>
  </w:style>
  <w:style w:type="paragraph" w:customStyle="1" w:styleId="sch1">
    <w:name w:val="sch1"/>
    <w:basedOn w:val="Normal"/>
    <w:next w:val="Normal"/>
    <w:rsid w:val="00E03054"/>
    <w:pPr>
      <w:keepNext/>
      <w:numPr>
        <w:numId w:val="41"/>
      </w:numPr>
      <w:spacing w:before="200" w:line="240" w:lineRule="atLeast"/>
    </w:pPr>
    <w:rPr>
      <w:rFonts w:eastAsia="SimSun" w:cs="Times New Roman"/>
      <w:b/>
      <w:lang w:eastAsia="zh-CN"/>
    </w:rPr>
  </w:style>
  <w:style w:type="paragraph" w:customStyle="1" w:styleId="sch3">
    <w:name w:val="sch3"/>
    <w:basedOn w:val="Normal"/>
    <w:next w:val="Normal"/>
    <w:rsid w:val="00E03054"/>
    <w:pPr>
      <w:numPr>
        <w:ilvl w:val="2"/>
        <w:numId w:val="41"/>
      </w:numPr>
      <w:spacing w:before="200" w:line="240" w:lineRule="atLeast"/>
    </w:pPr>
    <w:rPr>
      <w:rFonts w:eastAsia="SimSun" w:cs="Times New Roman"/>
      <w:lang w:eastAsia="zh-CN"/>
    </w:rPr>
  </w:style>
  <w:style w:type="paragraph" w:customStyle="1" w:styleId="sch4">
    <w:name w:val="sch4"/>
    <w:basedOn w:val="Normal"/>
    <w:next w:val="Normal"/>
    <w:rsid w:val="00E03054"/>
    <w:pPr>
      <w:numPr>
        <w:ilvl w:val="3"/>
        <w:numId w:val="41"/>
      </w:numPr>
      <w:spacing w:before="200" w:line="240" w:lineRule="atLeast"/>
    </w:pPr>
    <w:rPr>
      <w:rFonts w:eastAsia="SimSun" w:cs="Times New Roman"/>
      <w:lang w:eastAsia="zh-CN"/>
    </w:rPr>
  </w:style>
  <w:style w:type="paragraph" w:customStyle="1" w:styleId="sch6">
    <w:name w:val="sch6"/>
    <w:basedOn w:val="Normal"/>
    <w:next w:val="Normal"/>
    <w:rsid w:val="00E03054"/>
    <w:pPr>
      <w:numPr>
        <w:ilvl w:val="5"/>
        <w:numId w:val="41"/>
      </w:numPr>
      <w:spacing w:before="200" w:line="240" w:lineRule="atLeast"/>
    </w:pPr>
    <w:rPr>
      <w:rFonts w:eastAsia="SimSun" w:cs="Times New Roman"/>
      <w:lang w:eastAsia="zh-CN"/>
    </w:rPr>
  </w:style>
  <w:style w:type="paragraph" w:customStyle="1" w:styleId="sch7">
    <w:name w:val="sch7"/>
    <w:basedOn w:val="Normal"/>
    <w:next w:val="Normal"/>
    <w:rsid w:val="00E03054"/>
    <w:pPr>
      <w:numPr>
        <w:ilvl w:val="6"/>
        <w:numId w:val="41"/>
      </w:numPr>
      <w:spacing w:before="200" w:line="240" w:lineRule="atLeast"/>
    </w:pPr>
    <w:rPr>
      <w:rFonts w:eastAsia="SimSun" w:cs="Times New Roman"/>
      <w:lang w:eastAsia="zh-CN"/>
    </w:rPr>
  </w:style>
  <w:style w:type="character" w:styleId="UnresolvedMention">
    <w:name w:val="Unresolved Mention"/>
    <w:basedOn w:val="DefaultParagraphFont"/>
    <w:uiPriority w:val="99"/>
    <w:unhideWhenUsed/>
    <w:rsid w:val="00D1735E"/>
    <w:rPr>
      <w:color w:val="605E5C"/>
      <w:shd w:val="clear" w:color="auto" w:fill="E1DFDD"/>
    </w:rPr>
  </w:style>
  <w:style w:type="character" w:styleId="Mention">
    <w:name w:val="Mention"/>
    <w:basedOn w:val="DefaultParagraphFont"/>
    <w:uiPriority w:val="99"/>
    <w:unhideWhenUsed/>
    <w:rsid w:val="00D1735E"/>
    <w:rPr>
      <w:color w:val="2B579A"/>
      <w:shd w:val="clear" w:color="auto" w:fill="E1DFDD"/>
    </w:rPr>
  </w:style>
  <w:style w:type="numbering" w:customStyle="1" w:styleId="RecitalsListHeading">
    <w:name w:val="Recitals List Heading"/>
    <w:uiPriority w:val="99"/>
    <w:rsid w:val="00984DE8"/>
    <w:pPr>
      <w:numPr>
        <w:numId w:val="16"/>
      </w:numPr>
    </w:pPr>
  </w:style>
  <w:style w:type="numbering" w:customStyle="1" w:styleId="ItemListHeading">
    <w:name w:val="Item List Heading"/>
    <w:uiPriority w:val="99"/>
    <w:rsid w:val="00984DE8"/>
    <w:pPr>
      <w:numPr>
        <w:numId w:val="17"/>
      </w:numPr>
    </w:pPr>
  </w:style>
  <w:style w:type="numbering" w:customStyle="1" w:styleId="MELegal">
    <w:name w:val="ME Legal"/>
    <w:uiPriority w:val="99"/>
    <w:rsid w:val="00464237"/>
    <w:pPr>
      <w:numPr>
        <w:numId w:val="53"/>
      </w:numPr>
    </w:pPr>
  </w:style>
  <w:style w:type="paragraph" w:customStyle="1" w:styleId="MELegal1">
    <w:name w:val="ME Legal 1"/>
    <w:aliases w:val="l1,ME Legal 11,1"/>
    <w:basedOn w:val="Normal"/>
    <w:next w:val="Normal"/>
    <w:qFormat/>
    <w:rsid w:val="00464237"/>
    <w:pPr>
      <w:keepNext/>
      <w:numPr>
        <w:numId w:val="52"/>
      </w:numPr>
      <w:spacing w:before="480" w:after="60" w:line="240" w:lineRule="atLeast"/>
      <w:outlineLvl w:val="0"/>
    </w:pPr>
    <w:rPr>
      <w:rFonts w:cs="Angsana New"/>
      <w:spacing w:val="-6"/>
      <w:sz w:val="28"/>
      <w:szCs w:val="22"/>
      <w:lang w:eastAsia="zh-CN" w:bidi="th-TH"/>
    </w:rPr>
  </w:style>
  <w:style w:type="paragraph" w:customStyle="1" w:styleId="MELegal2">
    <w:name w:val="ME Legal 2"/>
    <w:aliases w:val="ME Legal 21"/>
    <w:basedOn w:val="Normal"/>
    <w:next w:val="Normal"/>
    <w:qFormat/>
    <w:rsid w:val="00464237"/>
    <w:pPr>
      <w:keepNext/>
      <w:numPr>
        <w:ilvl w:val="1"/>
        <w:numId w:val="52"/>
      </w:numPr>
      <w:spacing w:before="240" w:after="60" w:line="240" w:lineRule="atLeast"/>
      <w:outlineLvl w:val="1"/>
    </w:pPr>
    <w:rPr>
      <w:rFonts w:ascii="Arial Bold" w:hAnsi="Arial Bold" w:cs="Angsana New"/>
      <w:b/>
      <w:spacing w:val="-6"/>
      <w:sz w:val="22"/>
      <w:szCs w:val="22"/>
      <w:lang w:eastAsia="zh-CN" w:bidi="th-TH"/>
    </w:rPr>
  </w:style>
  <w:style w:type="paragraph" w:customStyle="1" w:styleId="MELegal3">
    <w:name w:val="ME Legal 3"/>
    <w:aliases w:val="l3,ME Legal 31,l3 + Right:  0.5 cm + Right:  0.5 cm,l3 + Left:  1.2 cm,First lin..."/>
    <w:basedOn w:val="Normal"/>
    <w:link w:val="MELegal3Char"/>
    <w:qFormat/>
    <w:rsid w:val="00464237"/>
    <w:pPr>
      <w:numPr>
        <w:ilvl w:val="2"/>
        <w:numId w:val="52"/>
      </w:numPr>
      <w:spacing w:after="120" w:line="240" w:lineRule="atLeast"/>
      <w:outlineLvl w:val="2"/>
    </w:pPr>
    <w:rPr>
      <w:rFonts w:cs="Angsana New"/>
      <w:szCs w:val="22"/>
      <w:lang w:eastAsia="zh-CN" w:bidi="th-TH"/>
    </w:rPr>
  </w:style>
  <w:style w:type="paragraph" w:customStyle="1" w:styleId="MELegal4">
    <w:name w:val="ME Legal 4"/>
    <w:aliases w:val="l4,ME Legal 41"/>
    <w:basedOn w:val="Normal"/>
    <w:link w:val="MELegal4Char"/>
    <w:qFormat/>
    <w:rsid w:val="00464237"/>
    <w:pPr>
      <w:numPr>
        <w:ilvl w:val="3"/>
        <w:numId w:val="52"/>
      </w:numPr>
      <w:spacing w:after="120" w:line="240" w:lineRule="atLeast"/>
      <w:outlineLvl w:val="3"/>
    </w:pPr>
    <w:rPr>
      <w:rFonts w:cs="Angsana New"/>
      <w:szCs w:val="22"/>
      <w:lang w:eastAsia="zh-CN" w:bidi="th-TH"/>
    </w:rPr>
  </w:style>
  <w:style w:type="paragraph" w:customStyle="1" w:styleId="MELegal5">
    <w:name w:val="ME Legal 5"/>
    <w:aliases w:val="ME Legal 51"/>
    <w:basedOn w:val="Normal"/>
    <w:qFormat/>
    <w:rsid w:val="00464237"/>
    <w:pPr>
      <w:numPr>
        <w:ilvl w:val="4"/>
        <w:numId w:val="52"/>
      </w:numPr>
      <w:spacing w:after="120" w:line="240" w:lineRule="atLeast"/>
      <w:outlineLvl w:val="4"/>
    </w:pPr>
    <w:rPr>
      <w:rFonts w:cs="Angsana New"/>
      <w:szCs w:val="22"/>
      <w:lang w:eastAsia="zh-CN" w:bidi="th-TH"/>
    </w:rPr>
  </w:style>
  <w:style w:type="paragraph" w:customStyle="1" w:styleId="MELegal6">
    <w:name w:val="ME Legal 6"/>
    <w:basedOn w:val="Normal"/>
    <w:qFormat/>
    <w:rsid w:val="00464237"/>
    <w:pPr>
      <w:numPr>
        <w:ilvl w:val="5"/>
        <w:numId w:val="52"/>
      </w:numPr>
      <w:spacing w:after="120" w:line="240" w:lineRule="atLeast"/>
      <w:outlineLvl w:val="5"/>
    </w:pPr>
    <w:rPr>
      <w:rFonts w:cs="Angsana New"/>
      <w:szCs w:val="22"/>
      <w:lang w:eastAsia="zh-CN" w:bidi="th-TH"/>
    </w:rPr>
  </w:style>
  <w:style w:type="paragraph" w:customStyle="1" w:styleId="MELegal7">
    <w:name w:val="ME Legal 7"/>
    <w:basedOn w:val="Normal"/>
    <w:qFormat/>
    <w:rsid w:val="00464237"/>
    <w:pPr>
      <w:numPr>
        <w:ilvl w:val="6"/>
        <w:numId w:val="52"/>
      </w:numPr>
      <w:tabs>
        <w:tab w:val="clear" w:pos="4082"/>
        <w:tab w:val="num" w:pos="2520"/>
      </w:tabs>
      <w:spacing w:after="120" w:line="240" w:lineRule="atLeast"/>
      <w:ind w:left="2520" w:hanging="360"/>
      <w:outlineLvl w:val="6"/>
    </w:pPr>
    <w:rPr>
      <w:rFonts w:cs="Angsana New"/>
      <w:szCs w:val="22"/>
      <w:lang w:eastAsia="zh-CN" w:bidi="th-TH"/>
    </w:rPr>
  </w:style>
  <w:style w:type="paragraph" w:customStyle="1" w:styleId="MELegal8">
    <w:name w:val="ME Legal 8"/>
    <w:basedOn w:val="Normal"/>
    <w:unhideWhenUsed/>
    <w:qFormat/>
    <w:rsid w:val="00464237"/>
    <w:pPr>
      <w:numPr>
        <w:ilvl w:val="7"/>
        <w:numId w:val="52"/>
      </w:numPr>
      <w:tabs>
        <w:tab w:val="clear" w:pos="4763"/>
        <w:tab w:val="num" w:pos="2880"/>
      </w:tabs>
      <w:spacing w:after="120" w:line="240" w:lineRule="atLeast"/>
      <w:ind w:left="2880" w:hanging="360"/>
      <w:outlineLvl w:val="7"/>
    </w:pPr>
    <w:rPr>
      <w:rFonts w:cs="Angsana New"/>
      <w:szCs w:val="22"/>
      <w:lang w:eastAsia="zh-CN" w:bidi="th-TH"/>
    </w:rPr>
  </w:style>
  <w:style w:type="paragraph" w:customStyle="1" w:styleId="MELegal9">
    <w:name w:val="ME Legal 9"/>
    <w:basedOn w:val="Normal"/>
    <w:unhideWhenUsed/>
    <w:qFormat/>
    <w:rsid w:val="00464237"/>
    <w:pPr>
      <w:numPr>
        <w:ilvl w:val="8"/>
        <w:numId w:val="52"/>
      </w:numPr>
      <w:tabs>
        <w:tab w:val="clear" w:pos="5443"/>
        <w:tab w:val="num" w:pos="3240"/>
      </w:tabs>
      <w:spacing w:after="120" w:line="240" w:lineRule="atLeast"/>
      <w:ind w:left="3240" w:hanging="360"/>
      <w:outlineLvl w:val="8"/>
    </w:pPr>
    <w:rPr>
      <w:rFonts w:cs="Angsana New"/>
      <w:szCs w:val="22"/>
      <w:lang w:eastAsia="zh-CN" w:bidi="th-TH"/>
    </w:rPr>
  </w:style>
  <w:style w:type="character" w:customStyle="1" w:styleId="MELegal4Char">
    <w:name w:val="ME Legal 4 Char"/>
    <w:basedOn w:val="DefaultParagraphFont"/>
    <w:link w:val="MELegal4"/>
    <w:rsid w:val="00464237"/>
    <w:rPr>
      <w:rFonts w:ascii="Arial" w:hAnsi="Arial" w:cs="Angsana New"/>
      <w:szCs w:val="22"/>
      <w:lang w:eastAsia="zh-CN" w:bidi="th-TH"/>
    </w:rPr>
  </w:style>
  <w:style w:type="character" w:customStyle="1" w:styleId="MELegal3Char">
    <w:name w:val="ME Legal 3 Char"/>
    <w:aliases w:val="l3 Char Char,l3 Char,ME Legal 3 Char1,Level 1 - 2 Char,Level 1 - 1 Char,head3 Char,h3.H3 Char,S&amp;P Heading 3 Char,Head 33 Char,ME Legal 31 Char,3 Char,3 Char Char,(a) Char,a Char,l3 + Left:  2.4 cm Char,First line:  0 cm Char Char"/>
    <w:basedOn w:val="DefaultParagraphFont"/>
    <w:link w:val="MELegal3"/>
    <w:rsid w:val="00464237"/>
    <w:rPr>
      <w:rFonts w:ascii="Arial" w:hAnsi="Arial" w:cs="Angsana New"/>
      <w:szCs w:val="22"/>
      <w:lang w:eastAsia="zh-CN" w:bidi="th-TH"/>
    </w:rPr>
  </w:style>
  <w:style w:type="character" w:customStyle="1" w:styleId="MELegal2Char">
    <w:name w:val="ME Legal 2 Char"/>
    <w:basedOn w:val="DefaultParagraphFont"/>
    <w:locked/>
    <w:rsid w:val="00D92A95"/>
    <w:rPr>
      <w:rFonts w:ascii="Arial Bold" w:hAnsi="Arial Bold" w:cs="Angsana New"/>
      <w:b/>
      <w:spacing w:val="-6"/>
      <w:sz w:val="22"/>
      <w:szCs w:val="22"/>
      <w:lang w:eastAsia="zh-CN" w:bidi="th-TH"/>
    </w:rPr>
  </w:style>
  <w:style w:type="numbering" w:customStyle="1" w:styleId="PartiesListHeading11">
    <w:name w:val="Parties List Heading11"/>
    <w:uiPriority w:val="99"/>
    <w:rsid w:val="00BE77D6"/>
  </w:style>
  <w:style w:type="numbering" w:customStyle="1" w:styleId="PartiesListHeading12">
    <w:name w:val="Parties List Heading12"/>
    <w:uiPriority w:val="99"/>
    <w:rsid w:val="00397A27"/>
  </w:style>
  <w:style w:type="numbering" w:customStyle="1" w:styleId="PartiesListHeading13">
    <w:name w:val="Parties List Heading13"/>
    <w:uiPriority w:val="99"/>
    <w:rsid w:val="00397A27"/>
  </w:style>
  <w:style w:type="paragraph" w:customStyle="1" w:styleId="ScheduleL1">
    <w:name w:val="Schedule L1"/>
    <w:basedOn w:val="Normal"/>
    <w:next w:val="Normal"/>
    <w:uiPriority w:val="3"/>
    <w:qFormat/>
    <w:rsid w:val="00C15C21"/>
    <w:pPr>
      <w:numPr>
        <w:numId w:val="65"/>
      </w:numPr>
      <w:spacing w:before="120" w:after="360" w:line="480" w:lineRule="exact"/>
      <w:outlineLvl w:val="0"/>
    </w:pPr>
    <w:rPr>
      <w:rFonts w:eastAsia="PMingLiU" w:cs="Angsana New"/>
      <w:spacing w:val="-6"/>
      <w:sz w:val="48"/>
      <w:szCs w:val="22"/>
      <w:lang w:eastAsia="zh-CN" w:bidi="th-TH"/>
    </w:rPr>
  </w:style>
  <w:style w:type="paragraph" w:customStyle="1" w:styleId="ScheduleL2">
    <w:name w:val="Schedule L2"/>
    <w:basedOn w:val="Normal"/>
    <w:next w:val="Normal"/>
    <w:uiPriority w:val="3"/>
    <w:qFormat/>
    <w:rsid w:val="00C15C21"/>
    <w:pPr>
      <w:keepNext/>
      <w:numPr>
        <w:ilvl w:val="1"/>
        <w:numId w:val="65"/>
      </w:numPr>
      <w:spacing w:before="480" w:after="60" w:line="240" w:lineRule="atLeast"/>
      <w:outlineLvl w:val="1"/>
    </w:pPr>
    <w:rPr>
      <w:rFonts w:eastAsia="PMingLiU" w:cs="Angsana New"/>
      <w:spacing w:val="-6"/>
      <w:sz w:val="28"/>
      <w:szCs w:val="22"/>
      <w:lang w:eastAsia="zh-CN" w:bidi="th-TH"/>
    </w:rPr>
  </w:style>
  <w:style w:type="paragraph" w:customStyle="1" w:styleId="ScheduleL3">
    <w:name w:val="Schedule L3"/>
    <w:basedOn w:val="Normal"/>
    <w:next w:val="Normal"/>
    <w:uiPriority w:val="3"/>
    <w:qFormat/>
    <w:rsid w:val="00C15C21"/>
    <w:pPr>
      <w:keepNext/>
      <w:numPr>
        <w:ilvl w:val="2"/>
        <w:numId w:val="65"/>
      </w:numPr>
      <w:spacing w:before="240" w:after="60" w:line="240" w:lineRule="atLeast"/>
      <w:outlineLvl w:val="2"/>
    </w:pPr>
    <w:rPr>
      <w:rFonts w:ascii="Arial Bold" w:eastAsia="PMingLiU" w:hAnsi="Arial Bold" w:cs="Angsana New"/>
      <w:b/>
      <w:spacing w:val="-6"/>
      <w:sz w:val="22"/>
      <w:szCs w:val="22"/>
      <w:lang w:eastAsia="zh-CN" w:bidi="th-TH"/>
    </w:rPr>
  </w:style>
  <w:style w:type="paragraph" w:customStyle="1" w:styleId="ScheduleL4">
    <w:name w:val="Schedule L4"/>
    <w:basedOn w:val="Normal"/>
    <w:link w:val="ScheduleL4Char"/>
    <w:uiPriority w:val="3"/>
    <w:qFormat/>
    <w:rsid w:val="00C15C21"/>
    <w:pPr>
      <w:numPr>
        <w:ilvl w:val="3"/>
        <w:numId w:val="65"/>
      </w:numPr>
      <w:spacing w:after="120" w:line="240" w:lineRule="atLeast"/>
      <w:outlineLvl w:val="3"/>
    </w:pPr>
    <w:rPr>
      <w:rFonts w:eastAsia="PMingLiU" w:cs="Angsana New"/>
      <w:szCs w:val="22"/>
      <w:lang w:eastAsia="zh-CN" w:bidi="th-TH"/>
    </w:rPr>
  </w:style>
  <w:style w:type="paragraph" w:customStyle="1" w:styleId="ScheduleL5">
    <w:name w:val="Schedule L5"/>
    <w:basedOn w:val="Normal"/>
    <w:uiPriority w:val="3"/>
    <w:qFormat/>
    <w:rsid w:val="00C15C21"/>
    <w:pPr>
      <w:numPr>
        <w:ilvl w:val="4"/>
        <w:numId w:val="65"/>
      </w:numPr>
      <w:spacing w:after="120" w:line="240" w:lineRule="atLeast"/>
      <w:outlineLvl w:val="4"/>
    </w:pPr>
    <w:rPr>
      <w:rFonts w:eastAsia="PMingLiU" w:cs="Angsana New"/>
      <w:szCs w:val="22"/>
      <w:lang w:eastAsia="zh-CN" w:bidi="th-TH"/>
    </w:rPr>
  </w:style>
  <w:style w:type="paragraph" w:customStyle="1" w:styleId="ScheduleL6">
    <w:name w:val="Schedule L6"/>
    <w:basedOn w:val="Normal"/>
    <w:uiPriority w:val="3"/>
    <w:qFormat/>
    <w:rsid w:val="00C15C21"/>
    <w:pPr>
      <w:numPr>
        <w:ilvl w:val="5"/>
        <w:numId w:val="65"/>
      </w:numPr>
      <w:spacing w:after="120" w:line="240" w:lineRule="atLeast"/>
      <w:outlineLvl w:val="5"/>
    </w:pPr>
    <w:rPr>
      <w:rFonts w:eastAsia="PMingLiU" w:cs="Angsana New"/>
      <w:szCs w:val="22"/>
      <w:lang w:eastAsia="zh-CN" w:bidi="th-TH"/>
    </w:rPr>
  </w:style>
  <w:style w:type="paragraph" w:customStyle="1" w:styleId="ScheduleL7">
    <w:name w:val="Schedule L7"/>
    <w:basedOn w:val="Normal"/>
    <w:uiPriority w:val="3"/>
    <w:unhideWhenUsed/>
    <w:qFormat/>
    <w:rsid w:val="00C15C21"/>
    <w:pPr>
      <w:numPr>
        <w:ilvl w:val="6"/>
        <w:numId w:val="65"/>
      </w:numPr>
      <w:spacing w:after="120" w:line="240" w:lineRule="atLeast"/>
      <w:outlineLvl w:val="6"/>
    </w:pPr>
    <w:rPr>
      <w:rFonts w:eastAsia="PMingLiU" w:cs="Angsana New"/>
      <w:szCs w:val="22"/>
      <w:lang w:eastAsia="zh-CN" w:bidi="th-TH"/>
    </w:rPr>
  </w:style>
  <w:style w:type="paragraph" w:customStyle="1" w:styleId="ScheduleL8">
    <w:name w:val="Schedule L8"/>
    <w:basedOn w:val="Normal"/>
    <w:uiPriority w:val="3"/>
    <w:unhideWhenUsed/>
    <w:qFormat/>
    <w:rsid w:val="00C15C21"/>
    <w:pPr>
      <w:numPr>
        <w:ilvl w:val="7"/>
        <w:numId w:val="65"/>
      </w:numPr>
      <w:spacing w:after="120" w:line="240" w:lineRule="atLeast"/>
      <w:outlineLvl w:val="7"/>
    </w:pPr>
    <w:rPr>
      <w:rFonts w:eastAsia="PMingLiU" w:cs="Angsana New"/>
      <w:szCs w:val="22"/>
      <w:lang w:eastAsia="zh-CN" w:bidi="th-TH"/>
    </w:rPr>
  </w:style>
  <w:style w:type="paragraph" w:customStyle="1" w:styleId="ScheduleL9">
    <w:name w:val="Schedule L9"/>
    <w:basedOn w:val="Normal"/>
    <w:uiPriority w:val="3"/>
    <w:unhideWhenUsed/>
    <w:qFormat/>
    <w:rsid w:val="00C15C21"/>
    <w:pPr>
      <w:numPr>
        <w:ilvl w:val="8"/>
        <w:numId w:val="65"/>
      </w:numPr>
      <w:spacing w:after="120" w:line="240" w:lineRule="atLeast"/>
      <w:outlineLvl w:val="8"/>
    </w:pPr>
    <w:rPr>
      <w:rFonts w:eastAsia="PMingLiU" w:cs="Angsana New"/>
      <w:szCs w:val="22"/>
      <w:lang w:eastAsia="zh-CN" w:bidi="th-TH"/>
    </w:rPr>
  </w:style>
  <w:style w:type="paragraph" w:customStyle="1" w:styleId="ScheduleH3">
    <w:name w:val="ScheduleH3"/>
    <w:basedOn w:val="Schedule3"/>
    <w:rsid w:val="00EF4D4D"/>
  </w:style>
  <w:style w:type="paragraph" w:customStyle="1" w:styleId="DefinitionL1">
    <w:name w:val="Definition L1"/>
    <w:basedOn w:val="Normal"/>
    <w:link w:val="DefinitionL1Char"/>
    <w:uiPriority w:val="3"/>
    <w:qFormat/>
    <w:rsid w:val="003D072D"/>
    <w:pPr>
      <w:numPr>
        <w:numId w:val="66"/>
      </w:numPr>
      <w:spacing w:after="120" w:line="240" w:lineRule="atLeast"/>
      <w:outlineLvl w:val="0"/>
    </w:pPr>
    <w:rPr>
      <w:rFonts w:eastAsia="PMingLiU" w:cs="Angsana New"/>
      <w:szCs w:val="22"/>
      <w:lang w:eastAsia="zh-CN" w:bidi="th-TH"/>
    </w:rPr>
  </w:style>
  <w:style w:type="paragraph" w:customStyle="1" w:styleId="DefinitionL2">
    <w:name w:val="Definition L2"/>
    <w:basedOn w:val="Normal"/>
    <w:link w:val="DefinitionL2Char1"/>
    <w:uiPriority w:val="3"/>
    <w:qFormat/>
    <w:rsid w:val="003D072D"/>
    <w:pPr>
      <w:numPr>
        <w:ilvl w:val="1"/>
        <w:numId w:val="66"/>
      </w:numPr>
      <w:spacing w:after="120" w:line="240" w:lineRule="atLeast"/>
      <w:outlineLvl w:val="1"/>
    </w:pPr>
    <w:rPr>
      <w:rFonts w:eastAsia="PMingLiU" w:cs="Angsana New"/>
      <w:szCs w:val="22"/>
      <w:lang w:eastAsia="zh-CN" w:bidi="th-TH"/>
    </w:rPr>
  </w:style>
  <w:style w:type="paragraph" w:customStyle="1" w:styleId="DefinitionL3">
    <w:name w:val="Definition L3"/>
    <w:basedOn w:val="Normal"/>
    <w:uiPriority w:val="3"/>
    <w:qFormat/>
    <w:rsid w:val="003D072D"/>
    <w:pPr>
      <w:numPr>
        <w:ilvl w:val="2"/>
        <w:numId w:val="66"/>
      </w:numPr>
      <w:spacing w:after="120" w:line="240" w:lineRule="atLeast"/>
      <w:outlineLvl w:val="2"/>
    </w:pPr>
    <w:rPr>
      <w:rFonts w:eastAsia="PMingLiU" w:cs="Angsana New"/>
      <w:szCs w:val="22"/>
      <w:lang w:eastAsia="zh-CN" w:bidi="th-TH"/>
    </w:rPr>
  </w:style>
  <w:style w:type="paragraph" w:customStyle="1" w:styleId="DefinitionL4">
    <w:name w:val="Definition L4"/>
    <w:basedOn w:val="Normal"/>
    <w:uiPriority w:val="3"/>
    <w:qFormat/>
    <w:rsid w:val="003D072D"/>
    <w:pPr>
      <w:numPr>
        <w:ilvl w:val="3"/>
        <w:numId w:val="66"/>
      </w:numPr>
      <w:spacing w:after="120" w:line="240" w:lineRule="atLeast"/>
      <w:outlineLvl w:val="3"/>
    </w:pPr>
    <w:rPr>
      <w:rFonts w:eastAsia="PMingLiU" w:cs="Angsana New"/>
      <w:szCs w:val="22"/>
      <w:lang w:eastAsia="zh-CN" w:bidi="th-TH"/>
    </w:rPr>
  </w:style>
  <w:style w:type="paragraph" w:customStyle="1" w:styleId="DefinitionL5">
    <w:name w:val="Definition L5"/>
    <w:basedOn w:val="Normal"/>
    <w:uiPriority w:val="3"/>
    <w:qFormat/>
    <w:rsid w:val="003D072D"/>
    <w:pPr>
      <w:numPr>
        <w:ilvl w:val="4"/>
        <w:numId w:val="66"/>
      </w:numPr>
      <w:spacing w:after="120" w:line="240" w:lineRule="atLeast"/>
      <w:outlineLvl w:val="4"/>
    </w:pPr>
    <w:rPr>
      <w:rFonts w:eastAsia="PMingLiU" w:cs="Angsana New"/>
      <w:szCs w:val="22"/>
      <w:lang w:eastAsia="zh-CN" w:bidi="th-TH"/>
    </w:rPr>
  </w:style>
  <w:style w:type="paragraph" w:customStyle="1" w:styleId="DefinitionL6">
    <w:name w:val="Definition L6"/>
    <w:basedOn w:val="Normal"/>
    <w:uiPriority w:val="3"/>
    <w:qFormat/>
    <w:rsid w:val="003D072D"/>
    <w:pPr>
      <w:numPr>
        <w:ilvl w:val="5"/>
        <w:numId w:val="66"/>
      </w:numPr>
      <w:spacing w:after="120" w:line="240" w:lineRule="atLeast"/>
      <w:outlineLvl w:val="5"/>
    </w:pPr>
    <w:rPr>
      <w:rFonts w:eastAsia="PMingLiU" w:cs="Angsana New"/>
      <w:szCs w:val="22"/>
      <w:lang w:eastAsia="zh-CN" w:bidi="th-TH"/>
    </w:rPr>
  </w:style>
  <w:style w:type="paragraph" w:customStyle="1" w:styleId="DefinitionL7">
    <w:name w:val="Definition L7"/>
    <w:basedOn w:val="Normal"/>
    <w:uiPriority w:val="3"/>
    <w:unhideWhenUsed/>
    <w:qFormat/>
    <w:rsid w:val="003D072D"/>
    <w:pPr>
      <w:numPr>
        <w:ilvl w:val="6"/>
        <w:numId w:val="66"/>
      </w:numPr>
      <w:spacing w:after="120" w:line="240" w:lineRule="atLeast"/>
      <w:outlineLvl w:val="6"/>
    </w:pPr>
    <w:rPr>
      <w:rFonts w:eastAsia="PMingLiU" w:cs="Angsana New"/>
      <w:szCs w:val="22"/>
      <w:lang w:eastAsia="zh-CN" w:bidi="th-TH"/>
    </w:rPr>
  </w:style>
  <w:style w:type="paragraph" w:customStyle="1" w:styleId="DefinitionL8">
    <w:name w:val="Definition L8"/>
    <w:basedOn w:val="Normal"/>
    <w:uiPriority w:val="3"/>
    <w:unhideWhenUsed/>
    <w:qFormat/>
    <w:rsid w:val="003D072D"/>
    <w:pPr>
      <w:numPr>
        <w:ilvl w:val="7"/>
        <w:numId w:val="66"/>
      </w:numPr>
      <w:spacing w:after="120" w:line="240" w:lineRule="atLeast"/>
      <w:outlineLvl w:val="7"/>
    </w:pPr>
    <w:rPr>
      <w:rFonts w:eastAsia="PMingLiU" w:cs="Angsana New"/>
      <w:szCs w:val="22"/>
      <w:lang w:eastAsia="zh-CN" w:bidi="th-TH"/>
    </w:rPr>
  </w:style>
  <w:style w:type="paragraph" w:customStyle="1" w:styleId="DefinitionL9">
    <w:name w:val="Definition L9"/>
    <w:basedOn w:val="Normal"/>
    <w:uiPriority w:val="3"/>
    <w:unhideWhenUsed/>
    <w:qFormat/>
    <w:rsid w:val="003D072D"/>
    <w:pPr>
      <w:numPr>
        <w:ilvl w:val="8"/>
        <w:numId w:val="66"/>
      </w:numPr>
      <w:spacing w:after="120" w:line="240" w:lineRule="atLeast"/>
      <w:outlineLvl w:val="8"/>
    </w:pPr>
    <w:rPr>
      <w:rFonts w:eastAsia="PMingLiU" w:cs="Angsana New"/>
      <w:szCs w:val="22"/>
      <w:lang w:eastAsia="zh-CN" w:bidi="th-TH"/>
    </w:rPr>
  </w:style>
  <w:style w:type="character" w:customStyle="1" w:styleId="DefinitionL1Char">
    <w:name w:val="Definition L1 Char"/>
    <w:basedOn w:val="DefaultParagraphFont"/>
    <w:link w:val="DefinitionL1"/>
    <w:uiPriority w:val="3"/>
    <w:rsid w:val="003D072D"/>
    <w:rPr>
      <w:rFonts w:ascii="Arial" w:eastAsia="PMingLiU" w:hAnsi="Arial" w:cs="Angsana New"/>
      <w:szCs w:val="22"/>
      <w:lang w:eastAsia="zh-CN" w:bidi="th-TH"/>
    </w:rPr>
  </w:style>
  <w:style w:type="character" w:customStyle="1" w:styleId="DefinitionL2Char1">
    <w:name w:val="Definition L2 Char1"/>
    <w:basedOn w:val="DefaultParagraphFont"/>
    <w:link w:val="DefinitionL2"/>
    <w:uiPriority w:val="3"/>
    <w:locked/>
    <w:rsid w:val="003D072D"/>
    <w:rPr>
      <w:rFonts w:ascii="Arial" w:eastAsia="PMingLiU" w:hAnsi="Arial" w:cs="Angsana New"/>
      <w:szCs w:val="22"/>
      <w:lang w:eastAsia="zh-CN" w:bidi="th-TH"/>
    </w:rPr>
  </w:style>
  <w:style w:type="paragraph" w:customStyle="1" w:styleId="TableColumnHeading">
    <w:name w:val="Table Column Heading"/>
    <w:basedOn w:val="Normal"/>
    <w:link w:val="TableColumnHeadingChar"/>
    <w:uiPriority w:val="3"/>
    <w:qFormat/>
    <w:rsid w:val="003C5D8E"/>
    <w:pPr>
      <w:spacing w:before="60" w:after="60" w:line="220" w:lineRule="atLeast"/>
    </w:pPr>
    <w:rPr>
      <w:rFonts w:ascii="Arial Bold" w:eastAsia="PMingLiU" w:hAnsi="Arial Bold" w:cs="Angsana New"/>
      <w:b/>
      <w:sz w:val="18"/>
      <w:szCs w:val="22"/>
      <w:lang w:eastAsia="zh-CN" w:bidi="th-TH"/>
    </w:rPr>
  </w:style>
  <w:style w:type="character" w:customStyle="1" w:styleId="TableColumnHeadingChar">
    <w:name w:val="Table Column Heading Char"/>
    <w:basedOn w:val="DefaultParagraphFont"/>
    <w:link w:val="TableColumnHeading"/>
    <w:uiPriority w:val="3"/>
    <w:rsid w:val="003C5D8E"/>
    <w:rPr>
      <w:rFonts w:ascii="Arial Bold" w:eastAsia="PMingLiU" w:hAnsi="Arial Bold" w:cs="Angsana New"/>
      <w:b/>
      <w:sz w:val="18"/>
      <w:szCs w:val="22"/>
      <w:lang w:eastAsia="zh-CN" w:bidi="th-TH"/>
    </w:rPr>
  </w:style>
  <w:style w:type="paragraph" w:customStyle="1" w:styleId="TableText">
    <w:name w:val="Table Text"/>
    <w:basedOn w:val="Normal"/>
    <w:uiPriority w:val="3"/>
    <w:qFormat/>
    <w:rsid w:val="003C5D8E"/>
    <w:pPr>
      <w:spacing w:before="60" w:after="60" w:line="220" w:lineRule="atLeast"/>
    </w:pPr>
    <w:rPr>
      <w:rFonts w:eastAsia="PMingLiU" w:cs="Angsana New"/>
      <w:sz w:val="18"/>
      <w:szCs w:val="22"/>
      <w:lang w:eastAsia="zh-CN" w:bidi="th-TH"/>
    </w:rPr>
  </w:style>
  <w:style w:type="table" w:customStyle="1" w:styleId="METable-GreyHeader">
    <w:name w:val="ME Table - Grey Header"/>
    <w:basedOn w:val="TableNormal"/>
    <w:uiPriority w:val="99"/>
    <w:rsid w:val="003C5D8E"/>
    <w:pPr>
      <w:snapToGrid w:val="0"/>
      <w:spacing w:before="40" w:after="40"/>
    </w:pPr>
    <w:rPr>
      <w:rFonts w:ascii="Arial" w:eastAsiaTheme="minorEastAsia" w:hAnsi="Arial"/>
      <w:color w:val="000000" w:themeColor="text1"/>
      <w:sz w:val="18"/>
      <w:lang w:eastAsia="zh-CN"/>
    </w:rPr>
    <w:tblPr>
      <w:tblStyleRowBandSize w:val="1"/>
      <w:tblStyleColBandSize w:val="1"/>
      <w:tblBorders>
        <w:bottom w:val="single" w:sz="4" w:space="0" w:color="404040" w:themeColor="text1" w:themeTint="BF"/>
        <w:insideH w:val="single" w:sz="4" w:space="0" w:color="404040" w:themeColor="text1" w:themeTint="BF"/>
      </w:tblBorders>
    </w:tblPr>
    <w:tblStylePr w:type="firstRow">
      <w:pPr>
        <w:wordWrap/>
        <w:adjustRightInd/>
        <w:snapToGrid/>
        <w:spacing w:beforeLines="0" w:before="40" w:beforeAutospacing="0" w:afterLines="0" w:after="40" w:afterAutospacing="0"/>
        <w:contextualSpacing w:val="0"/>
        <w:mirrorIndents w:val="0"/>
        <w:jc w:val="left"/>
      </w:pPr>
      <w:rPr>
        <w:rFonts w:ascii="CG Times (WN)" w:hAnsi="CG Times (WN)"/>
        <w:b/>
        <w:i w:val="0"/>
        <w:color w:val="000000" w:themeColor="text1"/>
        <w:sz w:val="18"/>
      </w:rPr>
      <w:tblPr/>
      <w:tcPr>
        <w:tcBorders>
          <w:top w:val="nil"/>
          <w:left w:val="nil"/>
          <w:bottom w:val="single" w:sz="12" w:space="0" w:color="CE0E2D"/>
          <w:right w:val="nil"/>
          <w:insideH w:val="nil"/>
          <w:insideV w:val="nil"/>
          <w:tl2br w:val="nil"/>
          <w:tr2bl w:val="nil"/>
        </w:tcBorders>
        <w:shd w:val="clear" w:color="auto" w:fill="DEDEE0"/>
      </w:tcPr>
    </w:tblStylePr>
    <w:tblStylePr w:type="lastRow">
      <w:rPr>
        <w:rFonts w:asciiTheme="majorHAnsi" w:hAnsiTheme="majorHAnsi"/>
        <w:b/>
        <w:color w:val="262626" w:themeColor="text1" w:themeTint="D9"/>
        <w:sz w:val="18"/>
      </w:rPr>
      <w:tblPr/>
      <w:tcPr>
        <w:tcBorders>
          <w:bottom w:val="single" w:sz="18" w:space="0" w:color="7F7F7F" w:themeColor="text1" w:themeTint="80"/>
        </w:tcBorders>
      </w:tcPr>
    </w:tblStylePr>
    <w:tblStylePr w:type="firstCol">
      <w:rPr>
        <w:rFonts w:ascii="Arial" w:hAnsi="Arial"/>
        <w:b/>
        <w:color w:val="262626" w:themeColor="text1" w:themeTint="D9"/>
      </w:rPr>
      <w:tblPr/>
      <w:tcPr>
        <w:shd w:val="clear" w:color="auto" w:fill="DEDEE0"/>
      </w:tcPr>
    </w:tblStylePr>
    <w:tblStylePr w:type="band1Horz">
      <w:tblPr/>
      <w:tcPr>
        <w:shd w:val="clear" w:color="auto" w:fill="FFFFFF" w:themeFill="background1"/>
      </w:tcPr>
    </w:tblStylePr>
  </w:style>
  <w:style w:type="character" w:customStyle="1" w:styleId="ScheduleL4Char">
    <w:name w:val="Schedule L4 Char"/>
    <w:link w:val="ScheduleL4"/>
    <w:uiPriority w:val="3"/>
    <w:locked/>
    <w:rsid w:val="003C5D8E"/>
    <w:rPr>
      <w:rFonts w:ascii="Arial" w:eastAsia="PMingLiU" w:hAnsi="Arial" w:cs="Angsana New"/>
      <w:szCs w:val="22"/>
      <w:lang w:eastAsia="zh-CN" w:bidi="th-TH"/>
    </w:rPr>
  </w:style>
  <w:style w:type="character" w:customStyle="1" w:styleId="cf01">
    <w:name w:val="cf01"/>
    <w:basedOn w:val="DefaultParagraphFont"/>
    <w:rsid w:val="000E74F5"/>
    <w:rPr>
      <w:rFonts w:ascii="Segoe UI" w:hAnsi="Segoe UI" w:cs="Segoe UI" w:hint="default"/>
      <w:b/>
      <w:bCs/>
      <w:sz w:val="18"/>
      <w:szCs w:val="18"/>
      <w:shd w:val="clear" w:color="auto" w:fill="00FFFF"/>
    </w:rPr>
  </w:style>
  <w:style w:type="character" w:customStyle="1" w:styleId="cf11">
    <w:name w:val="cf11"/>
    <w:basedOn w:val="DefaultParagraphFont"/>
    <w:rsid w:val="000E74F5"/>
    <w:rPr>
      <w:rFonts w:ascii="Segoe UI" w:hAnsi="Segoe UI" w:cs="Segoe UI" w:hint="default"/>
      <w:sz w:val="18"/>
      <w:szCs w:val="18"/>
      <w:shd w:val="clear" w:color="auto" w:fill="00FFFF"/>
    </w:rPr>
  </w:style>
  <w:style w:type="character" w:customStyle="1" w:styleId="cf21">
    <w:name w:val="cf21"/>
    <w:basedOn w:val="DefaultParagraphFont"/>
    <w:rsid w:val="000E74F5"/>
    <w:rPr>
      <w:rFonts w:ascii="Segoe UI" w:hAnsi="Segoe UI" w:cs="Segoe UI" w:hint="default"/>
      <w:sz w:val="18"/>
      <w:szCs w:val="18"/>
    </w:rPr>
  </w:style>
  <w:style w:type="table" w:customStyle="1" w:styleId="MEClassic">
    <w:name w:val="ME Classic"/>
    <w:basedOn w:val="TableNormal"/>
    <w:uiPriority w:val="99"/>
    <w:rsid w:val="003E7B31"/>
    <w:pPr>
      <w:spacing w:before="40" w:after="40"/>
    </w:pPr>
    <w:rPr>
      <w:rFonts w:ascii="Arial" w:eastAsiaTheme="minorHAnsi" w:hAnsi="Arial"/>
      <w:sz w:val="18"/>
      <w:szCs w:val="24"/>
      <w:lang w:eastAsia="en-US"/>
    </w:rPr>
    <w:tblPr>
      <w:tblBorders>
        <w:bottom w:val="single" w:sz="4" w:space="0" w:color="808080"/>
        <w:insideH w:val="single" w:sz="4" w:space="0" w:color="808080"/>
        <w:insideV w:val="single" w:sz="4" w:space="0" w:color="808080"/>
      </w:tblBorders>
    </w:tblPr>
    <w:tblStylePr w:type="firstRow">
      <w:rPr>
        <w:rFonts w:ascii="Arial" w:hAnsi="Arial"/>
        <w:b/>
        <w:color w:val="FFFFFF" w:themeColor="background1"/>
      </w:rPr>
      <w:tblPr/>
      <w:tcPr>
        <w:tcBorders>
          <w:insideV w:val="single" w:sz="4" w:space="0" w:color="FFFFFF" w:themeColor="background1"/>
        </w:tcBorders>
        <w:shd w:val="clear" w:color="auto" w:fill="808080"/>
      </w:tcPr>
    </w:tblStylePr>
  </w:style>
  <w:style w:type="character" w:customStyle="1" w:styleId="ListParagraphChar">
    <w:name w:val="List Paragraph Char"/>
    <w:basedOn w:val="DefaultParagraphFont"/>
    <w:link w:val="ListParagraph"/>
    <w:uiPriority w:val="34"/>
    <w:locked/>
    <w:rsid w:val="00BE1BD6"/>
    <w:rPr>
      <w:rFonts w:ascii="Arial" w:hAnsi="Arial" w:cs="Arial"/>
      <w:lang w:eastAsia="en-US"/>
    </w:rPr>
  </w:style>
  <w:style w:type="paragraph" w:customStyle="1" w:styleId="legalDefinition">
    <w:name w:val="legalDefinition"/>
    <w:basedOn w:val="Normal"/>
    <w:qFormat/>
    <w:rsid w:val="009D047A"/>
    <w:pPr>
      <w:numPr>
        <w:numId w:val="88"/>
      </w:numPr>
      <w:spacing w:before="240"/>
    </w:pPr>
  </w:style>
  <w:style w:type="paragraph" w:customStyle="1" w:styleId="BodyIndent2">
    <w:name w:val="Body Indent 2"/>
    <w:basedOn w:val="Normal"/>
    <w:qFormat/>
    <w:rsid w:val="00A84046"/>
    <w:pPr>
      <w:spacing w:before="240"/>
      <w:ind w:left="1701"/>
    </w:pPr>
  </w:style>
  <w:style w:type="paragraph" w:customStyle="1" w:styleId="Numpara1">
    <w:name w:val="Numpara1"/>
    <w:basedOn w:val="Normal"/>
    <w:qFormat/>
    <w:rsid w:val="001C0B22"/>
    <w:pPr>
      <w:numPr>
        <w:numId w:val="90"/>
      </w:numPr>
      <w:spacing w:before="240"/>
    </w:pPr>
    <w:rPr>
      <w:szCs w:val="22"/>
    </w:rPr>
  </w:style>
  <w:style w:type="paragraph" w:customStyle="1" w:styleId="Numpara2">
    <w:name w:val="Numpara2"/>
    <w:basedOn w:val="Normal"/>
    <w:qFormat/>
    <w:rsid w:val="001C0B22"/>
    <w:pPr>
      <w:numPr>
        <w:ilvl w:val="1"/>
        <w:numId w:val="90"/>
      </w:numPr>
      <w:spacing w:before="240"/>
    </w:pPr>
    <w:rPr>
      <w:szCs w:val="22"/>
    </w:rPr>
  </w:style>
  <w:style w:type="paragraph" w:customStyle="1" w:styleId="Numpara3">
    <w:name w:val="Numpara3"/>
    <w:basedOn w:val="Normal"/>
    <w:qFormat/>
    <w:rsid w:val="001C0B22"/>
    <w:pPr>
      <w:numPr>
        <w:ilvl w:val="2"/>
        <w:numId w:val="90"/>
      </w:numPr>
      <w:spacing w:before="240"/>
    </w:pPr>
    <w:rPr>
      <w:szCs w:val="22"/>
    </w:rPr>
  </w:style>
  <w:style w:type="paragraph" w:customStyle="1" w:styleId="Numpara4">
    <w:name w:val="Numpara4"/>
    <w:basedOn w:val="Normal"/>
    <w:qFormat/>
    <w:rsid w:val="001C0B22"/>
    <w:pPr>
      <w:numPr>
        <w:ilvl w:val="3"/>
        <w:numId w:val="90"/>
      </w:numPr>
      <w:spacing w:before="240"/>
    </w:pPr>
    <w:rPr>
      <w:szCs w:val="22"/>
    </w:rPr>
  </w:style>
  <w:style w:type="paragraph" w:customStyle="1" w:styleId="BodyIndent1">
    <w:name w:val="Body Indent 1"/>
    <w:basedOn w:val="Normal"/>
    <w:qFormat/>
    <w:rsid w:val="003E05DB"/>
    <w:pPr>
      <w:spacing w:before="240"/>
      <w:ind w:left="851"/>
    </w:pPr>
  </w:style>
  <w:style w:type="paragraph" w:customStyle="1" w:styleId="Heading10">
    <w:name w:val="Heading 10"/>
    <w:basedOn w:val="Normal"/>
    <w:qFormat/>
    <w:rsid w:val="0024371D"/>
    <w:pPr>
      <w:numPr>
        <w:numId w:val="104"/>
      </w:numPr>
      <w:spacing w:after="240"/>
    </w:pPr>
    <w:rPr>
      <w:szCs w:val="22"/>
    </w:rPr>
  </w:style>
  <w:style w:type="table" w:customStyle="1" w:styleId="MadTabPlumGrid">
    <w:name w:val="MadTabPlumGrid"/>
    <w:basedOn w:val="TableNormal"/>
    <w:uiPriority w:val="99"/>
    <w:rsid w:val="0024371D"/>
    <w:pPr>
      <w:spacing w:before="60" w:after="60"/>
    </w:pPr>
    <w:rPr>
      <w:rFonts w:ascii="Arial" w:hAnsi="Arial"/>
      <w:lang w:eastAsia="zh-CN"/>
    </w:rPr>
    <w:tblPr>
      <w:tblBorders>
        <w:top w:val="single" w:sz="4" w:space="0" w:color="82002A"/>
        <w:bottom w:val="single" w:sz="4" w:space="0" w:color="82002A"/>
        <w:insideH w:val="single" w:sz="4" w:space="0" w:color="82002A"/>
        <w:insideV w:val="single" w:sz="4" w:space="0" w:color="82002A"/>
      </w:tblBorders>
    </w:tblPr>
    <w:tcPr>
      <w:vAlign w:val="center"/>
    </w:tcPr>
    <w:tblStylePr w:type="firstRow">
      <w:pPr>
        <w:wordWrap/>
        <w:spacing w:beforeLines="0" w:before="60" w:beforeAutospacing="0" w:afterLines="0" w:after="60" w:afterAutospacing="0"/>
        <w:jc w:val="left"/>
      </w:pPr>
      <w:rPr>
        <w:rFonts w:ascii="Arial" w:hAnsi="Arial"/>
        <w:b/>
        <w:i w:val="0"/>
        <w:color w:val="82002A"/>
        <w:sz w:val="20"/>
      </w:rPr>
      <w:tblPr/>
      <w:tcPr>
        <w:tcBorders>
          <w:top w:val="nil"/>
          <w:left w:val="nil"/>
          <w:bottom w:val="nil"/>
          <w:right w:val="nil"/>
          <w:insideH w:val="nil"/>
          <w:insideV w:val="nil"/>
          <w:tl2br w:val="nil"/>
          <w:tr2bl w:val="nil"/>
        </w:tcBorders>
      </w:tcPr>
    </w:tblStylePr>
  </w:style>
  <w:style w:type="paragraph" w:customStyle="1" w:styleId="BodyIndent3">
    <w:name w:val="Body Indent 3"/>
    <w:basedOn w:val="Normal"/>
    <w:qFormat/>
    <w:rsid w:val="0024371D"/>
    <w:pPr>
      <w:spacing w:before="240"/>
      <w:ind w:left="2268"/>
    </w:pPr>
  </w:style>
  <w:style w:type="paragraph" w:customStyle="1" w:styleId="Bodybext">
    <w:name w:val="Body bext"/>
    <w:basedOn w:val="Normal"/>
    <w:qFormat/>
    <w:rsid w:val="0024371D"/>
    <w:pPr>
      <w:keepNext/>
      <w:numPr>
        <w:ilvl w:val="3"/>
      </w:numPr>
      <w:spacing w:before="240" w:after="120" w:line="240" w:lineRule="atLeast"/>
      <w:ind w:left="680" w:hanging="680"/>
      <w:outlineLvl w:val="3"/>
    </w:pPr>
    <w:rPr>
      <w:rFonts w:eastAsia="PMingLiU"/>
      <w:b/>
      <w:bCs/>
      <w:lang w:eastAsia="zh-CN" w:bidi="th-TH"/>
    </w:rPr>
  </w:style>
  <w:style w:type="paragraph" w:customStyle="1" w:styleId="Indent14">
    <w:name w:val="Indent 14"/>
    <w:basedOn w:val="Heading4"/>
    <w:qFormat/>
    <w:rsid w:val="0024371D"/>
    <w:pPr>
      <w:numPr>
        <w:numId w:val="0"/>
      </w:numPr>
      <w:ind w:left="2211"/>
    </w:pPr>
  </w:style>
  <w:style w:type="paragraph" w:customStyle="1" w:styleId="pageNumber0">
    <w:name w:val="pageNumber"/>
    <w:basedOn w:val="Normal"/>
    <w:qFormat/>
    <w:rsid w:val="0024371D"/>
    <w:pPr>
      <w:tabs>
        <w:tab w:val="right" w:pos="9072"/>
      </w:tabs>
    </w:pPr>
    <w:rPr>
      <w:sz w:val="14"/>
      <w:szCs w:val="14"/>
    </w:rPr>
  </w:style>
  <w:style w:type="paragraph" w:customStyle="1" w:styleId="legalSchedule">
    <w:name w:val="legalSchedule"/>
    <w:basedOn w:val="Normal"/>
    <w:next w:val="Normal"/>
    <w:qFormat/>
    <w:rsid w:val="008B4729"/>
    <w:pPr>
      <w:pageBreakBefore/>
      <w:numPr>
        <w:numId w:val="110"/>
      </w:numPr>
      <w:pBdr>
        <w:top w:val="single" w:sz="4" w:space="1" w:color="auto"/>
      </w:pBdr>
    </w:pPr>
    <w:rPr>
      <w:b/>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8017">
      <w:bodyDiv w:val="1"/>
      <w:marLeft w:val="0"/>
      <w:marRight w:val="0"/>
      <w:marTop w:val="0"/>
      <w:marBottom w:val="0"/>
      <w:divBdr>
        <w:top w:val="none" w:sz="0" w:space="0" w:color="auto"/>
        <w:left w:val="none" w:sz="0" w:space="0" w:color="auto"/>
        <w:bottom w:val="none" w:sz="0" w:space="0" w:color="auto"/>
        <w:right w:val="none" w:sz="0" w:space="0" w:color="auto"/>
      </w:divBdr>
    </w:div>
    <w:div w:id="79721196">
      <w:bodyDiv w:val="1"/>
      <w:marLeft w:val="0"/>
      <w:marRight w:val="0"/>
      <w:marTop w:val="0"/>
      <w:marBottom w:val="0"/>
      <w:divBdr>
        <w:top w:val="none" w:sz="0" w:space="0" w:color="auto"/>
        <w:left w:val="none" w:sz="0" w:space="0" w:color="auto"/>
        <w:bottom w:val="none" w:sz="0" w:space="0" w:color="auto"/>
        <w:right w:val="none" w:sz="0" w:space="0" w:color="auto"/>
      </w:divBdr>
    </w:div>
    <w:div w:id="198512140">
      <w:bodyDiv w:val="1"/>
      <w:marLeft w:val="0"/>
      <w:marRight w:val="0"/>
      <w:marTop w:val="0"/>
      <w:marBottom w:val="0"/>
      <w:divBdr>
        <w:top w:val="none" w:sz="0" w:space="0" w:color="auto"/>
        <w:left w:val="none" w:sz="0" w:space="0" w:color="auto"/>
        <w:bottom w:val="none" w:sz="0" w:space="0" w:color="auto"/>
        <w:right w:val="none" w:sz="0" w:space="0" w:color="auto"/>
      </w:divBdr>
    </w:div>
    <w:div w:id="215162659">
      <w:bodyDiv w:val="1"/>
      <w:marLeft w:val="0"/>
      <w:marRight w:val="0"/>
      <w:marTop w:val="0"/>
      <w:marBottom w:val="0"/>
      <w:divBdr>
        <w:top w:val="none" w:sz="0" w:space="0" w:color="auto"/>
        <w:left w:val="none" w:sz="0" w:space="0" w:color="auto"/>
        <w:bottom w:val="none" w:sz="0" w:space="0" w:color="auto"/>
        <w:right w:val="none" w:sz="0" w:space="0" w:color="auto"/>
      </w:divBdr>
    </w:div>
    <w:div w:id="221063015">
      <w:bodyDiv w:val="1"/>
      <w:marLeft w:val="0"/>
      <w:marRight w:val="0"/>
      <w:marTop w:val="0"/>
      <w:marBottom w:val="0"/>
      <w:divBdr>
        <w:top w:val="none" w:sz="0" w:space="0" w:color="auto"/>
        <w:left w:val="none" w:sz="0" w:space="0" w:color="auto"/>
        <w:bottom w:val="none" w:sz="0" w:space="0" w:color="auto"/>
        <w:right w:val="none" w:sz="0" w:space="0" w:color="auto"/>
      </w:divBdr>
    </w:div>
    <w:div w:id="286277886">
      <w:bodyDiv w:val="1"/>
      <w:marLeft w:val="0"/>
      <w:marRight w:val="0"/>
      <w:marTop w:val="0"/>
      <w:marBottom w:val="0"/>
      <w:divBdr>
        <w:top w:val="none" w:sz="0" w:space="0" w:color="auto"/>
        <w:left w:val="none" w:sz="0" w:space="0" w:color="auto"/>
        <w:bottom w:val="none" w:sz="0" w:space="0" w:color="auto"/>
        <w:right w:val="none" w:sz="0" w:space="0" w:color="auto"/>
      </w:divBdr>
    </w:div>
    <w:div w:id="293027285">
      <w:bodyDiv w:val="1"/>
      <w:marLeft w:val="0"/>
      <w:marRight w:val="0"/>
      <w:marTop w:val="0"/>
      <w:marBottom w:val="0"/>
      <w:divBdr>
        <w:top w:val="none" w:sz="0" w:space="0" w:color="auto"/>
        <w:left w:val="none" w:sz="0" w:space="0" w:color="auto"/>
        <w:bottom w:val="none" w:sz="0" w:space="0" w:color="auto"/>
        <w:right w:val="none" w:sz="0" w:space="0" w:color="auto"/>
      </w:divBdr>
    </w:div>
    <w:div w:id="379482917">
      <w:bodyDiv w:val="1"/>
      <w:marLeft w:val="0"/>
      <w:marRight w:val="0"/>
      <w:marTop w:val="0"/>
      <w:marBottom w:val="0"/>
      <w:divBdr>
        <w:top w:val="none" w:sz="0" w:space="0" w:color="auto"/>
        <w:left w:val="none" w:sz="0" w:space="0" w:color="auto"/>
        <w:bottom w:val="none" w:sz="0" w:space="0" w:color="auto"/>
        <w:right w:val="none" w:sz="0" w:space="0" w:color="auto"/>
      </w:divBdr>
    </w:div>
    <w:div w:id="395738285">
      <w:bodyDiv w:val="1"/>
      <w:marLeft w:val="0"/>
      <w:marRight w:val="0"/>
      <w:marTop w:val="0"/>
      <w:marBottom w:val="0"/>
      <w:divBdr>
        <w:top w:val="none" w:sz="0" w:space="0" w:color="auto"/>
        <w:left w:val="none" w:sz="0" w:space="0" w:color="auto"/>
        <w:bottom w:val="none" w:sz="0" w:space="0" w:color="auto"/>
        <w:right w:val="none" w:sz="0" w:space="0" w:color="auto"/>
      </w:divBdr>
    </w:div>
    <w:div w:id="456065995">
      <w:bodyDiv w:val="1"/>
      <w:marLeft w:val="0"/>
      <w:marRight w:val="0"/>
      <w:marTop w:val="0"/>
      <w:marBottom w:val="0"/>
      <w:divBdr>
        <w:top w:val="none" w:sz="0" w:space="0" w:color="auto"/>
        <w:left w:val="none" w:sz="0" w:space="0" w:color="auto"/>
        <w:bottom w:val="none" w:sz="0" w:space="0" w:color="auto"/>
        <w:right w:val="none" w:sz="0" w:space="0" w:color="auto"/>
      </w:divBdr>
    </w:div>
    <w:div w:id="457770313">
      <w:bodyDiv w:val="1"/>
      <w:marLeft w:val="0"/>
      <w:marRight w:val="0"/>
      <w:marTop w:val="0"/>
      <w:marBottom w:val="0"/>
      <w:divBdr>
        <w:top w:val="none" w:sz="0" w:space="0" w:color="auto"/>
        <w:left w:val="none" w:sz="0" w:space="0" w:color="auto"/>
        <w:bottom w:val="none" w:sz="0" w:space="0" w:color="auto"/>
        <w:right w:val="none" w:sz="0" w:space="0" w:color="auto"/>
      </w:divBdr>
    </w:div>
    <w:div w:id="574898229">
      <w:bodyDiv w:val="1"/>
      <w:marLeft w:val="0"/>
      <w:marRight w:val="0"/>
      <w:marTop w:val="0"/>
      <w:marBottom w:val="0"/>
      <w:divBdr>
        <w:top w:val="none" w:sz="0" w:space="0" w:color="auto"/>
        <w:left w:val="none" w:sz="0" w:space="0" w:color="auto"/>
        <w:bottom w:val="none" w:sz="0" w:space="0" w:color="auto"/>
        <w:right w:val="none" w:sz="0" w:space="0" w:color="auto"/>
      </w:divBdr>
    </w:div>
    <w:div w:id="607927455">
      <w:bodyDiv w:val="1"/>
      <w:marLeft w:val="0"/>
      <w:marRight w:val="0"/>
      <w:marTop w:val="0"/>
      <w:marBottom w:val="0"/>
      <w:divBdr>
        <w:top w:val="none" w:sz="0" w:space="0" w:color="auto"/>
        <w:left w:val="none" w:sz="0" w:space="0" w:color="auto"/>
        <w:bottom w:val="none" w:sz="0" w:space="0" w:color="auto"/>
        <w:right w:val="none" w:sz="0" w:space="0" w:color="auto"/>
      </w:divBdr>
    </w:div>
    <w:div w:id="674307463">
      <w:bodyDiv w:val="1"/>
      <w:marLeft w:val="0"/>
      <w:marRight w:val="0"/>
      <w:marTop w:val="0"/>
      <w:marBottom w:val="0"/>
      <w:divBdr>
        <w:top w:val="none" w:sz="0" w:space="0" w:color="auto"/>
        <w:left w:val="none" w:sz="0" w:space="0" w:color="auto"/>
        <w:bottom w:val="none" w:sz="0" w:space="0" w:color="auto"/>
        <w:right w:val="none" w:sz="0" w:space="0" w:color="auto"/>
      </w:divBdr>
    </w:div>
    <w:div w:id="684331272">
      <w:bodyDiv w:val="1"/>
      <w:marLeft w:val="0"/>
      <w:marRight w:val="0"/>
      <w:marTop w:val="0"/>
      <w:marBottom w:val="0"/>
      <w:divBdr>
        <w:top w:val="none" w:sz="0" w:space="0" w:color="auto"/>
        <w:left w:val="none" w:sz="0" w:space="0" w:color="auto"/>
        <w:bottom w:val="none" w:sz="0" w:space="0" w:color="auto"/>
        <w:right w:val="none" w:sz="0" w:space="0" w:color="auto"/>
      </w:divBdr>
    </w:div>
    <w:div w:id="684553478">
      <w:bodyDiv w:val="1"/>
      <w:marLeft w:val="0"/>
      <w:marRight w:val="0"/>
      <w:marTop w:val="0"/>
      <w:marBottom w:val="0"/>
      <w:divBdr>
        <w:top w:val="none" w:sz="0" w:space="0" w:color="auto"/>
        <w:left w:val="none" w:sz="0" w:space="0" w:color="auto"/>
        <w:bottom w:val="none" w:sz="0" w:space="0" w:color="auto"/>
        <w:right w:val="none" w:sz="0" w:space="0" w:color="auto"/>
      </w:divBdr>
    </w:div>
    <w:div w:id="708997172">
      <w:bodyDiv w:val="1"/>
      <w:marLeft w:val="0"/>
      <w:marRight w:val="0"/>
      <w:marTop w:val="0"/>
      <w:marBottom w:val="0"/>
      <w:divBdr>
        <w:top w:val="none" w:sz="0" w:space="0" w:color="auto"/>
        <w:left w:val="none" w:sz="0" w:space="0" w:color="auto"/>
        <w:bottom w:val="none" w:sz="0" w:space="0" w:color="auto"/>
        <w:right w:val="none" w:sz="0" w:space="0" w:color="auto"/>
      </w:divBdr>
    </w:div>
    <w:div w:id="766847764">
      <w:bodyDiv w:val="1"/>
      <w:marLeft w:val="0"/>
      <w:marRight w:val="0"/>
      <w:marTop w:val="0"/>
      <w:marBottom w:val="0"/>
      <w:divBdr>
        <w:top w:val="none" w:sz="0" w:space="0" w:color="auto"/>
        <w:left w:val="none" w:sz="0" w:space="0" w:color="auto"/>
        <w:bottom w:val="none" w:sz="0" w:space="0" w:color="auto"/>
        <w:right w:val="none" w:sz="0" w:space="0" w:color="auto"/>
      </w:divBdr>
    </w:div>
    <w:div w:id="795295342">
      <w:bodyDiv w:val="1"/>
      <w:marLeft w:val="0"/>
      <w:marRight w:val="0"/>
      <w:marTop w:val="0"/>
      <w:marBottom w:val="0"/>
      <w:divBdr>
        <w:top w:val="none" w:sz="0" w:space="0" w:color="auto"/>
        <w:left w:val="none" w:sz="0" w:space="0" w:color="auto"/>
        <w:bottom w:val="none" w:sz="0" w:space="0" w:color="auto"/>
        <w:right w:val="none" w:sz="0" w:space="0" w:color="auto"/>
      </w:divBdr>
    </w:div>
    <w:div w:id="797796635">
      <w:bodyDiv w:val="1"/>
      <w:marLeft w:val="0"/>
      <w:marRight w:val="0"/>
      <w:marTop w:val="0"/>
      <w:marBottom w:val="0"/>
      <w:divBdr>
        <w:top w:val="none" w:sz="0" w:space="0" w:color="auto"/>
        <w:left w:val="none" w:sz="0" w:space="0" w:color="auto"/>
        <w:bottom w:val="none" w:sz="0" w:space="0" w:color="auto"/>
        <w:right w:val="none" w:sz="0" w:space="0" w:color="auto"/>
      </w:divBdr>
    </w:div>
    <w:div w:id="835653204">
      <w:bodyDiv w:val="1"/>
      <w:marLeft w:val="0"/>
      <w:marRight w:val="0"/>
      <w:marTop w:val="0"/>
      <w:marBottom w:val="0"/>
      <w:divBdr>
        <w:top w:val="none" w:sz="0" w:space="0" w:color="auto"/>
        <w:left w:val="none" w:sz="0" w:space="0" w:color="auto"/>
        <w:bottom w:val="none" w:sz="0" w:space="0" w:color="auto"/>
        <w:right w:val="none" w:sz="0" w:space="0" w:color="auto"/>
      </w:divBdr>
    </w:div>
    <w:div w:id="840118356">
      <w:bodyDiv w:val="1"/>
      <w:marLeft w:val="0"/>
      <w:marRight w:val="0"/>
      <w:marTop w:val="0"/>
      <w:marBottom w:val="0"/>
      <w:divBdr>
        <w:top w:val="none" w:sz="0" w:space="0" w:color="auto"/>
        <w:left w:val="none" w:sz="0" w:space="0" w:color="auto"/>
        <w:bottom w:val="none" w:sz="0" w:space="0" w:color="auto"/>
        <w:right w:val="none" w:sz="0" w:space="0" w:color="auto"/>
      </w:divBdr>
    </w:div>
    <w:div w:id="878203428">
      <w:bodyDiv w:val="1"/>
      <w:marLeft w:val="0"/>
      <w:marRight w:val="0"/>
      <w:marTop w:val="0"/>
      <w:marBottom w:val="0"/>
      <w:divBdr>
        <w:top w:val="none" w:sz="0" w:space="0" w:color="auto"/>
        <w:left w:val="none" w:sz="0" w:space="0" w:color="auto"/>
        <w:bottom w:val="none" w:sz="0" w:space="0" w:color="auto"/>
        <w:right w:val="none" w:sz="0" w:space="0" w:color="auto"/>
      </w:divBdr>
    </w:div>
    <w:div w:id="991759991">
      <w:bodyDiv w:val="1"/>
      <w:marLeft w:val="0"/>
      <w:marRight w:val="0"/>
      <w:marTop w:val="0"/>
      <w:marBottom w:val="0"/>
      <w:divBdr>
        <w:top w:val="none" w:sz="0" w:space="0" w:color="auto"/>
        <w:left w:val="none" w:sz="0" w:space="0" w:color="auto"/>
        <w:bottom w:val="none" w:sz="0" w:space="0" w:color="auto"/>
        <w:right w:val="none" w:sz="0" w:space="0" w:color="auto"/>
      </w:divBdr>
    </w:div>
    <w:div w:id="1012999535">
      <w:bodyDiv w:val="1"/>
      <w:marLeft w:val="0"/>
      <w:marRight w:val="0"/>
      <w:marTop w:val="0"/>
      <w:marBottom w:val="0"/>
      <w:divBdr>
        <w:top w:val="none" w:sz="0" w:space="0" w:color="auto"/>
        <w:left w:val="none" w:sz="0" w:space="0" w:color="auto"/>
        <w:bottom w:val="none" w:sz="0" w:space="0" w:color="auto"/>
        <w:right w:val="none" w:sz="0" w:space="0" w:color="auto"/>
      </w:divBdr>
    </w:div>
    <w:div w:id="1032609866">
      <w:bodyDiv w:val="1"/>
      <w:marLeft w:val="0"/>
      <w:marRight w:val="0"/>
      <w:marTop w:val="0"/>
      <w:marBottom w:val="0"/>
      <w:divBdr>
        <w:top w:val="none" w:sz="0" w:space="0" w:color="auto"/>
        <w:left w:val="none" w:sz="0" w:space="0" w:color="auto"/>
        <w:bottom w:val="none" w:sz="0" w:space="0" w:color="auto"/>
        <w:right w:val="none" w:sz="0" w:space="0" w:color="auto"/>
      </w:divBdr>
    </w:div>
    <w:div w:id="1040282316">
      <w:bodyDiv w:val="1"/>
      <w:marLeft w:val="0"/>
      <w:marRight w:val="0"/>
      <w:marTop w:val="0"/>
      <w:marBottom w:val="0"/>
      <w:divBdr>
        <w:top w:val="none" w:sz="0" w:space="0" w:color="auto"/>
        <w:left w:val="none" w:sz="0" w:space="0" w:color="auto"/>
        <w:bottom w:val="none" w:sz="0" w:space="0" w:color="auto"/>
        <w:right w:val="none" w:sz="0" w:space="0" w:color="auto"/>
      </w:divBdr>
    </w:div>
    <w:div w:id="1071393076">
      <w:bodyDiv w:val="1"/>
      <w:marLeft w:val="0"/>
      <w:marRight w:val="0"/>
      <w:marTop w:val="0"/>
      <w:marBottom w:val="0"/>
      <w:divBdr>
        <w:top w:val="none" w:sz="0" w:space="0" w:color="auto"/>
        <w:left w:val="none" w:sz="0" w:space="0" w:color="auto"/>
        <w:bottom w:val="none" w:sz="0" w:space="0" w:color="auto"/>
        <w:right w:val="none" w:sz="0" w:space="0" w:color="auto"/>
      </w:divBdr>
    </w:div>
    <w:div w:id="1077937922">
      <w:bodyDiv w:val="1"/>
      <w:marLeft w:val="0"/>
      <w:marRight w:val="0"/>
      <w:marTop w:val="0"/>
      <w:marBottom w:val="0"/>
      <w:divBdr>
        <w:top w:val="none" w:sz="0" w:space="0" w:color="auto"/>
        <w:left w:val="none" w:sz="0" w:space="0" w:color="auto"/>
        <w:bottom w:val="none" w:sz="0" w:space="0" w:color="auto"/>
        <w:right w:val="none" w:sz="0" w:space="0" w:color="auto"/>
      </w:divBdr>
    </w:div>
    <w:div w:id="1106540774">
      <w:bodyDiv w:val="1"/>
      <w:marLeft w:val="0"/>
      <w:marRight w:val="0"/>
      <w:marTop w:val="0"/>
      <w:marBottom w:val="0"/>
      <w:divBdr>
        <w:top w:val="none" w:sz="0" w:space="0" w:color="auto"/>
        <w:left w:val="none" w:sz="0" w:space="0" w:color="auto"/>
        <w:bottom w:val="none" w:sz="0" w:space="0" w:color="auto"/>
        <w:right w:val="none" w:sz="0" w:space="0" w:color="auto"/>
      </w:divBdr>
    </w:div>
    <w:div w:id="1207646278">
      <w:bodyDiv w:val="1"/>
      <w:marLeft w:val="0"/>
      <w:marRight w:val="0"/>
      <w:marTop w:val="0"/>
      <w:marBottom w:val="0"/>
      <w:divBdr>
        <w:top w:val="none" w:sz="0" w:space="0" w:color="auto"/>
        <w:left w:val="none" w:sz="0" w:space="0" w:color="auto"/>
        <w:bottom w:val="none" w:sz="0" w:space="0" w:color="auto"/>
        <w:right w:val="none" w:sz="0" w:space="0" w:color="auto"/>
      </w:divBdr>
    </w:div>
    <w:div w:id="1209414831">
      <w:bodyDiv w:val="1"/>
      <w:marLeft w:val="0"/>
      <w:marRight w:val="0"/>
      <w:marTop w:val="0"/>
      <w:marBottom w:val="0"/>
      <w:divBdr>
        <w:top w:val="none" w:sz="0" w:space="0" w:color="auto"/>
        <w:left w:val="none" w:sz="0" w:space="0" w:color="auto"/>
        <w:bottom w:val="none" w:sz="0" w:space="0" w:color="auto"/>
        <w:right w:val="none" w:sz="0" w:space="0" w:color="auto"/>
      </w:divBdr>
    </w:div>
    <w:div w:id="1295528112">
      <w:bodyDiv w:val="1"/>
      <w:marLeft w:val="0"/>
      <w:marRight w:val="0"/>
      <w:marTop w:val="0"/>
      <w:marBottom w:val="0"/>
      <w:divBdr>
        <w:top w:val="none" w:sz="0" w:space="0" w:color="auto"/>
        <w:left w:val="none" w:sz="0" w:space="0" w:color="auto"/>
        <w:bottom w:val="none" w:sz="0" w:space="0" w:color="auto"/>
        <w:right w:val="none" w:sz="0" w:space="0" w:color="auto"/>
      </w:divBdr>
    </w:div>
    <w:div w:id="1353723458">
      <w:bodyDiv w:val="1"/>
      <w:marLeft w:val="0"/>
      <w:marRight w:val="0"/>
      <w:marTop w:val="0"/>
      <w:marBottom w:val="0"/>
      <w:divBdr>
        <w:top w:val="none" w:sz="0" w:space="0" w:color="auto"/>
        <w:left w:val="none" w:sz="0" w:space="0" w:color="auto"/>
        <w:bottom w:val="none" w:sz="0" w:space="0" w:color="auto"/>
        <w:right w:val="none" w:sz="0" w:space="0" w:color="auto"/>
      </w:divBdr>
    </w:div>
    <w:div w:id="1355418506">
      <w:bodyDiv w:val="1"/>
      <w:marLeft w:val="0"/>
      <w:marRight w:val="0"/>
      <w:marTop w:val="0"/>
      <w:marBottom w:val="0"/>
      <w:divBdr>
        <w:top w:val="none" w:sz="0" w:space="0" w:color="auto"/>
        <w:left w:val="none" w:sz="0" w:space="0" w:color="auto"/>
        <w:bottom w:val="none" w:sz="0" w:space="0" w:color="auto"/>
        <w:right w:val="none" w:sz="0" w:space="0" w:color="auto"/>
      </w:divBdr>
    </w:div>
    <w:div w:id="1388145201">
      <w:bodyDiv w:val="1"/>
      <w:marLeft w:val="0"/>
      <w:marRight w:val="0"/>
      <w:marTop w:val="0"/>
      <w:marBottom w:val="0"/>
      <w:divBdr>
        <w:top w:val="none" w:sz="0" w:space="0" w:color="auto"/>
        <w:left w:val="none" w:sz="0" w:space="0" w:color="auto"/>
        <w:bottom w:val="none" w:sz="0" w:space="0" w:color="auto"/>
        <w:right w:val="none" w:sz="0" w:space="0" w:color="auto"/>
      </w:divBdr>
    </w:div>
    <w:div w:id="1532836406">
      <w:bodyDiv w:val="1"/>
      <w:marLeft w:val="0"/>
      <w:marRight w:val="0"/>
      <w:marTop w:val="0"/>
      <w:marBottom w:val="0"/>
      <w:divBdr>
        <w:top w:val="none" w:sz="0" w:space="0" w:color="auto"/>
        <w:left w:val="none" w:sz="0" w:space="0" w:color="auto"/>
        <w:bottom w:val="none" w:sz="0" w:space="0" w:color="auto"/>
        <w:right w:val="none" w:sz="0" w:space="0" w:color="auto"/>
      </w:divBdr>
    </w:div>
    <w:div w:id="1563829907">
      <w:bodyDiv w:val="1"/>
      <w:marLeft w:val="0"/>
      <w:marRight w:val="0"/>
      <w:marTop w:val="0"/>
      <w:marBottom w:val="0"/>
      <w:divBdr>
        <w:top w:val="none" w:sz="0" w:space="0" w:color="auto"/>
        <w:left w:val="none" w:sz="0" w:space="0" w:color="auto"/>
        <w:bottom w:val="none" w:sz="0" w:space="0" w:color="auto"/>
        <w:right w:val="none" w:sz="0" w:space="0" w:color="auto"/>
      </w:divBdr>
    </w:div>
    <w:div w:id="1572082186">
      <w:bodyDiv w:val="1"/>
      <w:marLeft w:val="0"/>
      <w:marRight w:val="0"/>
      <w:marTop w:val="0"/>
      <w:marBottom w:val="0"/>
      <w:divBdr>
        <w:top w:val="none" w:sz="0" w:space="0" w:color="auto"/>
        <w:left w:val="none" w:sz="0" w:space="0" w:color="auto"/>
        <w:bottom w:val="none" w:sz="0" w:space="0" w:color="auto"/>
        <w:right w:val="none" w:sz="0" w:space="0" w:color="auto"/>
      </w:divBdr>
    </w:div>
    <w:div w:id="1582594024">
      <w:bodyDiv w:val="1"/>
      <w:marLeft w:val="0"/>
      <w:marRight w:val="0"/>
      <w:marTop w:val="0"/>
      <w:marBottom w:val="0"/>
      <w:divBdr>
        <w:top w:val="none" w:sz="0" w:space="0" w:color="auto"/>
        <w:left w:val="none" w:sz="0" w:space="0" w:color="auto"/>
        <w:bottom w:val="none" w:sz="0" w:space="0" w:color="auto"/>
        <w:right w:val="none" w:sz="0" w:space="0" w:color="auto"/>
      </w:divBdr>
    </w:div>
    <w:div w:id="1587615122">
      <w:bodyDiv w:val="1"/>
      <w:marLeft w:val="0"/>
      <w:marRight w:val="0"/>
      <w:marTop w:val="0"/>
      <w:marBottom w:val="0"/>
      <w:divBdr>
        <w:top w:val="none" w:sz="0" w:space="0" w:color="auto"/>
        <w:left w:val="none" w:sz="0" w:space="0" w:color="auto"/>
        <w:bottom w:val="none" w:sz="0" w:space="0" w:color="auto"/>
        <w:right w:val="none" w:sz="0" w:space="0" w:color="auto"/>
      </w:divBdr>
    </w:div>
    <w:div w:id="1594586820">
      <w:bodyDiv w:val="1"/>
      <w:marLeft w:val="0"/>
      <w:marRight w:val="0"/>
      <w:marTop w:val="0"/>
      <w:marBottom w:val="0"/>
      <w:divBdr>
        <w:top w:val="none" w:sz="0" w:space="0" w:color="auto"/>
        <w:left w:val="none" w:sz="0" w:space="0" w:color="auto"/>
        <w:bottom w:val="none" w:sz="0" w:space="0" w:color="auto"/>
        <w:right w:val="none" w:sz="0" w:space="0" w:color="auto"/>
      </w:divBdr>
    </w:div>
    <w:div w:id="1623346471">
      <w:bodyDiv w:val="1"/>
      <w:marLeft w:val="0"/>
      <w:marRight w:val="0"/>
      <w:marTop w:val="0"/>
      <w:marBottom w:val="0"/>
      <w:divBdr>
        <w:top w:val="none" w:sz="0" w:space="0" w:color="auto"/>
        <w:left w:val="none" w:sz="0" w:space="0" w:color="auto"/>
        <w:bottom w:val="none" w:sz="0" w:space="0" w:color="auto"/>
        <w:right w:val="none" w:sz="0" w:space="0" w:color="auto"/>
      </w:divBdr>
    </w:div>
    <w:div w:id="1631327823">
      <w:bodyDiv w:val="1"/>
      <w:marLeft w:val="0"/>
      <w:marRight w:val="0"/>
      <w:marTop w:val="0"/>
      <w:marBottom w:val="0"/>
      <w:divBdr>
        <w:top w:val="none" w:sz="0" w:space="0" w:color="auto"/>
        <w:left w:val="none" w:sz="0" w:space="0" w:color="auto"/>
        <w:bottom w:val="none" w:sz="0" w:space="0" w:color="auto"/>
        <w:right w:val="none" w:sz="0" w:space="0" w:color="auto"/>
      </w:divBdr>
    </w:div>
    <w:div w:id="1731611036">
      <w:bodyDiv w:val="1"/>
      <w:marLeft w:val="0"/>
      <w:marRight w:val="0"/>
      <w:marTop w:val="0"/>
      <w:marBottom w:val="0"/>
      <w:divBdr>
        <w:top w:val="none" w:sz="0" w:space="0" w:color="auto"/>
        <w:left w:val="none" w:sz="0" w:space="0" w:color="auto"/>
        <w:bottom w:val="none" w:sz="0" w:space="0" w:color="auto"/>
        <w:right w:val="none" w:sz="0" w:space="0" w:color="auto"/>
      </w:divBdr>
    </w:div>
    <w:div w:id="1771701218">
      <w:bodyDiv w:val="1"/>
      <w:marLeft w:val="0"/>
      <w:marRight w:val="0"/>
      <w:marTop w:val="0"/>
      <w:marBottom w:val="0"/>
      <w:divBdr>
        <w:top w:val="none" w:sz="0" w:space="0" w:color="auto"/>
        <w:left w:val="none" w:sz="0" w:space="0" w:color="auto"/>
        <w:bottom w:val="none" w:sz="0" w:space="0" w:color="auto"/>
        <w:right w:val="none" w:sz="0" w:space="0" w:color="auto"/>
      </w:divBdr>
    </w:div>
    <w:div w:id="1783763925">
      <w:bodyDiv w:val="1"/>
      <w:marLeft w:val="0"/>
      <w:marRight w:val="0"/>
      <w:marTop w:val="0"/>
      <w:marBottom w:val="0"/>
      <w:divBdr>
        <w:top w:val="none" w:sz="0" w:space="0" w:color="auto"/>
        <w:left w:val="none" w:sz="0" w:space="0" w:color="auto"/>
        <w:bottom w:val="none" w:sz="0" w:space="0" w:color="auto"/>
        <w:right w:val="none" w:sz="0" w:space="0" w:color="auto"/>
      </w:divBdr>
    </w:div>
    <w:div w:id="1800107036">
      <w:bodyDiv w:val="1"/>
      <w:marLeft w:val="0"/>
      <w:marRight w:val="0"/>
      <w:marTop w:val="0"/>
      <w:marBottom w:val="0"/>
      <w:divBdr>
        <w:top w:val="none" w:sz="0" w:space="0" w:color="auto"/>
        <w:left w:val="none" w:sz="0" w:space="0" w:color="auto"/>
        <w:bottom w:val="none" w:sz="0" w:space="0" w:color="auto"/>
        <w:right w:val="none" w:sz="0" w:space="0" w:color="auto"/>
      </w:divBdr>
    </w:div>
    <w:div w:id="1870800771">
      <w:bodyDiv w:val="1"/>
      <w:marLeft w:val="0"/>
      <w:marRight w:val="0"/>
      <w:marTop w:val="0"/>
      <w:marBottom w:val="0"/>
      <w:divBdr>
        <w:top w:val="none" w:sz="0" w:space="0" w:color="auto"/>
        <w:left w:val="none" w:sz="0" w:space="0" w:color="auto"/>
        <w:bottom w:val="none" w:sz="0" w:space="0" w:color="auto"/>
        <w:right w:val="none" w:sz="0" w:space="0" w:color="auto"/>
      </w:divBdr>
    </w:div>
    <w:div w:id="1885289844">
      <w:bodyDiv w:val="1"/>
      <w:marLeft w:val="0"/>
      <w:marRight w:val="0"/>
      <w:marTop w:val="0"/>
      <w:marBottom w:val="0"/>
      <w:divBdr>
        <w:top w:val="none" w:sz="0" w:space="0" w:color="auto"/>
        <w:left w:val="none" w:sz="0" w:space="0" w:color="auto"/>
        <w:bottom w:val="none" w:sz="0" w:space="0" w:color="auto"/>
        <w:right w:val="none" w:sz="0" w:space="0" w:color="auto"/>
      </w:divBdr>
    </w:div>
    <w:div w:id="1886528166">
      <w:bodyDiv w:val="1"/>
      <w:marLeft w:val="0"/>
      <w:marRight w:val="0"/>
      <w:marTop w:val="0"/>
      <w:marBottom w:val="0"/>
      <w:divBdr>
        <w:top w:val="none" w:sz="0" w:space="0" w:color="auto"/>
        <w:left w:val="none" w:sz="0" w:space="0" w:color="auto"/>
        <w:bottom w:val="none" w:sz="0" w:space="0" w:color="auto"/>
        <w:right w:val="none" w:sz="0" w:space="0" w:color="auto"/>
      </w:divBdr>
    </w:div>
    <w:div w:id="1905725339">
      <w:bodyDiv w:val="1"/>
      <w:marLeft w:val="0"/>
      <w:marRight w:val="0"/>
      <w:marTop w:val="0"/>
      <w:marBottom w:val="0"/>
      <w:divBdr>
        <w:top w:val="none" w:sz="0" w:space="0" w:color="auto"/>
        <w:left w:val="none" w:sz="0" w:space="0" w:color="auto"/>
        <w:bottom w:val="none" w:sz="0" w:space="0" w:color="auto"/>
        <w:right w:val="none" w:sz="0" w:space="0" w:color="auto"/>
      </w:divBdr>
    </w:div>
    <w:div w:id="1924601231">
      <w:bodyDiv w:val="1"/>
      <w:marLeft w:val="0"/>
      <w:marRight w:val="0"/>
      <w:marTop w:val="0"/>
      <w:marBottom w:val="0"/>
      <w:divBdr>
        <w:top w:val="none" w:sz="0" w:space="0" w:color="auto"/>
        <w:left w:val="none" w:sz="0" w:space="0" w:color="auto"/>
        <w:bottom w:val="none" w:sz="0" w:space="0" w:color="auto"/>
        <w:right w:val="none" w:sz="0" w:space="0" w:color="auto"/>
      </w:divBdr>
    </w:div>
    <w:div w:id="1943300763">
      <w:bodyDiv w:val="1"/>
      <w:marLeft w:val="0"/>
      <w:marRight w:val="0"/>
      <w:marTop w:val="0"/>
      <w:marBottom w:val="0"/>
      <w:divBdr>
        <w:top w:val="none" w:sz="0" w:space="0" w:color="auto"/>
        <w:left w:val="none" w:sz="0" w:space="0" w:color="auto"/>
        <w:bottom w:val="none" w:sz="0" w:space="0" w:color="auto"/>
        <w:right w:val="none" w:sz="0" w:space="0" w:color="auto"/>
      </w:divBdr>
    </w:div>
    <w:div w:id="1948465122">
      <w:bodyDiv w:val="1"/>
      <w:marLeft w:val="0"/>
      <w:marRight w:val="0"/>
      <w:marTop w:val="0"/>
      <w:marBottom w:val="0"/>
      <w:divBdr>
        <w:top w:val="none" w:sz="0" w:space="0" w:color="auto"/>
        <w:left w:val="none" w:sz="0" w:space="0" w:color="auto"/>
        <w:bottom w:val="none" w:sz="0" w:space="0" w:color="auto"/>
        <w:right w:val="none" w:sz="0" w:space="0" w:color="auto"/>
      </w:divBdr>
    </w:div>
    <w:div w:id="1955406998">
      <w:bodyDiv w:val="1"/>
      <w:marLeft w:val="0"/>
      <w:marRight w:val="0"/>
      <w:marTop w:val="0"/>
      <w:marBottom w:val="0"/>
      <w:divBdr>
        <w:top w:val="none" w:sz="0" w:space="0" w:color="auto"/>
        <w:left w:val="none" w:sz="0" w:space="0" w:color="auto"/>
        <w:bottom w:val="none" w:sz="0" w:space="0" w:color="auto"/>
        <w:right w:val="none" w:sz="0" w:space="0" w:color="auto"/>
      </w:divBdr>
    </w:div>
    <w:div w:id="1958834065">
      <w:bodyDiv w:val="1"/>
      <w:marLeft w:val="0"/>
      <w:marRight w:val="0"/>
      <w:marTop w:val="0"/>
      <w:marBottom w:val="0"/>
      <w:divBdr>
        <w:top w:val="none" w:sz="0" w:space="0" w:color="auto"/>
        <w:left w:val="none" w:sz="0" w:space="0" w:color="auto"/>
        <w:bottom w:val="none" w:sz="0" w:space="0" w:color="auto"/>
        <w:right w:val="none" w:sz="0" w:space="0" w:color="auto"/>
      </w:divBdr>
    </w:div>
    <w:div w:id="2027242618">
      <w:bodyDiv w:val="1"/>
      <w:marLeft w:val="0"/>
      <w:marRight w:val="0"/>
      <w:marTop w:val="0"/>
      <w:marBottom w:val="0"/>
      <w:divBdr>
        <w:top w:val="none" w:sz="0" w:space="0" w:color="auto"/>
        <w:left w:val="none" w:sz="0" w:space="0" w:color="auto"/>
        <w:bottom w:val="none" w:sz="0" w:space="0" w:color="auto"/>
        <w:right w:val="none" w:sz="0" w:space="0" w:color="auto"/>
      </w:divBdr>
    </w:div>
    <w:div w:id="2034764227">
      <w:bodyDiv w:val="1"/>
      <w:marLeft w:val="0"/>
      <w:marRight w:val="0"/>
      <w:marTop w:val="0"/>
      <w:marBottom w:val="0"/>
      <w:divBdr>
        <w:top w:val="none" w:sz="0" w:space="0" w:color="auto"/>
        <w:left w:val="none" w:sz="0" w:space="0" w:color="auto"/>
        <w:bottom w:val="none" w:sz="0" w:space="0" w:color="auto"/>
        <w:right w:val="none" w:sz="0" w:space="0" w:color="auto"/>
      </w:divBdr>
    </w:div>
    <w:div w:id="2066024945">
      <w:bodyDiv w:val="1"/>
      <w:marLeft w:val="0"/>
      <w:marRight w:val="0"/>
      <w:marTop w:val="0"/>
      <w:marBottom w:val="0"/>
      <w:divBdr>
        <w:top w:val="none" w:sz="0" w:space="0" w:color="auto"/>
        <w:left w:val="none" w:sz="0" w:space="0" w:color="auto"/>
        <w:bottom w:val="none" w:sz="0" w:space="0" w:color="auto"/>
        <w:right w:val="none" w:sz="0" w:space="0" w:color="auto"/>
      </w:divBdr>
    </w:div>
    <w:div w:id="2090956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footer" Target="footer5.xml"/><Relationship Id="rId34" Type="http://schemas.openxmlformats.org/officeDocument/2006/relationships/header" Target="header12.xml"/><Relationship Id="rId42" Type="http://schemas.openxmlformats.org/officeDocument/2006/relationships/footer" Target="footer15.xml"/><Relationship Id="rId47" Type="http://schemas.openxmlformats.org/officeDocument/2006/relationships/footer" Target="footer20.xml"/><Relationship Id="rId50" Type="http://schemas.openxmlformats.org/officeDocument/2006/relationships/header" Target="header16.xml"/><Relationship Id="rId55" Type="http://schemas.openxmlformats.org/officeDocument/2006/relationships/footer" Target="footer23.xml"/><Relationship Id="rId63" Type="http://schemas.openxmlformats.org/officeDocument/2006/relationships/hyperlink" Target="https://treasury.gov.au/policy-topics/economy/shadow-economy/procurement-connected-policy"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footer" Target="footer9.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header" Target="header13.xml"/><Relationship Id="rId40" Type="http://schemas.openxmlformats.org/officeDocument/2006/relationships/footer" Target="footer14.xml"/><Relationship Id="rId45" Type="http://schemas.openxmlformats.org/officeDocument/2006/relationships/footer" Target="footer18.xml"/><Relationship Id="rId53" Type="http://schemas.openxmlformats.org/officeDocument/2006/relationships/footer" Target="footer22.xml"/><Relationship Id="rId58" Type="http://schemas.openxmlformats.org/officeDocument/2006/relationships/footer" Target="footer24.xml"/><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footer" Target="footer26.xml"/><Relationship Id="rId19" Type="http://schemas.openxmlformats.org/officeDocument/2006/relationships/header" Target="header5.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2.xml"/><Relationship Id="rId43" Type="http://schemas.openxmlformats.org/officeDocument/2006/relationships/footer" Target="footer16.xml"/><Relationship Id="rId48" Type="http://schemas.openxmlformats.org/officeDocument/2006/relationships/image" Target="media/image1.png"/><Relationship Id="rId56" Type="http://schemas.openxmlformats.org/officeDocument/2006/relationships/header" Target="header19.xml"/><Relationship Id="rId64" Type="http://schemas.openxmlformats.org/officeDocument/2006/relationships/hyperlink" Target="https://www.counterfraud.gov.au/library/framework-2024" TargetMode="External"/><Relationship Id="rId8" Type="http://schemas.openxmlformats.org/officeDocument/2006/relationships/settings" Target="settings.xml"/><Relationship Id="rId51" Type="http://schemas.openxmlformats.org/officeDocument/2006/relationships/header" Target="header17.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footer" Target="footer11.xml"/><Relationship Id="rId38" Type="http://schemas.openxmlformats.org/officeDocument/2006/relationships/header" Target="header14.xml"/><Relationship Id="rId46" Type="http://schemas.openxmlformats.org/officeDocument/2006/relationships/footer" Target="footer19.xml"/><Relationship Id="rId59" Type="http://schemas.openxmlformats.org/officeDocument/2006/relationships/footer" Target="footer25.xml"/><Relationship Id="rId67" Type="http://schemas.openxmlformats.org/officeDocument/2006/relationships/glossaryDocument" Target="glossary/document.xml"/><Relationship Id="rId20" Type="http://schemas.openxmlformats.org/officeDocument/2006/relationships/footer" Target="footer4.xml"/><Relationship Id="rId41" Type="http://schemas.openxmlformats.org/officeDocument/2006/relationships/header" Target="header15.xml"/><Relationship Id="rId54" Type="http://schemas.openxmlformats.org/officeDocument/2006/relationships/header" Target="header18.xml"/><Relationship Id="rId62" Type="http://schemas.openxmlformats.org/officeDocument/2006/relationships/hyperlink" Target="https://www.ato.gov.au/Business/Bus/Statement-of-tax-record/?page=1"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hyperlink" Target="https://cis.smartygrants.com.au/d/files/dlm/b13ca5861013c410ff49ce7fb49c1754e6ca767f" TargetMode="External"/><Relationship Id="rId49" Type="http://schemas.openxmlformats.org/officeDocument/2006/relationships/image" Target="media/image2.png"/><Relationship Id="rId57" Type="http://schemas.openxmlformats.org/officeDocument/2006/relationships/header" Target="header20.xml"/><Relationship Id="rId10" Type="http://schemas.openxmlformats.org/officeDocument/2006/relationships/footnotes" Target="footnotes.xml"/><Relationship Id="rId31" Type="http://schemas.openxmlformats.org/officeDocument/2006/relationships/header" Target="header11.xml"/><Relationship Id="rId44" Type="http://schemas.openxmlformats.org/officeDocument/2006/relationships/footer" Target="footer17.xml"/><Relationship Id="rId52" Type="http://schemas.openxmlformats.org/officeDocument/2006/relationships/footer" Target="footer21.xml"/><Relationship Id="rId60" Type="http://schemas.openxmlformats.org/officeDocument/2006/relationships/header" Target="header21.xml"/><Relationship Id="rId65" Type="http://schemas.openxmlformats.org/officeDocument/2006/relationships/hyperlink" Target="https://www.counterfraud.gov.au/library/framework-2024"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footer" Target="foot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WM\Templates\Sync\fdeed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C24E20E2AC4F1096DF01EB6F78291D"/>
        <w:category>
          <w:name w:val="General"/>
          <w:gallery w:val="placeholder"/>
        </w:category>
        <w:types>
          <w:type w:val="bbPlcHdr"/>
        </w:types>
        <w:behaviors>
          <w:behavior w:val="content"/>
        </w:behaviors>
        <w:guid w:val="{393A150C-017A-4400-A3D0-CA7E0501E0AF}"/>
      </w:docPartPr>
      <w:docPartBody>
        <w:p w:rsidR="00BD74D9" w:rsidRDefault="00BD74D9" w:rsidP="00BD74D9">
          <w:pPr>
            <w:pStyle w:val="33C24E20E2AC4F1096DF01EB6F78291D"/>
          </w:pPr>
          <w:r w:rsidRPr="002E35DA">
            <w:rPr>
              <w:rStyle w:val="PlaceholderText"/>
            </w:rPr>
            <w:t>Type equation here.</w:t>
          </w:r>
        </w:p>
      </w:docPartBody>
    </w:docPart>
    <w:docPart>
      <w:docPartPr>
        <w:name w:val="DefaultPlaceholder_2098659788"/>
        <w:category>
          <w:name w:val="General"/>
          <w:gallery w:val="placeholder"/>
        </w:category>
        <w:types>
          <w:type w:val="bbPlcHdr"/>
        </w:types>
        <w:behaviors>
          <w:behavior w:val="content"/>
        </w:behaviors>
        <w:guid w:val="{A51AF80C-6691-4A06-8BEA-52B2B0FDA098}"/>
      </w:docPartPr>
      <w:docPartBody>
        <w:p w:rsidR="00BD74D9" w:rsidRDefault="00BD74D9">
          <w:r w:rsidRPr="00E65674">
            <w:rPr>
              <w:rStyle w:val="PlaceholderText"/>
            </w:rPr>
            <w:t>Type equation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Semibold">
    <w:panose1 w:val="020B07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01000001" w:usb1="00000000" w:usb2="00000000" w:usb3="00000000" w:csb0="00010000" w:csb1="00000000"/>
  </w:font>
  <w:font w:name="Arial Bold">
    <w:altName w:val="Times"/>
    <w:panose1 w:val="00000000000000000000"/>
    <w:charset w:val="00"/>
    <w:family w:val="auto"/>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Narrow">
    <w:altName w:val="Calibri"/>
    <w:charset w:val="00"/>
    <w:family w:val="swiss"/>
    <w:pitch w:val="variable"/>
    <w:sig w:usb0="20000287" w:usb1="00000003" w:usb2="00000000" w:usb3="00000000" w:csb0="0000019F" w:csb1="00000000"/>
  </w:font>
  <w:font w:name="Arial,Bold">
    <w:altName w:val="Arial"/>
    <w:panose1 w:val="00000000000000000000"/>
    <w:charset w:val="00"/>
    <w:family w:val="auto"/>
    <w:notTrueType/>
    <w:pitch w:val="default"/>
    <w:sig w:usb0="00000003" w:usb1="00000000" w:usb2="00000000" w:usb3="00000000" w:csb0="00000001" w:csb1="00000000"/>
  </w:font>
  <w:font w:name="STKaiti">
    <w:charset w:val="86"/>
    <w:family w:val="auto"/>
    <w:pitch w:val="variable"/>
    <w:sig w:usb0="00000287" w:usb1="080F0000" w:usb2="00000010" w:usb3="00000000" w:csb0="000400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4D9"/>
    <w:rsid w:val="00013A49"/>
    <w:rsid w:val="000341E4"/>
    <w:rsid w:val="00300CCD"/>
    <w:rsid w:val="00465FF7"/>
    <w:rsid w:val="00576F75"/>
    <w:rsid w:val="00627AAD"/>
    <w:rsid w:val="00805362"/>
    <w:rsid w:val="008C45E2"/>
    <w:rsid w:val="008D0F31"/>
    <w:rsid w:val="0098289A"/>
    <w:rsid w:val="00A34BBF"/>
    <w:rsid w:val="00A825DF"/>
    <w:rsid w:val="00B30327"/>
    <w:rsid w:val="00BD74D9"/>
    <w:rsid w:val="00C26EBE"/>
    <w:rsid w:val="00CC2D8F"/>
    <w:rsid w:val="00DB1FA8"/>
    <w:rsid w:val="00E41A75"/>
    <w:rsid w:val="00E656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D74D9"/>
    <w:rPr>
      <w:color w:val="808080"/>
    </w:rPr>
  </w:style>
  <w:style w:type="paragraph" w:customStyle="1" w:styleId="33C24E20E2AC4F1096DF01EB6F78291D">
    <w:name w:val="33C24E20E2AC4F1096DF01EB6F78291D"/>
    <w:rsid w:val="00BD74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headEnd type="arrow"/>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3F439C7AE1CD4482CB3579885E923F" ma:contentTypeVersion="3" ma:contentTypeDescription="Create a new document." ma:contentTypeScope="" ma:versionID="2b9de7c9cf101c9d57c744a320f0da75">
  <xsd:schema xmlns:xsd="http://www.w3.org/2001/XMLSchema" xmlns:xs="http://www.w3.org/2001/XMLSchema" xmlns:p="http://schemas.microsoft.com/office/2006/metadata/properties" xmlns:ns2="c7d701a7-65b8-4873-a3de-8269c8752fc4" targetNamespace="http://schemas.microsoft.com/office/2006/metadata/properties" ma:root="true" ma:fieldsID="7c181858f1030a69078e1e615e337f52" ns2:_="">
    <xsd:import namespace="c7d701a7-65b8-4873-a3de-8269c8752fc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701a7-65b8-4873-a3de-8269c8752f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p r o p e r t i e s   x m l n s = " h t t p : / / w w w . i m a n a g e . c o m / w o r k / x m l s c h e m a " >  
     < d o c u m e n t i d > D O C U M E N T S ! 6 8 9 4 6 1 0 6 . 8 < / d o c u m e n t i d >  
     < s e n d e r i d > A A M E L L O R < / s e n d e r i d >  
     < s e n d e r e m a i l > A m e l i a . M e l l o r @ a u . k w m . c o m < / s e n d e r e m a i l >  
     < l a s t m o d i f i e d > 2 0 2 4 - 0 7 - 1 1 T 1 0 : 0 3 : 0 0 . 0 0 0 0 0 0 0 + 0 8 : 0 0 < / l a s t m o d i f i e d >  
     < d a t a b a s e > D O C U M E N T S < / d a t a b a s e >  
 < / p r o p e r t i e s > 
</file>

<file path=customXml/itemProps1.xml><?xml version="1.0" encoding="utf-8"?>
<ds:datastoreItem xmlns:ds="http://schemas.openxmlformats.org/officeDocument/2006/customXml" ds:itemID="{148DDF1E-5D5B-4C38-A581-9B033D88E1D9}">
  <ds:schemaRefs>
    <ds:schemaRef ds:uri="http://schemas.microsoft.com/sharepoint/v3/contenttype/forms"/>
  </ds:schemaRefs>
</ds:datastoreItem>
</file>

<file path=customXml/itemProps2.xml><?xml version="1.0" encoding="utf-8"?>
<ds:datastoreItem xmlns:ds="http://schemas.openxmlformats.org/officeDocument/2006/customXml" ds:itemID="{0FB46147-1DCB-4001-A94B-30DD9F596517}">
  <ds:schemaRefs>
    <ds:schemaRef ds:uri="http://schemas.openxmlformats.org/officeDocument/2006/bibliography"/>
  </ds:schemaRefs>
</ds:datastoreItem>
</file>

<file path=customXml/itemProps3.xml><?xml version="1.0" encoding="utf-8"?>
<ds:datastoreItem xmlns:ds="http://schemas.openxmlformats.org/officeDocument/2006/customXml" ds:itemID="{6BFD775A-CC44-4EDF-BAC1-4C1E089C4BE3}">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7d701a7-65b8-4873-a3de-8269c8752fc4"/>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5676C586-2A7D-422F-BE92-E5D1A79E6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701a7-65b8-4873-a3de-8269c8752f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F4328E-F1DB-4571-9975-5BA5A097A179}">
  <ds:schemaRefs>
    <ds:schemaRef ds:uri="http://www.imanage.com/work/xmlschema"/>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 id="{c1941c47-a837-430d-8559-fd118a72769e}" enabled="1" method="Standard" siteId="{320c999e-3876-4ad0-b401-d241068e9e60}" contentBits="0" removed="0"/>
</clbl:labelList>
</file>

<file path=docProps/app.xml><?xml version="1.0" encoding="utf-8"?>
<Properties xmlns="http://schemas.openxmlformats.org/officeDocument/2006/extended-properties" xmlns:vt="http://schemas.openxmlformats.org/officeDocument/2006/docPropsVTypes">
  <Template>fdeedn.dotm</Template>
  <TotalTime>9</TotalTime>
  <Pages>1</Pages>
  <Words>79010</Words>
  <Characters>450363</Characters>
  <Application>Microsoft Office Word</Application>
  <DocSecurity>4</DocSecurity>
  <Lines>3753</Lines>
  <Paragraphs>1056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KWM</dc:creator>
  <cp:keywords/>
  <dc:description/>
  <cp:lastModifiedBy>Maddocks</cp:lastModifiedBy>
  <cp:revision>11</cp:revision>
  <cp:lastPrinted>2024-09-15T19:40:00Z</cp:lastPrinted>
  <dcterms:created xsi:type="dcterms:W3CDTF">2025-08-30T16:05:00Z</dcterms:created>
  <dcterms:modified xsi:type="dcterms:W3CDTF">2025-08-29T01:01:00Z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68946106_8</vt:lpwstr>
  </property>
  <property fmtid="{D5CDD505-2E9C-101B-9397-08002B2CF9AE}" pid="3" name="kwmDocumentID">
    <vt:lpwstr>DOCUMENTS!68946106.8</vt:lpwstr>
  </property>
  <property fmtid="{D5CDD505-2E9C-101B-9397-08002B2CF9AE}" pid="4" name="TaxKeyword">
    <vt:lpwstr/>
  </property>
  <property fmtid="{D5CDD505-2E9C-101B-9397-08002B2CF9AE}" pid="5" name="ContentTypeId">
    <vt:lpwstr>0x010100AF3F439C7AE1CD4482CB3579885E923F</vt:lpwstr>
  </property>
  <property fmtid="{D5CDD505-2E9C-101B-9397-08002B2CF9AE}" pid="6" name="AEMO_x0020_Collaboration_x0020_Document_x0020_Type">
    <vt:lpwstr/>
  </property>
  <property fmtid="{D5CDD505-2E9C-101B-9397-08002B2CF9AE}" pid="7" name="AEMO Collaboration Document Type">
    <vt:lpwstr/>
  </property>
  <property fmtid="{D5CDD505-2E9C-101B-9397-08002B2CF9AE}" pid="8" name="GrammarlyDocumentId">
    <vt:lpwstr>3027ad7e0bb09c0679752bca4ee49e3ad34f5c215876d2ef8573889fc5ce4e00</vt:lpwstr>
  </property>
  <property fmtid="{D5CDD505-2E9C-101B-9397-08002B2CF9AE}" pid="9" name="MSIP_Label_c1941c47-a837-430d-8559-fd118a72769e_Enabled">
    <vt:lpwstr>true</vt:lpwstr>
  </property>
  <property fmtid="{D5CDD505-2E9C-101B-9397-08002B2CF9AE}" pid="10" name="MSIP_Label_c1941c47-a837-430d-8559-fd118a72769e_Method">
    <vt:lpwstr>Standard</vt:lpwstr>
  </property>
  <property fmtid="{D5CDD505-2E9C-101B-9397-08002B2CF9AE}" pid="11" name="MSIP_Label_c1941c47-a837-430d-8559-fd118a72769e_Name">
    <vt:lpwstr>Internal</vt:lpwstr>
  </property>
  <property fmtid="{D5CDD505-2E9C-101B-9397-08002B2CF9AE}" pid="12" name="MSIP_Label_c1941c47-a837-430d-8559-fd118a72769e_SiteId">
    <vt:lpwstr>320c999e-3876-4ad0-b401-d241068e9e60</vt:lpwstr>
  </property>
  <property fmtid="{D5CDD505-2E9C-101B-9397-08002B2CF9AE}" pid="13" name="MSIP_Label_c1941c47-a837-430d-8559-fd118a72769e_ContentBits">
    <vt:lpwstr>0</vt:lpwstr>
  </property>
  <property fmtid="{D5CDD505-2E9C-101B-9397-08002B2CF9AE}" pid="14" name="MSIP_Label_c1941c47-a837-430d-8559-fd118a72769e_SetDate">
    <vt:lpwstr>2024-01-15T07:19:46Z</vt:lpwstr>
  </property>
  <property fmtid="{D5CDD505-2E9C-101B-9397-08002B2CF9AE}" pid="15" name="MSIP_Label_c1941c47-a837-430d-8559-fd118a72769e_ActionId">
    <vt:lpwstr>13532d6a-bb9d-4258-9e7a-40d3a4f1750c</vt:lpwstr>
  </property>
  <property fmtid="{D5CDD505-2E9C-101B-9397-08002B2CF9AE}" pid="16" name="Template">
    <vt:lpwstr>fdeedn.dotm</vt:lpwstr>
  </property>
  <property fmtid="{D5CDD505-2E9C-101B-9397-08002B2CF9AE}" pid="17" name="ClassificationContentMarkingHeaderShapeIds">
    <vt:lpwstr>3da9e499,97c9f7a,3020a607,24c47152,3ab48a38,62303cf5,77b67f2e,53a4e0a0,40f02e6c,3b3bf45b,19cd09a6,62b93175,5b4cb8dd,323b30ff,1f437d4d,6bbf54a9,479e6764,18bf35cb,2544b4c2,1a8a7f17,2172c1ff</vt:lpwstr>
  </property>
  <property fmtid="{D5CDD505-2E9C-101B-9397-08002B2CF9AE}" pid="18" name="ClassificationContentMarkingHeaderFontProps">
    <vt:lpwstr>#ff0000,12,Calibri</vt:lpwstr>
  </property>
  <property fmtid="{D5CDD505-2E9C-101B-9397-08002B2CF9AE}" pid="19" name="ClassificationContentMarkingHeaderText">
    <vt:lpwstr>OFFICIAL</vt:lpwstr>
  </property>
  <property fmtid="{D5CDD505-2E9C-101B-9397-08002B2CF9AE}" pid="20" name="ClassificationContentMarkingFooterShapeIds">
    <vt:lpwstr>1a142039,27722c3f,367ab9cb,3cfdde4f,2e4e0bda,23380268,6dc794cb,7cfd0fd5,14db3b70,547088e0,5f4dd566,13d34987,4fdc5016,153540dd,7fecc054,43b5e63e,7811b151,11697d5e,465e595d,5f4e568a,9dfc947</vt:lpwstr>
  </property>
  <property fmtid="{D5CDD505-2E9C-101B-9397-08002B2CF9AE}" pid="21" name="ClassificationContentMarkingFooterFontProps">
    <vt:lpwstr>#ff0000,12,Calibri</vt:lpwstr>
  </property>
  <property fmtid="{D5CDD505-2E9C-101B-9397-08002B2CF9AE}" pid="22" name="ClassificationContentMarkingFooterText">
    <vt:lpwstr>OFFICIAL</vt:lpwstr>
  </property>
  <property fmtid="{D5CDD505-2E9C-101B-9397-08002B2CF9AE}" pid="23" name="IMANAGEFOOTER">
    <vt:lpwstr>[9479258:49678382_3]</vt:lpwstr>
  </property>
  <property fmtid="{D5CDD505-2E9C-101B-9397-08002B2CF9AE}" pid="24" name="MediaServiceImageTags">
    <vt:lpwstr/>
  </property>
</Properties>
</file>